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辽宁省沈阳市浑南区高坎中心小学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辽宁省沈阳市浑南区高坎中心小学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辽宁省沈阳市浑南区高坎中心小学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辽宁省沈阳市浑南区高坎中心小学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辽宁省沈阳市浑南区高坎中心小学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辽宁省沈阳市浑南区高坎中心小学概况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辽宁省沈阳市浑南区高坎中心小学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纳入浑南区教育局的沈阳市浑南区高坎中心小学二级预算单位，本单位无下设机构。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1100.88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1098.84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99.81</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1098.84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2.04</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0.19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主要是教育局转2021年教育事业发展捐赠结余等。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减少8.27万元，降低0.75%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学生数量减少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1099.42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762.12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69.32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工资福利支出726.06万元；商品和服务支出8.98万元；对个人和家庭的补助27.08万元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337.30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30.68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主要包括幼儿园保育费、学前奖补、学生资助等业务支出。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减少7.69万元，降低0.69%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教师数学生数的减少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1.46</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主要是教育局转2021年教育事业发展捐赠结余款等原因形成的结余。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减少0.58万元，降低28.37%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期末以前年度损益调整结转</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1098.84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762.12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336.72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增加46.94万元，增长4.46%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幼儿园保育费、学前奖补、学生资助的增加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128.76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89.30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2024年度一般公共预算财政拨款支出1098.84万元。按支出功能分类科目分，包括：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1.教育支出1060.56万元，具体包括：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53.40万元,主要是办公费、电费、邮电费、维修（护）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（2）教育支出（类）普通教育（款）小学教育（项）995.03万元,主要是工资福利支出、商品和服务支出等支出，完成年初预算的120%，决算数与年初预算数存在差异的主要原因是按实际情况执行。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12.13万元,主要是工资福利支出、商品和服务支出等支出，完成年初预算的120%，决算数与年初预算数存在差异的主要原因是按实际情况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2.社会保障和就业支出38.28万元，具体包括：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（1）社会保障和就业支出（类）行政事业单位养老支出（款）事业单位离退休（项）16.87万元,主要是生活补助等支出，完成年初预算的199%，决算数与年初预算数存在差异的主要原因是按实际情况执行。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21.41万元,主要是退休人员职业年金等支出，完成年初预算的199%，决算数与年初预算数存在差异的主要原因是按实际情况执行。</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762.12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753.14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8.98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本单位无此业务</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853.4万元。其中，一般公共预算资金853.4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10个；得分在80分（含）至90分、等级为“良”的项目有0个；得分在60分（含）至80分、等级为“中”的项目有0；得分在60分以下、等级为“差”的项目有0个。各项目自评发现，部分项目存在0问题。</w:t>
        <w:br/>
        <w:t xml:space="preserve">    3.部门重点评价情况及结果。</w:t>
        <w:br/>
        <w:t xml:space="preserve">    我部门未产生资金量大、社会关注度高的民生领域项目因此暂时未做重点项目绩效评价。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单位：辽宁省沈阳市浑南区高坎中心小学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1,098.84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1,061.14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38.29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1,098.84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1,099.42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2.04</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1.46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1,100.88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1,100.88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单位：辽宁省沈阳市浑南区高坎中心小学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1,098.84</w:t>
            </w:r>
          </w:p>
        </w:tc>
        <w:tc>
          <w:tcPr>
            <w:tcW w:w="960" w:type="dxa"/>
            <w:tcBorders/>
            <w:vAlign w:val="center"/>
          </w:tcPr>
          <w:p>
            <w:pPr>
              <w:jc w:val="right"/>
            </w:pPr>
            <w:r>
              <w:rPr>
                <w:rFonts w:ascii="宋体" w:eastAsia="宋体" w:hAnsi="宋体" w:cs="宋体"/>
                <w:b/>
                <w:i w:val="0"/>
                <w:color w:val="000000"/>
                <w:sz w:val="13"/>
              </w:rPr>
              <w:t xml:space="preserve">1,098.84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1,060.56</w:t>
            </w:r>
          </w:p>
        </w:tc>
        <w:tc>
          <w:tcPr>
            <w:tcW w:w="960" w:type="dxa"/>
            <w:tcBorders/>
            <w:vAlign w:val="center"/>
          </w:tcPr>
          <w:p>
            <w:pPr>
              <w:jc w:val="right"/>
            </w:pPr>
            <w:r>
              <w:rPr>
                <w:rFonts w:ascii="宋体" w:eastAsia="宋体" w:hAnsi="宋体" w:cs="宋体"/>
                <w:b w:val="0"/>
                <w:i w:val="0"/>
                <w:color w:val="000000"/>
                <w:sz w:val="13"/>
              </w:rPr>
              <w:t xml:space="preserve">1,060.56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1,048.43</w:t>
            </w:r>
          </w:p>
        </w:tc>
        <w:tc>
          <w:tcPr>
            <w:tcW w:w="960" w:type="dxa"/>
            <w:tcBorders/>
            <w:vAlign w:val="center"/>
          </w:tcPr>
          <w:p>
            <w:pPr>
              <w:jc w:val="right"/>
            </w:pPr>
            <w:r>
              <w:rPr>
                <w:rFonts w:ascii="宋体" w:eastAsia="宋体" w:hAnsi="宋体" w:cs="宋体"/>
                <w:b w:val="0"/>
                <w:i w:val="0"/>
                <w:color w:val="000000"/>
                <w:sz w:val="13"/>
              </w:rPr>
              <w:t xml:space="preserve">1,048.43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53.40</w:t>
            </w:r>
          </w:p>
        </w:tc>
        <w:tc>
          <w:tcPr>
            <w:tcW w:w="960" w:type="dxa"/>
            <w:tcBorders/>
            <w:vAlign w:val="center"/>
          </w:tcPr>
          <w:p>
            <w:pPr>
              <w:jc w:val="right"/>
            </w:pPr>
            <w:r>
              <w:rPr>
                <w:rFonts w:ascii="宋体" w:eastAsia="宋体" w:hAnsi="宋体" w:cs="宋体"/>
                <w:b w:val="0"/>
                <w:i w:val="0"/>
                <w:color w:val="000000"/>
                <w:sz w:val="13"/>
              </w:rPr>
              <w:t xml:space="preserve">53.40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995.03</w:t>
            </w:r>
          </w:p>
        </w:tc>
        <w:tc>
          <w:tcPr>
            <w:tcW w:w="960" w:type="dxa"/>
            <w:tcBorders/>
            <w:vAlign w:val="center"/>
          </w:tcPr>
          <w:p>
            <w:pPr>
              <w:jc w:val="right"/>
            </w:pPr>
            <w:r>
              <w:rPr>
                <w:rFonts w:ascii="宋体" w:eastAsia="宋体" w:hAnsi="宋体" w:cs="宋体"/>
                <w:b w:val="0"/>
                <w:i w:val="0"/>
                <w:color w:val="000000"/>
                <w:sz w:val="13"/>
              </w:rPr>
              <w:t xml:space="preserve">995.03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12.13</w:t>
            </w:r>
          </w:p>
        </w:tc>
        <w:tc>
          <w:tcPr>
            <w:tcW w:w="960" w:type="dxa"/>
            <w:tcBorders/>
            <w:vAlign w:val="center"/>
          </w:tcPr>
          <w:p>
            <w:pPr>
              <w:jc w:val="right"/>
            </w:pPr>
            <w:r>
              <w:rPr>
                <w:rFonts w:ascii="宋体" w:eastAsia="宋体" w:hAnsi="宋体" w:cs="宋体"/>
                <w:b w:val="0"/>
                <w:i w:val="0"/>
                <w:color w:val="000000"/>
                <w:sz w:val="13"/>
              </w:rPr>
              <w:t xml:space="preserve">12.13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12.13</w:t>
            </w:r>
          </w:p>
        </w:tc>
        <w:tc>
          <w:tcPr>
            <w:tcW w:w="960" w:type="dxa"/>
            <w:tcBorders/>
            <w:vAlign w:val="center"/>
          </w:tcPr>
          <w:p>
            <w:pPr>
              <w:jc w:val="right"/>
            </w:pPr>
            <w:r>
              <w:rPr>
                <w:rFonts w:ascii="宋体" w:eastAsia="宋体" w:hAnsi="宋体" w:cs="宋体"/>
                <w:b w:val="0"/>
                <w:i w:val="0"/>
                <w:color w:val="000000"/>
                <w:sz w:val="13"/>
              </w:rPr>
              <w:t xml:space="preserve">12.13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38.28</w:t>
            </w:r>
          </w:p>
        </w:tc>
        <w:tc>
          <w:tcPr>
            <w:tcW w:w="960" w:type="dxa"/>
            <w:tcBorders/>
            <w:vAlign w:val="center"/>
          </w:tcPr>
          <w:p>
            <w:pPr>
              <w:jc w:val="right"/>
            </w:pPr>
            <w:r>
              <w:rPr>
                <w:rFonts w:ascii="宋体" w:eastAsia="宋体" w:hAnsi="宋体" w:cs="宋体"/>
                <w:b w:val="0"/>
                <w:i w:val="0"/>
                <w:color w:val="000000"/>
                <w:sz w:val="13"/>
              </w:rPr>
              <w:t xml:space="preserve">38.28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38.28</w:t>
            </w:r>
          </w:p>
        </w:tc>
        <w:tc>
          <w:tcPr>
            <w:tcW w:w="960" w:type="dxa"/>
            <w:tcBorders/>
            <w:vAlign w:val="center"/>
          </w:tcPr>
          <w:p>
            <w:pPr>
              <w:jc w:val="right"/>
            </w:pPr>
            <w:r>
              <w:rPr>
                <w:rFonts w:ascii="宋体" w:eastAsia="宋体" w:hAnsi="宋体" w:cs="宋体"/>
                <w:b w:val="0"/>
                <w:i w:val="0"/>
                <w:color w:val="000000"/>
                <w:sz w:val="13"/>
              </w:rPr>
              <w:t xml:space="preserve">38.28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16.87</w:t>
            </w:r>
          </w:p>
        </w:tc>
        <w:tc>
          <w:tcPr>
            <w:tcW w:w="960" w:type="dxa"/>
            <w:tcBorders/>
            <w:vAlign w:val="center"/>
          </w:tcPr>
          <w:p>
            <w:pPr>
              <w:jc w:val="right"/>
            </w:pPr>
            <w:r>
              <w:rPr>
                <w:rFonts w:ascii="宋体" w:eastAsia="宋体" w:hAnsi="宋体" w:cs="宋体"/>
                <w:b w:val="0"/>
                <w:i w:val="0"/>
                <w:color w:val="000000"/>
                <w:sz w:val="13"/>
              </w:rPr>
              <w:t xml:space="preserve">16.87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21.41</w:t>
            </w:r>
          </w:p>
        </w:tc>
        <w:tc>
          <w:tcPr>
            <w:tcW w:w="960" w:type="dxa"/>
            <w:tcBorders/>
            <w:vAlign w:val="center"/>
          </w:tcPr>
          <w:p>
            <w:pPr>
              <w:jc w:val="right"/>
            </w:pPr>
            <w:r>
              <w:rPr>
                <w:rFonts w:ascii="宋体" w:eastAsia="宋体" w:hAnsi="宋体" w:cs="宋体"/>
                <w:b w:val="0"/>
                <w:i w:val="0"/>
                <w:color w:val="000000"/>
                <w:sz w:val="13"/>
              </w:rPr>
              <w:t xml:space="preserve">21.41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单位：辽宁省沈阳市浑南区高坎中心小学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1,099.42</w:t>
            </w:r>
          </w:p>
        </w:tc>
        <w:tc>
          <w:tcPr>
            <w:tcW w:w="1060" w:type="dxa"/>
            <w:tcBorders/>
            <w:vAlign w:val="center"/>
          </w:tcPr>
          <w:p>
            <w:pPr>
              <w:jc w:val="right"/>
            </w:pPr>
            <w:r>
              <w:rPr>
                <w:rFonts w:ascii="宋体" w:eastAsia="宋体" w:hAnsi="宋体" w:cs="宋体"/>
                <w:b/>
                <w:i w:val="0"/>
                <w:color w:val="000000"/>
                <w:sz w:val="14"/>
              </w:rPr>
              <w:t xml:space="preserve">762.12</w:t>
            </w:r>
          </w:p>
        </w:tc>
        <w:tc>
          <w:tcPr>
            <w:tcW w:w="1060" w:type="dxa"/>
            <w:tcBorders/>
            <w:vAlign w:val="center"/>
          </w:tcPr>
          <w:p>
            <w:pPr>
              <w:jc w:val="right"/>
            </w:pPr>
            <w:r>
              <w:rPr>
                <w:rFonts w:ascii="宋体" w:eastAsia="宋体" w:hAnsi="宋体" w:cs="宋体"/>
                <w:b/>
                <w:i w:val="0"/>
                <w:color w:val="000000"/>
                <w:sz w:val="14"/>
              </w:rPr>
              <w:t xml:space="preserve">337.30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1,061.13</w:t>
            </w:r>
          </w:p>
        </w:tc>
        <w:tc>
          <w:tcPr>
            <w:tcW w:w="1060" w:type="dxa"/>
            <w:tcBorders/>
            <w:vAlign w:val="center"/>
          </w:tcPr>
          <w:p>
            <w:pPr>
              <w:jc w:val="right"/>
            </w:pPr>
            <w:r>
              <w:rPr>
                <w:rFonts w:ascii="宋体" w:eastAsia="宋体" w:hAnsi="宋体" w:cs="宋体"/>
                <w:b w:val="0"/>
                <w:i w:val="0"/>
                <w:color w:val="000000"/>
                <w:sz w:val="14"/>
              </w:rPr>
              <w:t xml:space="preserve">723.84</w:t>
            </w:r>
          </w:p>
        </w:tc>
        <w:tc>
          <w:tcPr>
            <w:tcW w:w="1060" w:type="dxa"/>
            <w:tcBorders/>
            <w:vAlign w:val="center"/>
          </w:tcPr>
          <w:p>
            <w:pPr>
              <w:jc w:val="right"/>
            </w:pPr>
            <w:r>
              <w:rPr>
                <w:rFonts w:ascii="宋体" w:eastAsia="宋体" w:hAnsi="宋体" w:cs="宋体"/>
                <w:b w:val="0"/>
                <w:i w:val="0"/>
                <w:color w:val="000000"/>
                <w:sz w:val="14"/>
              </w:rPr>
              <w:t xml:space="preserve">337.29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1,048.43</w:t>
            </w:r>
          </w:p>
        </w:tc>
        <w:tc>
          <w:tcPr>
            <w:tcW w:w="1060" w:type="dxa"/>
            <w:tcBorders/>
            <w:vAlign w:val="center"/>
          </w:tcPr>
          <w:p>
            <w:pPr>
              <w:jc w:val="right"/>
            </w:pPr>
            <w:r>
              <w:rPr>
                <w:rFonts w:ascii="宋体" w:eastAsia="宋体" w:hAnsi="宋体" w:cs="宋体"/>
                <w:b w:val="0"/>
                <w:i w:val="0"/>
                <w:color w:val="000000"/>
                <w:sz w:val="14"/>
              </w:rPr>
              <w:t xml:space="preserve">723.84</w:t>
            </w:r>
          </w:p>
        </w:tc>
        <w:tc>
          <w:tcPr>
            <w:tcW w:w="1060" w:type="dxa"/>
            <w:tcBorders/>
            <w:vAlign w:val="center"/>
          </w:tcPr>
          <w:p>
            <w:pPr>
              <w:jc w:val="right"/>
            </w:pPr>
            <w:r>
              <w:rPr>
                <w:rFonts w:ascii="宋体" w:eastAsia="宋体" w:hAnsi="宋体" w:cs="宋体"/>
                <w:b w:val="0"/>
                <w:i w:val="0"/>
                <w:color w:val="000000"/>
                <w:sz w:val="14"/>
              </w:rPr>
              <w:t xml:space="preserve">324.59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53.40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53.40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995.03</w:t>
            </w:r>
          </w:p>
        </w:tc>
        <w:tc>
          <w:tcPr>
            <w:tcW w:w="1060" w:type="dxa"/>
            <w:tcBorders/>
            <w:vAlign w:val="center"/>
          </w:tcPr>
          <w:p>
            <w:pPr>
              <w:jc w:val="right"/>
            </w:pPr>
            <w:r>
              <w:rPr>
                <w:rFonts w:ascii="宋体" w:eastAsia="宋体" w:hAnsi="宋体" w:cs="宋体"/>
                <w:b w:val="0"/>
                <w:i w:val="0"/>
                <w:color w:val="000000"/>
                <w:sz w:val="14"/>
              </w:rPr>
              <w:t xml:space="preserve">723.84</w:t>
            </w:r>
          </w:p>
        </w:tc>
        <w:tc>
          <w:tcPr>
            <w:tcW w:w="1060" w:type="dxa"/>
            <w:tcBorders/>
            <w:vAlign w:val="center"/>
          </w:tcPr>
          <w:p>
            <w:pPr>
              <w:jc w:val="right"/>
            </w:pPr>
            <w:r>
              <w:rPr>
                <w:rFonts w:ascii="宋体" w:eastAsia="宋体" w:hAnsi="宋体" w:cs="宋体"/>
                <w:b w:val="0"/>
                <w:i w:val="0"/>
                <w:color w:val="000000"/>
                <w:sz w:val="14"/>
              </w:rPr>
              <w:t xml:space="preserve">271.19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12.70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12.70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38.28</w:t>
            </w:r>
          </w:p>
        </w:tc>
        <w:tc>
          <w:tcPr>
            <w:tcW w:w="1060" w:type="dxa"/>
            <w:tcBorders/>
            <w:vAlign w:val="center"/>
          </w:tcPr>
          <w:p>
            <w:pPr>
              <w:jc w:val="right"/>
            </w:pPr>
            <w:r>
              <w:rPr>
                <w:rFonts w:ascii="宋体" w:eastAsia="宋体" w:hAnsi="宋体" w:cs="宋体"/>
                <w:b w:val="0"/>
                <w:i w:val="0"/>
                <w:color w:val="000000"/>
                <w:sz w:val="14"/>
              </w:rPr>
              <w:t xml:space="preserve">38.28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38.28</w:t>
            </w:r>
          </w:p>
        </w:tc>
        <w:tc>
          <w:tcPr>
            <w:tcW w:w="1060" w:type="dxa"/>
            <w:tcBorders/>
            <w:vAlign w:val="center"/>
          </w:tcPr>
          <w:p>
            <w:pPr>
              <w:jc w:val="right"/>
            </w:pPr>
            <w:r>
              <w:rPr>
                <w:rFonts w:ascii="宋体" w:eastAsia="宋体" w:hAnsi="宋体" w:cs="宋体"/>
                <w:b w:val="0"/>
                <w:i w:val="0"/>
                <w:color w:val="000000"/>
                <w:sz w:val="14"/>
              </w:rPr>
              <w:t xml:space="preserve">38.28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16.87</w:t>
            </w:r>
          </w:p>
        </w:tc>
        <w:tc>
          <w:tcPr>
            <w:tcW w:w="1060" w:type="dxa"/>
            <w:tcBorders/>
            <w:vAlign w:val="center"/>
          </w:tcPr>
          <w:p>
            <w:pPr>
              <w:jc w:val="right"/>
            </w:pPr>
            <w:r>
              <w:rPr>
                <w:rFonts w:ascii="宋体" w:eastAsia="宋体" w:hAnsi="宋体" w:cs="宋体"/>
                <w:b w:val="0"/>
                <w:i w:val="0"/>
                <w:color w:val="000000"/>
                <w:sz w:val="14"/>
              </w:rPr>
              <w:t xml:space="preserve">16.87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21.41</w:t>
            </w:r>
          </w:p>
        </w:tc>
        <w:tc>
          <w:tcPr>
            <w:tcW w:w="1060" w:type="dxa"/>
            <w:tcBorders/>
            <w:vAlign w:val="center"/>
          </w:tcPr>
          <w:p>
            <w:pPr>
              <w:jc w:val="right"/>
            </w:pPr>
            <w:r>
              <w:rPr>
                <w:rFonts w:ascii="宋体" w:eastAsia="宋体" w:hAnsi="宋体" w:cs="宋体"/>
                <w:b w:val="0"/>
                <w:i w:val="0"/>
                <w:color w:val="000000"/>
                <w:sz w:val="14"/>
              </w:rPr>
              <w:t xml:space="preserve">21.41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单位：辽宁省沈阳市浑南区高坎中心小学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1,098.84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1,060.56</w:t>
            </w:r>
          </w:p>
        </w:tc>
        <w:tc>
          <w:tcPr>
            <w:tcW w:w="1100" w:type="dxa"/>
            <w:tcBorders/>
            <w:vAlign w:val="center"/>
          </w:tcPr>
          <w:p>
            <w:pPr>
              <w:jc w:val="right"/>
            </w:pPr>
            <w:r>
              <w:rPr>
                <w:rFonts w:ascii="宋体" w:eastAsia="宋体" w:hAnsi="宋体" w:cs="宋体"/>
                <w:b w:val="0"/>
                <w:i w:val="0"/>
                <w:color w:val="000000"/>
                <w:sz w:val="14"/>
              </w:rPr>
              <w:t xml:space="preserve">1,060.56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38.29</w:t>
            </w:r>
          </w:p>
        </w:tc>
        <w:tc>
          <w:tcPr>
            <w:tcW w:w="1100" w:type="dxa"/>
            <w:tcBorders/>
            <w:vAlign w:val="center"/>
          </w:tcPr>
          <w:p>
            <w:pPr>
              <w:jc w:val="right"/>
            </w:pPr>
            <w:r>
              <w:rPr>
                <w:rFonts w:ascii="宋体" w:eastAsia="宋体" w:hAnsi="宋体" w:cs="宋体"/>
                <w:b w:val="0"/>
                <w:i w:val="0"/>
                <w:color w:val="000000"/>
                <w:sz w:val="14"/>
              </w:rPr>
              <w:t xml:space="preserve">38.29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1,098.84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1,098.84</w:t>
            </w:r>
          </w:p>
        </w:tc>
        <w:tc>
          <w:tcPr>
            <w:tcW w:w="1100" w:type="dxa"/>
            <w:tcBorders/>
            <w:vAlign w:val="center"/>
          </w:tcPr>
          <w:p>
            <w:pPr>
              <w:jc w:val="right"/>
            </w:pPr>
            <w:r>
              <w:rPr>
                <w:rFonts w:ascii="宋体" w:eastAsia="宋体" w:hAnsi="宋体" w:cs="宋体"/>
                <w:b w:val="0"/>
                <w:i w:val="0"/>
                <w:color w:val="000000"/>
                <w:sz w:val="14"/>
              </w:rPr>
              <w:t xml:space="preserve">1,098.84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1,098.84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1,098.84</w:t>
            </w:r>
          </w:p>
        </w:tc>
        <w:tc>
          <w:tcPr>
            <w:tcW w:w="1100" w:type="dxa"/>
            <w:tcBorders/>
            <w:vAlign w:val="center"/>
          </w:tcPr>
          <w:p>
            <w:pPr>
              <w:jc w:val="right"/>
            </w:pPr>
            <w:r>
              <w:rPr>
                <w:rFonts w:ascii="宋体" w:eastAsia="宋体" w:hAnsi="宋体" w:cs="宋体"/>
                <w:b w:val="0"/>
                <w:i w:val="0"/>
                <w:color w:val="000000"/>
                <w:sz w:val="14"/>
              </w:rPr>
              <w:t xml:space="preserve">1,098.84</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单位：辽宁省沈阳市浑南区高坎中心小学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1,098.84</w:t>
            </w:r>
          </w:p>
        </w:tc>
        <w:tc>
          <w:tcPr>
            <w:tcW w:w="1780" w:type="dxa"/>
            <w:tcBorders/>
            <w:vAlign w:val="center"/>
          </w:tcPr>
          <w:p>
            <w:pPr>
              <w:jc w:val="right"/>
            </w:pPr>
            <w:r>
              <w:rPr>
                <w:rFonts w:ascii="宋体" w:eastAsia="宋体" w:hAnsi="宋体" w:cs="宋体"/>
                <w:b/>
                <w:i w:val="0"/>
                <w:color w:val="000000"/>
                <w:sz w:val="18"/>
              </w:rPr>
              <w:t xml:space="preserve">762.12</w:t>
            </w:r>
          </w:p>
        </w:tc>
        <w:tc>
          <w:tcPr>
            <w:tcW w:w="1772" w:type="dxa"/>
            <w:tcBorders/>
            <w:vAlign w:val="center"/>
          </w:tcPr>
          <w:p>
            <w:pPr>
              <w:jc w:val="right"/>
            </w:pPr>
            <w:r>
              <w:rPr>
                <w:rFonts w:ascii="宋体" w:eastAsia="宋体" w:hAnsi="宋体" w:cs="宋体"/>
                <w:b/>
                <w:i w:val="0"/>
                <w:color w:val="000000"/>
                <w:sz w:val="18"/>
              </w:rPr>
              <w:t xml:space="preserve">336.72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1,060.56</w:t>
            </w:r>
          </w:p>
        </w:tc>
        <w:tc>
          <w:tcPr>
            <w:tcW w:w="1780" w:type="dxa"/>
            <w:tcBorders/>
            <w:vAlign w:val="center"/>
          </w:tcPr>
          <w:p>
            <w:pPr>
              <w:jc w:val="right"/>
            </w:pPr>
            <w:r>
              <w:rPr>
                <w:rFonts w:ascii="宋体" w:eastAsia="宋体" w:hAnsi="宋体" w:cs="宋体"/>
                <w:b w:val="0"/>
                <w:i w:val="0"/>
                <w:color w:val="000000"/>
                <w:sz w:val="18"/>
              </w:rPr>
              <w:t xml:space="preserve">723.84</w:t>
            </w:r>
          </w:p>
        </w:tc>
        <w:tc>
          <w:tcPr>
            <w:tcW w:w="1772" w:type="dxa"/>
            <w:tcBorders/>
            <w:vAlign w:val="center"/>
          </w:tcPr>
          <w:p>
            <w:pPr>
              <w:jc w:val="right"/>
            </w:pPr>
            <w:r>
              <w:rPr>
                <w:rFonts w:ascii="宋体" w:eastAsia="宋体" w:hAnsi="宋体" w:cs="宋体"/>
                <w:b w:val="0"/>
                <w:i w:val="0"/>
                <w:color w:val="000000"/>
                <w:sz w:val="18"/>
              </w:rPr>
              <w:t xml:space="preserve">336.72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1,048.43</w:t>
            </w:r>
          </w:p>
        </w:tc>
        <w:tc>
          <w:tcPr>
            <w:tcW w:w="1780" w:type="dxa"/>
            <w:tcBorders/>
            <w:vAlign w:val="center"/>
          </w:tcPr>
          <w:p>
            <w:pPr>
              <w:jc w:val="right"/>
            </w:pPr>
            <w:r>
              <w:rPr>
                <w:rFonts w:ascii="宋体" w:eastAsia="宋体" w:hAnsi="宋体" w:cs="宋体"/>
                <w:b w:val="0"/>
                <w:i w:val="0"/>
                <w:color w:val="000000"/>
                <w:sz w:val="18"/>
              </w:rPr>
              <w:t xml:space="preserve">723.84</w:t>
            </w:r>
          </w:p>
        </w:tc>
        <w:tc>
          <w:tcPr>
            <w:tcW w:w="1772" w:type="dxa"/>
            <w:tcBorders/>
            <w:vAlign w:val="center"/>
          </w:tcPr>
          <w:p>
            <w:pPr>
              <w:jc w:val="right"/>
            </w:pPr>
            <w:r>
              <w:rPr>
                <w:rFonts w:ascii="宋体" w:eastAsia="宋体" w:hAnsi="宋体" w:cs="宋体"/>
                <w:b w:val="0"/>
                <w:i w:val="0"/>
                <w:color w:val="000000"/>
                <w:sz w:val="18"/>
              </w:rPr>
              <w:t xml:space="preserve">324.59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53.40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53.40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995.03</w:t>
            </w:r>
          </w:p>
        </w:tc>
        <w:tc>
          <w:tcPr>
            <w:tcW w:w="1780" w:type="dxa"/>
            <w:tcBorders/>
            <w:vAlign w:val="center"/>
          </w:tcPr>
          <w:p>
            <w:pPr>
              <w:jc w:val="right"/>
            </w:pPr>
            <w:r>
              <w:rPr>
                <w:rFonts w:ascii="宋体" w:eastAsia="宋体" w:hAnsi="宋体" w:cs="宋体"/>
                <w:b w:val="0"/>
                <w:i w:val="0"/>
                <w:color w:val="000000"/>
                <w:sz w:val="18"/>
              </w:rPr>
              <w:t xml:space="preserve">723.84</w:t>
            </w:r>
          </w:p>
        </w:tc>
        <w:tc>
          <w:tcPr>
            <w:tcW w:w="1772" w:type="dxa"/>
            <w:tcBorders/>
            <w:vAlign w:val="center"/>
          </w:tcPr>
          <w:p>
            <w:pPr>
              <w:jc w:val="right"/>
            </w:pPr>
            <w:r>
              <w:rPr>
                <w:rFonts w:ascii="宋体" w:eastAsia="宋体" w:hAnsi="宋体" w:cs="宋体"/>
                <w:b w:val="0"/>
                <w:i w:val="0"/>
                <w:color w:val="000000"/>
                <w:sz w:val="18"/>
              </w:rPr>
              <w:t xml:space="preserve">271.19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12.13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12.13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38.28</w:t>
            </w:r>
          </w:p>
        </w:tc>
        <w:tc>
          <w:tcPr>
            <w:tcW w:w="1780" w:type="dxa"/>
            <w:tcBorders/>
            <w:vAlign w:val="center"/>
          </w:tcPr>
          <w:p>
            <w:pPr>
              <w:jc w:val="right"/>
            </w:pPr>
            <w:r>
              <w:rPr>
                <w:rFonts w:ascii="宋体" w:eastAsia="宋体" w:hAnsi="宋体" w:cs="宋体"/>
                <w:b w:val="0"/>
                <w:i w:val="0"/>
                <w:color w:val="000000"/>
                <w:sz w:val="18"/>
              </w:rPr>
              <w:t xml:space="preserve">38.28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38.28</w:t>
            </w:r>
          </w:p>
        </w:tc>
        <w:tc>
          <w:tcPr>
            <w:tcW w:w="1780" w:type="dxa"/>
            <w:tcBorders/>
            <w:vAlign w:val="center"/>
          </w:tcPr>
          <w:p>
            <w:pPr>
              <w:jc w:val="right"/>
            </w:pPr>
            <w:r>
              <w:rPr>
                <w:rFonts w:ascii="宋体" w:eastAsia="宋体" w:hAnsi="宋体" w:cs="宋体"/>
                <w:b w:val="0"/>
                <w:i w:val="0"/>
                <w:color w:val="000000"/>
                <w:sz w:val="18"/>
              </w:rPr>
              <w:t xml:space="preserve">38.28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16.87</w:t>
            </w:r>
          </w:p>
        </w:tc>
        <w:tc>
          <w:tcPr>
            <w:tcW w:w="1780" w:type="dxa"/>
            <w:tcBorders/>
            <w:vAlign w:val="center"/>
          </w:tcPr>
          <w:p>
            <w:pPr>
              <w:jc w:val="right"/>
            </w:pPr>
            <w:r>
              <w:rPr>
                <w:rFonts w:ascii="宋体" w:eastAsia="宋体" w:hAnsi="宋体" w:cs="宋体"/>
                <w:b w:val="0"/>
                <w:i w:val="0"/>
                <w:color w:val="000000"/>
                <w:sz w:val="18"/>
              </w:rPr>
              <w:t xml:space="preserve">16.87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21.41</w:t>
            </w:r>
          </w:p>
        </w:tc>
        <w:tc>
          <w:tcPr>
            <w:tcW w:w="1780" w:type="dxa"/>
            <w:tcBorders/>
            <w:vAlign w:val="center"/>
          </w:tcPr>
          <w:p>
            <w:pPr>
              <w:jc w:val="right"/>
            </w:pPr>
            <w:r>
              <w:rPr>
                <w:rFonts w:ascii="宋体" w:eastAsia="宋体" w:hAnsi="宋体" w:cs="宋体"/>
                <w:b w:val="0"/>
                <w:i w:val="0"/>
                <w:color w:val="000000"/>
                <w:sz w:val="18"/>
              </w:rPr>
              <w:t xml:space="preserve">21.41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单位：辽宁省沈阳市浑南区高坎中心小学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726.06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8.98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286.85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0.53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84.98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24.26</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7.30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163.23</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93.42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0.72</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21.41</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40.23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4.39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0.15</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27.08</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0.09</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16.87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10.21</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2.17</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5.21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0.10</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753.14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8.98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单位：辽宁省沈阳市浑南区高坎中心小学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单位：辽宁省沈阳市浑南区高坎中心小学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单位：辽宁省沈阳市浑南区高坎中心小学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023027沈阳市浑南区高坎中心小学-210112000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853.4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853.4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706.06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706.06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完成各项支出，强大校园建设。</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教育培训参加人数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民办退休教师养老补贴-2024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东陵区人民法院民事判决书【2010】东陵民-初字第111号；《关于调整60年代精简退职职工生活待遇标准意见的通知》（辽政办发【2012】65号）白塔小学4.29万元，浑河站小学3.6万元，望滨小学3.8万，高坎小学4.26万元，15.95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民办退休教师养老补贴-2024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东陵区人民法院民事判决书【2010】东陵民-初字第111号；《关于调整60年代精简退职职工生活待遇标准意见的通知》（辽政办发【2012】65号）白塔小学4.29万元，浑河站小学3.6万元，望滨小学3.8万，高坎小学4.26万元，15.95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专用设备购置-2024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沈阳市浑南区高坎中心小学-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国家、省、市各部门相关规定，根据区教育局工作安排，结合学校实际需求，为全力保障各类教育教学任务顺利开展，各级各类学校平稳运行，开展了一系列采购项目及工程维修项目，严格按照招标流程进行公开招标，并委托专业机构进行验收，形成完成了验收材料，并依据合同约定，按照项目进展情况进行资金申请及拨付，及时足额使用项目资金，合同统一通过法审，并做好档案管理工作，充分发挥资金使用效益，积极配合各部门检查及巡视工作。项目实施有必要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