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辽宁省沈阳市浑南区高坎中学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辽宁省沈阳市浑南区高坎中学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辽宁省沈阳市浑南区高坎中学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辽宁省沈阳市浑南区高坎中学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辽宁省沈阳市浑南区高坎中学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辽宁省沈阳市浑南区高坎中学概况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（一）实施初中义务教育，促进基础教育发展，初中学历教育。</w:t>
        <w:br/>
        <w:t xml:space="preserve">    （二）提高财政资金使用效益。</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辽宁省沈阳市浑南区高坎中学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沈阳市浑南区高坎中学是纳入浑南区教育局2024年决算编制范围的二级预算单位，本单位无下设机构。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1344.53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1283.66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95.47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1283.66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60.88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4.53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主要是区教育局转2021年教育事业发展捐赠结余款等。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减少10.89万元，降低0.80%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学生生源减少，财政拨款减少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1284.79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1094.12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85.16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工资福利支出1068.90万元；商品和服务支出11.41万元；对个人和家庭的补助13.81万元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190.67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14.84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主要包括商品和服务、个人和家庭的补助、资本性资金等业务支出。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减少9.76万元，降低0.75%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学生生源减少，财政拨款减少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59.74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主要是归集调入市转移支付资金等原因形成的结余。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减少1.13万元，降低1.86%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区教育局转2021年教育事业发展捐赠结余款</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1283.66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1094.12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189.54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增加11.42万元，增长0.90%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一般公共预算财政拨款增加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108.34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92.34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2024年度一般公共预算财政拨款支出1283.66万元。按支出功能分类科目分，包括：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1.教育支出1274.80万元，具体包括：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（1）教育支出（类）普通教育（款）初中教育（项）1274.51万元,主要是工资福利、商品和服务、个人和家庭补助等支出，完成年初预算的108.89%，决算数与年初预算数存在差异的主要原因是按实际情况支付。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（2）教育支出（类）教育费附加安排的支出（款）其他教育费附加安排的支出（项）0.29万元,主要是商品和服务等支出，完成年初预算的108.89%，决算数与年初预算数存在差异的主要原因是按实际情况支付。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2.社会保障和就业支出8.86万元，具体包括：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8.86万元,主要是对个人和家庭的补助等支出，完成年初预算的87.03%，决算数与年初预算数存在差异的主要原因是按实际情况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1094.12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1082.71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11.41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，其他用车主要是办公用车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1254.27万元。其中，一般公共预算资金1254.27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0个；得分在60分以下、等级为“差”的项目有0个。各项目自评发现，部分项目存在1问题，如：预算执行进度偏慢，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城乡义务教育补助经费-2024，涉及资金13.28万元，评价平均分为100分，评级情况为优；第二个重点项目为学生资助-2024，涉及资金1.09万元，评价平均分为100分，评级情况为优。同时，评价也发现区聘教师经费项目存在问题，资金使用效益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1,283.66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1,275.93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8.86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1,283.66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1,284.79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60.88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59.74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1,344.53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1,344.53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1,283.66</w:t>
            </w:r>
          </w:p>
        </w:tc>
        <w:tc>
          <w:tcPr>
            <w:tcW w:w="960" w:type="dxa"/>
            <w:tcBorders/>
            <w:vAlign w:val="center"/>
          </w:tcPr>
          <w:p>
            <w:pPr>
              <w:jc w:val="right"/>
            </w:pPr>
            <w:r>
              <w:rPr>
                <w:rFonts w:ascii="宋体" w:eastAsia="宋体" w:hAnsi="宋体" w:cs="宋体"/>
                <w:b/>
                <w:i w:val="0"/>
                <w:color w:val="000000"/>
                <w:sz w:val="13"/>
              </w:rPr>
              <w:t xml:space="preserve">1,283.66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1,274.80</w:t>
            </w:r>
          </w:p>
        </w:tc>
        <w:tc>
          <w:tcPr>
            <w:tcW w:w="960" w:type="dxa"/>
            <w:tcBorders/>
            <w:vAlign w:val="center"/>
          </w:tcPr>
          <w:p>
            <w:pPr>
              <w:jc w:val="right"/>
            </w:pPr>
            <w:r>
              <w:rPr>
                <w:rFonts w:ascii="宋体" w:eastAsia="宋体" w:hAnsi="宋体" w:cs="宋体"/>
                <w:b w:val="0"/>
                <w:i w:val="0"/>
                <w:color w:val="000000"/>
                <w:sz w:val="13"/>
              </w:rPr>
              <w:t xml:space="preserve">1,274.80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1,274.51</w:t>
            </w:r>
          </w:p>
        </w:tc>
        <w:tc>
          <w:tcPr>
            <w:tcW w:w="960" w:type="dxa"/>
            <w:tcBorders/>
            <w:vAlign w:val="center"/>
          </w:tcPr>
          <w:p>
            <w:pPr>
              <w:jc w:val="right"/>
            </w:pPr>
            <w:r>
              <w:rPr>
                <w:rFonts w:ascii="宋体" w:eastAsia="宋体" w:hAnsi="宋体" w:cs="宋体"/>
                <w:b w:val="0"/>
                <w:i w:val="0"/>
                <w:color w:val="000000"/>
                <w:sz w:val="13"/>
              </w:rPr>
              <w:t xml:space="preserve">1,274.51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1,274.51</w:t>
            </w:r>
          </w:p>
        </w:tc>
        <w:tc>
          <w:tcPr>
            <w:tcW w:w="960" w:type="dxa"/>
            <w:tcBorders/>
            <w:vAlign w:val="center"/>
          </w:tcPr>
          <w:p>
            <w:pPr>
              <w:jc w:val="right"/>
            </w:pPr>
            <w:r>
              <w:rPr>
                <w:rFonts w:ascii="宋体" w:eastAsia="宋体" w:hAnsi="宋体" w:cs="宋体"/>
                <w:b w:val="0"/>
                <w:i w:val="0"/>
                <w:color w:val="000000"/>
                <w:sz w:val="13"/>
              </w:rPr>
              <w:t xml:space="preserve">1,274.51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0.29</w:t>
            </w:r>
          </w:p>
        </w:tc>
        <w:tc>
          <w:tcPr>
            <w:tcW w:w="960" w:type="dxa"/>
            <w:tcBorders/>
            <w:vAlign w:val="center"/>
          </w:tcPr>
          <w:p>
            <w:pPr>
              <w:jc w:val="right"/>
            </w:pPr>
            <w:r>
              <w:rPr>
                <w:rFonts w:ascii="宋体" w:eastAsia="宋体" w:hAnsi="宋体" w:cs="宋体"/>
                <w:b w:val="0"/>
                <w:i w:val="0"/>
                <w:color w:val="000000"/>
                <w:sz w:val="13"/>
              </w:rPr>
              <w:t xml:space="preserve">0.29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0.29</w:t>
            </w:r>
          </w:p>
        </w:tc>
        <w:tc>
          <w:tcPr>
            <w:tcW w:w="960" w:type="dxa"/>
            <w:tcBorders/>
            <w:vAlign w:val="center"/>
          </w:tcPr>
          <w:p>
            <w:pPr>
              <w:jc w:val="right"/>
            </w:pPr>
            <w:r>
              <w:rPr>
                <w:rFonts w:ascii="宋体" w:eastAsia="宋体" w:hAnsi="宋体" w:cs="宋体"/>
                <w:b w:val="0"/>
                <w:i w:val="0"/>
                <w:color w:val="000000"/>
                <w:sz w:val="13"/>
              </w:rPr>
              <w:t xml:space="preserve">0.29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8.86</w:t>
            </w:r>
          </w:p>
        </w:tc>
        <w:tc>
          <w:tcPr>
            <w:tcW w:w="960" w:type="dxa"/>
            <w:tcBorders/>
            <w:vAlign w:val="center"/>
          </w:tcPr>
          <w:p>
            <w:pPr>
              <w:jc w:val="right"/>
            </w:pPr>
            <w:r>
              <w:rPr>
                <w:rFonts w:ascii="宋体" w:eastAsia="宋体" w:hAnsi="宋体" w:cs="宋体"/>
                <w:b w:val="0"/>
                <w:i w:val="0"/>
                <w:color w:val="000000"/>
                <w:sz w:val="13"/>
              </w:rPr>
              <w:t xml:space="preserve">8.86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8.86</w:t>
            </w:r>
          </w:p>
        </w:tc>
        <w:tc>
          <w:tcPr>
            <w:tcW w:w="960" w:type="dxa"/>
            <w:tcBorders/>
            <w:vAlign w:val="center"/>
          </w:tcPr>
          <w:p>
            <w:pPr>
              <w:jc w:val="right"/>
            </w:pPr>
            <w:r>
              <w:rPr>
                <w:rFonts w:ascii="宋体" w:eastAsia="宋体" w:hAnsi="宋体" w:cs="宋体"/>
                <w:b w:val="0"/>
                <w:i w:val="0"/>
                <w:color w:val="000000"/>
                <w:sz w:val="13"/>
              </w:rPr>
              <w:t xml:space="preserve">8.86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8.86</w:t>
            </w:r>
          </w:p>
        </w:tc>
        <w:tc>
          <w:tcPr>
            <w:tcW w:w="960" w:type="dxa"/>
            <w:tcBorders/>
            <w:vAlign w:val="center"/>
          </w:tcPr>
          <w:p>
            <w:pPr>
              <w:jc w:val="right"/>
            </w:pPr>
            <w:r>
              <w:rPr>
                <w:rFonts w:ascii="宋体" w:eastAsia="宋体" w:hAnsi="宋体" w:cs="宋体"/>
                <w:b w:val="0"/>
                <w:i w:val="0"/>
                <w:color w:val="000000"/>
                <w:sz w:val="13"/>
              </w:rPr>
              <w:t xml:space="preserve">8.86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1,284.79</w:t>
            </w:r>
          </w:p>
        </w:tc>
        <w:tc>
          <w:tcPr>
            <w:tcW w:w="1060" w:type="dxa"/>
            <w:tcBorders/>
            <w:vAlign w:val="center"/>
          </w:tcPr>
          <w:p>
            <w:pPr>
              <w:jc w:val="right"/>
            </w:pPr>
            <w:r>
              <w:rPr>
                <w:rFonts w:ascii="宋体" w:eastAsia="宋体" w:hAnsi="宋体" w:cs="宋体"/>
                <w:b/>
                <w:i w:val="0"/>
                <w:color w:val="000000"/>
                <w:sz w:val="14"/>
              </w:rPr>
              <w:t xml:space="preserve">1,094.12</w:t>
            </w:r>
          </w:p>
        </w:tc>
        <w:tc>
          <w:tcPr>
            <w:tcW w:w="1060" w:type="dxa"/>
            <w:tcBorders/>
            <w:vAlign w:val="center"/>
          </w:tcPr>
          <w:p>
            <w:pPr>
              <w:jc w:val="right"/>
            </w:pPr>
            <w:r>
              <w:rPr>
                <w:rFonts w:ascii="宋体" w:eastAsia="宋体" w:hAnsi="宋体" w:cs="宋体"/>
                <w:b/>
                <w:i w:val="0"/>
                <w:color w:val="000000"/>
                <w:sz w:val="14"/>
              </w:rPr>
              <w:t xml:space="preserve">190.67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1,275.93</w:t>
            </w:r>
          </w:p>
        </w:tc>
        <w:tc>
          <w:tcPr>
            <w:tcW w:w="1060" w:type="dxa"/>
            <w:tcBorders/>
            <w:vAlign w:val="center"/>
          </w:tcPr>
          <w:p>
            <w:pPr>
              <w:jc w:val="right"/>
            </w:pPr>
            <w:r>
              <w:rPr>
                <w:rFonts w:ascii="宋体" w:eastAsia="宋体" w:hAnsi="宋体" w:cs="宋体"/>
                <w:b w:val="0"/>
                <w:i w:val="0"/>
                <w:color w:val="000000"/>
                <w:sz w:val="14"/>
              </w:rPr>
              <w:t xml:space="preserve">1,085.26</w:t>
            </w:r>
          </w:p>
        </w:tc>
        <w:tc>
          <w:tcPr>
            <w:tcW w:w="1060" w:type="dxa"/>
            <w:tcBorders/>
            <w:vAlign w:val="center"/>
          </w:tcPr>
          <w:p>
            <w:pPr>
              <w:jc w:val="right"/>
            </w:pPr>
            <w:r>
              <w:rPr>
                <w:rFonts w:ascii="宋体" w:eastAsia="宋体" w:hAnsi="宋体" w:cs="宋体"/>
                <w:b w:val="0"/>
                <w:i w:val="0"/>
                <w:color w:val="000000"/>
                <w:sz w:val="14"/>
              </w:rPr>
              <w:t xml:space="preserve">190.67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1,275.09</w:t>
            </w:r>
          </w:p>
        </w:tc>
        <w:tc>
          <w:tcPr>
            <w:tcW w:w="1060" w:type="dxa"/>
            <w:tcBorders/>
            <w:vAlign w:val="center"/>
          </w:tcPr>
          <w:p>
            <w:pPr>
              <w:jc w:val="right"/>
            </w:pPr>
            <w:r>
              <w:rPr>
                <w:rFonts w:ascii="宋体" w:eastAsia="宋体" w:hAnsi="宋体" w:cs="宋体"/>
                <w:b w:val="0"/>
                <w:i w:val="0"/>
                <w:color w:val="000000"/>
                <w:sz w:val="14"/>
              </w:rPr>
              <w:t xml:space="preserve">1,085.26</w:t>
            </w:r>
          </w:p>
        </w:tc>
        <w:tc>
          <w:tcPr>
            <w:tcW w:w="1060" w:type="dxa"/>
            <w:tcBorders/>
            <w:vAlign w:val="center"/>
          </w:tcPr>
          <w:p>
            <w:pPr>
              <w:jc w:val="right"/>
            </w:pPr>
            <w:r>
              <w:rPr>
                <w:rFonts w:ascii="宋体" w:eastAsia="宋体" w:hAnsi="宋体" w:cs="宋体"/>
                <w:b w:val="0"/>
                <w:i w:val="0"/>
                <w:color w:val="000000"/>
                <w:sz w:val="14"/>
              </w:rPr>
              <w:t xml:space="preserve">189.83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1,274.51</w:t>
            </w:r>
          </w:p>
        </w:tc>
        <w:tc>
          <w:tcPr>
            <w:tcW w:w="1060" w:type="dxa"/>
            <w:tcBorders/>
            <w:vAlign w:val="center"/>
          </w:tcPr>
          <w:p>
            <w:pPr>
              <w:jc w:val="right"/>
            </w:pPr>
            <w:r>
              <w:rPr>
                <w:rFonts w:ascii="宋体" w:eastAsia="宋体" w:hAnsi="宋体" w:cs="宋体"/>
                <w:b w:val="0"/>
                <w:i w:val="0"/>
                <w:color w:val="000000"/>
                <w:sz w:val="14"/>
              </w:rPr>
              <w:t xml:space="preserve">1,085.26</w:t>
            </w:r>
          </w:p>
        </w:tc>
        <w:tc>
          <w:tcPr>
            <w:tcW w:w="1060" w:type="dxa"/>
            <w:tcBorders/>
            <w:vAlign w:val="center"/>
          </w:tcPr>
          <w:p>
            <w:pPr>
              <w:jc w:val="right"/>
            </w:pPr>
            <w:r>
              <w:rPr>
                <w:rFonts w:ascii="宋体" w:eastAsia="宋体" w:hAnsi="宋体" w:cs="宋体"/>
                <w:b w:val="0"/>
                <w:i w:val="0"/>
                <w:color w:val="000000"/>
                <w:sz w:val="14"/>
              </w:rPr>
              <w:t xml:space="preserve">189.25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0.84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0.84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8.86</w:t>
            </w:r>
          </w:p>
        </w:tc>
        <w:tc>
          <w:tcPr>
            <w:tcW w:w="1060" w:type="dxa"/>
            <w:tcBorders/>
            <w:vAlign w:val="center"/>
          </w:tcPr>
          <w:p>
            <w:pPr>
              <w:jc w:val="right"/>
            </w:pPr>
            <w:r>
              <w:rPr>
                <w:rFonts w:ascii="宋体" w:eastAsia="宋体" w:hAnsi="宋体" w:cs="宋体"/>
                <w:b w:val="0"/>
                <w:i w:val="0"/>
                <w:color w:val="000000"/>
                <w:sz w:val="14"/>
              </w:rPr>
              <w:t xml:space="preserve">8.86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8.86</w:t>
            </w:r>
          </w:p>
        </w:tc>
        <w:tc>
          <w:tcPr>
            <w:tcW w:w="1060" w:type="dxa"/>
            <w:tcBorders/>
            <w:vAlign w:val="center"/>
          </w:tcPr>
          <w:p>
            <w:pPr>
              <w:jc w:val="right"/>
            </w:pPr>
            <w:r>
              <w:rPr>
                <w:rFonts w:ascii="宋体" w:eastAsia="宋体" w:hAnsi="宋体" w:cs="宋体"/>
                <w:b w:val="0"/>
                <w:i w:val="0"/>
                <w:color w:val="000000"/>
                <w:sz w:val="14"/>
              </w:rPr>
              <w:t xml:space="preserve">8.86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8.86</w:t>
            </w:r>
          </w:p>
        </w:tc>
        <w:tc>
          <w:tcPr>
            <w:tcW w:w="1060" w:type="dxa"/>
            <w:tcBorders/>
            <w:vAlign w:val="center"/>
          </w:tcPr>
          <w:p>
            <w:pPr>
              <w:jc w:val="right"/>
            </w:pPr>
            <w:r>
              <w:rPr>
                <w:rFonts w:ascii="宋体" w:eastAsia="宋体" w:hAnsi="宋体" w:cs="宋体"/>
                <w:b w:val="0"/>
                <w:i w:val="0"/>
                <w:color w:val="000000"/>
                <w:sz w:val="14"/>
              </w:rPr>
              <w:t xml:space="preserve">8.86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1,274.79</w:t>
            </w:r>
          </w:p>
        </w:tc>
        <w:tc>
          <w:tcPr>
            <w:tcW w:w="1100" w:type="dxa"/>
            <w:tcBorders/>
            <w:vAlign w:val="center"/>
          </w:tcPr>
          <w:p>
            <w:pPr>
              <w:jc w:val="right"/>
            </w:pPr>
            <w:r>
              <w:rPr>
                <w:rFonts w:ascii="宋体" w:eastAsia="宋体" w:hAnsi="宋体" w:cs="宋体"/>
                <w:b w:val="0"/>
                <w:i w:val="0"/>
                <w:color w:val="000000"/>
                <w:sz w:val="14"/>
              </w:rPr>
              <w:t xml:space="preserve">1,274.79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8.86</w:t>
            </w:r>
          </w:p>
        </w:tc>
        <w:tc>
          <w:tcPr>
            <w:tcW w:w="1100" w:type="dxa"/>
            <w:tcBorders/>
            <w:vAlign w:val="center"/>
          </w:tcPr>
          <w:p>
            <w:pPr>
              <w:jc w:val="right"/>
            </w:pPr>
            <w:r>
              <w:rPr>
                <w:rFonts w:ascii="宋体" w:eastAsia="宋体" w:hAnsi="宋体" w:cs="宋体"/>
                <w:b w:val="0"/>
                <w:i w:val="0"/>
                <w:color w:val="000000"/>
                <w:sz w:val="14"/>
              </w:rPr>
              <w:t xml:space="preserve">8.86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1100" w:type="dxa"/>
            <w:tcBorders/>
            <w:vAlign w:val="center"/>
          </w:tcPr>
          <w:p>
            <w:pPr>
              <w:jc w:val="right"/>
            </w:pPr>
            <w:r>
              <w:rPr>
                <w:rFonts w:ascii="宋体" w:eastAsia="宋体" w:hAnsi="宋体" w:cs="宋体"/>
                <w:b w:val="0"/>
                <w:i w:val="0"/>
                <w:color w:val="000000"/>
                <w:sz w:val="14"/>
              </w:rPr>
              <w:t xml:space="preserve">1,283.66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1,283.66</w:t>
            </w:r>
          </w:p>
        </w:tc>
        <w:tc>
          <w:tcPr>
            <w:tcW w:w="1780" w:type="dxa"/>
            <w:tcBorders/>
            <w:vAlign w:val="center"/>
          </w:tcPr>
          <w:p>
            <w:pPr>
              <w:jc w:val="right"/>
            </w:pPr>
            <w:r>
              <w:rPr>
                <w:rFonts w:ascii="宋体" w:eastAsia="宋体" w:hAnsi="宋体" w:cs="宋体"/>
                <w:b/>
                <w:i w:val="0"/>
                <w:color w:val="000000"/>
                <w:sz w:val="18"/>
              </w:rPr>
              <w:t xml:space="preserve">1,094.12</w:t>
            </w:r>
          </w:p>
        </w:tc>
        <w:tc>
          <w:tcPr>
            <w:tcW w:w="1772" w:type="dxa"/>
            <w:tcBorders/>
            <w:vAlign w:val="center"/>
          </w:tcPr>
          <w:p>
            <w:pPr>
              <w:jc w:val="right"/>
            </w:pPr>
            <w:r>
              <w:rPr>
                <w:rFonts w:ascii="宋体" w:eastAsia="宋体" w:hAnsi="宋体" w:cs="宋体"/>
                <w:b/>
                <w:i w:val="0"/>
                <w:color w:val="000000"/>
                <w:sz w:val="18"/>
              </w:rPr>
              <w:t xml:space="preserve">189.54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1,274.80</w:t>
            </w:r>
          </w:p>
        </w:tc>
        <w:tc>
          <w:tcPr>
            <w:tcW w:w="1780" w:type="dxa"/>
            <w:tcBorders/>
            <w:vAlign w:val="center"/>
          </w:tcPr>
          <w:p>
            <w:pPr>
              <w:jc w:val="right"/>
            </w:pPr>
            <w:r>
              <w:rPr>
                <w:rFonts w:ascii="宋体" w:eastAsia="宋体" w:hAnsi="宋体" w:cs="宋体"/>
                <w:b w:val="0"/>
                <w:i w:val="0"/>
                <w:color w:val="000000"/>
                <w:sz w:val="18"/>
              </w:rPr>
              <w:t xml:space="preserve">1,085.26</w:t>
            </w:r>
          </w:p>
        </w:tc>
        <w:tc>
          <w:tcPr>
            <w:tcW w:w="1772" w:type="dxa"/>
            <w:tcBorders/>
            <w:vAlign w:val="center"/>
          </w:tcPr>
          <w:p>
            <w:pPr>
              <w:jc w:val="right"/>
            </w:pPr>
            <w:r>
              <w:rPr>
                <w:rFonts w:ascii="宋体" w:eastAsia="宋体" w:hAnsi="宋体" w:cs="宋体"/>
                <w:b w:val="0"/>
                <w:i w:val="0"/>
                <w:color w:val="000000"/>
                <w:sz w:val="18"/>
              </w:rPr>
              <w:t xml:space="preserve">189.54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1,274.51</w:t>
            </w:r>
          </w:p>
        </w:tc>
        <w:tc>
          <w:tcPr>
            <w:tcW w:w="1780" w:type="dxa"/>
            <w:tcBorders/>
            <w:vAlign w:val="center"/>
          </w:tcPr>
          <w:p>
            <w:pPr>
              <w:jc w:val="right"/>
            </w:pPr>
            <w:r>
              <w:rPr>
                <w:rFonts w:ascii="宋体" w:eastAsia="宋体" w:hAnsi="宋体" w:cs="宋体"/>
                <w:b w:val="0"/>
                <w:i w:val="0"/>
                <w:color w:val="000000"/>
                <w:sz w:val="18"/>
              </w:rPr>
              <w:t xml:space="preserve">1,085.26</w:t>
            </w:r>
          </w:p>
        </w:tc>
        <w:tc>
          <w:tcPr>
            <w:tcW w:w="1772" w:type="dxa"/>
            <w:tcBorders/>
            <w:vAlign w:val="center"/>
          </w:tcPr>
          <w:p>
            <w:pPr>
              <w:jc w:val="right"/>
            </w:pPr>
            <w:r>
              <w:rPr>
                <w:rFonts w:ascii="宋体" w:eastAsia="宋体" w:hAnsi="宋体" w:cs="宋体"/>
                <w:b w:val="0"/>
                <w:i w:val="0"/>
                <w:color w:val="000000"/>
                <w:sz w:val="18"/>
              </w:rPr>
              <w:t xml:space="preserve">189.25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1,274.51</w:t>
            </w:r>
          </w:p>
        </w:tc>
        <w:tc>
          <w:tcPr>
            <w:tcW w:w="1780" w:type="dxa"/>
            <w:tcBorders/>
            <w:vAlign w:val="center"/>
          </w:tcPr>
          <w:p>
            <w:pPr>
              <w:jc w:val="right"/>
            </w:pPr>
            <w:r>
              <w:rPr>
                <w:rFonts w:ascii="宋体" w:eastAsia="宋体" w:hAnsi="宋体" w:cs="宋体"/>
                <w:b w:val="0"/>
                <w:i w:val="0"/>
                <w:color w:val="000000"/>
                <w:sz w:val="18"/>
              </w:rPr>
              <w:t xml:space="preserve">1,085.26</w:t>
            </w:r>
          </w:p>
        </w:tc>
        <w:tc>
          <w:tcPr>
            <w:tcW w:w="1772" w:type="dxa"/>
            <w:tcBorders/>
            <w:vAlign w:val="center"/>
          </w:tcPr>
          <w:p>
            <w:pPr>
              <w:jc w:val="right"/>
            </w:pPr>
            <w:r>
              <w:rPr>
                <w:rFonts w:ascii="宋体" w:eastAsia="宋体" w:hAnsi="宋体" w:cs="宋体"/>
                <w:b w:val="0"/>
                <w:i w:val="0"/>
                <w:color w:val="000000"/>
                <w:sz w:val="18"/>
              </w:rPr>
              <w:t xml:space="preserve">189.25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0.29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0.29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8.86</w:t>
            </w:r>
          </w:p>
        </w:tc>
        <w:tc>
          <w:tcPr>
            <w:tcW w:w="1780" w:type="dxa"/>
            <w:tcBorders/>
            <w:vAlign w:val="center"/>
          </w:tcPr>
          <w:p>
            <w:pPr>
              <w:jc w:val="right"/>
            </w:pPr>
            <w:r>
              <w:rPr>
                <w:rFonts w:ascii="宋体" w:eastAsia="宋体" w:hAnsi="宋体" w:cs="宋体"/>
                <w:b w:val="0"/>
                <w:i w:val="0"/>
                <w:color w:val="000000"/>
                <w:sz w:val="18"/>
              </w:rPr>
              <w:t xml:space="preserve">8.86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8.86</w:t>
            </w:r>
          </w:p>
        </w:tc>
        <w:tc>
          <w:tcPr>
            <w:tcW w:w="1780" w:type="dxa"/>
            <w:tcBorders/>
            <w:vAlign w:val="center"/>
          </w:tcPr>
          <w:p>
            <w:pPr>
              <w:jc w:val="right"/>
            </w:pPr>
            <w:r>
              <w:rPr>
                <w:rFonts w:ascii="宋体" w:eastAsia="宋体" w:hAnsi="宋体" w:cs="宋体"/>
                <w:b w:val="0"/>
                <w:i w:val="0"/>
                <w:color w:val="000000"/>
                <w:sz w:val="18"/>
              </w:rPr>
              <w:t xml:space="preserve">8.86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8.86</w:t>
            </w:r>
          </w:p>
        </w:tc>
        <w:tc>
          <w:tcPr>
            <w:tcW w:w="1780" w:type="dxa"/>
            <w:tcBorders/>
            <w:vAlign w:val="center"/>
          </w:tcPr>
          <w:p>
            <w:pPr>
              <w:jc w:val="right"/>
            </w:pPr>
            <w:r>
              <w:rPr>
                <w:rFonts w:ascii="宋体" w:eastAsia="宋体" w:hAnsi="宋体" w:cs="宋体"/>
                <w:b w:val="0"/>
                <w:i w:val="0"/>
                <w:color w:val="000000"/>
                <w:sz w:val="18"/>
              </w:rPr>
              <w:t xml:space="preserve">8.86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1,068.90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11.41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441.06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3.03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128.43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35.98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10.67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246.73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0.60</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141.95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60.54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3.55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13.81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8.86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4.95</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7.61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1,082.71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11.41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单位：辽宁省沈阳市浑南区高坎中学</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沈阳市浑南区高坎中学-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023013沈阳市浑南区高坎中学-210112000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1254.27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1254.27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1039.78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1039.78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科学合理使用资金，工作平稳运行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科学合理使用资金，工作平稳运行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参保人员满意度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规范养老保险制度改革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规范医疗保险制度改革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