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辽宁省沈阳市浑南区教育局第五幼儿园</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辽宁省沈阳市浑南区教育局第五幼儿园</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辽宁省沈阳市浑南区教育局第五幼儿园</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辽宁省沈阳市浑南区教育局第五幼儿园</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辽宁省沈阳市浑南区教育局第五幼儿园</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辽宁省沈阳市浑南区教育局第五幼儿园概况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学前教育、托育服务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辽宁省沈阳市浑南区教育局第五幼儿园</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浑南区教育局第五幼儿园长安里园，无下属机构。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128.92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128.92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128.92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增加128.92万元，增长0.00%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2024年3月份幼儿园新开园</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128.92</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128.92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主要包括教师工资保险、水电费等业务支出。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增加128.92万元，增长0.00%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2024年3月份新开园</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2024年3月份新开园</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128.92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128.92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增加128.92万元，增长0.00%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2024年3月份新开园</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2024年度一般公共预算财政拨款支出128.92万元。按支出功能分类科目分，包括：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1.教育支出128.92万元，具体包括：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（1）教育支出（类）普通教育（款）学前教育（项）128.92万元,主要是教师工资保险、水电费等支出，完成年初预算的100%，决算数与年初预算数存在差异的主要原因是2024年3月份新开园，年初未安排预算。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2024年3月份新开园</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1.整体绩效自评情况与结果。</w:t>
        <w:br/>
        <w:t xml:space="preserve">浑南区教育局第五幼儿园2024年3月份新开园单位，暂未开展绩效评价。</w:t>
        <w:br/>
        <w:t xml:space="preserve">2.项目绩效自评情况与结果。</w:t>
        <w:br/>
        <w:t xml:space="preserve">浑南区教育局第五幼儿园2024年3月份新开园单位，暂未开展绩效评价。</w:t>
        <w:br/>
        <w:t xml:space="preserve">3.重点项目绩效自评情况与结果。 </w:t>
        <w:br/>
        <w:t xml:space="preserve">浑南区教育局第五幼儿园2024年3月份新开园单位，暂未开展绩效评价。</w:t>
        <w:br/>
        <w:t xml:space="preserve">4.财政评价结果。</w:t>
        <w:br/>
        <w:t xml:space="preserve">浑南区教育局第五幼儿园为2024年3月份新开园单位，暂未开展绩效评价。</w:t>
        <w:br/>
        <w:t xml:space="preserve">5.其他需要说明的情况。</w:t>
        <w:br/>
        <w:t xml:space="preserve">无其他说明。</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无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单位：辽宁省沈阳市浑南区教育局第五幼儿园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128.92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128.92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128.92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128.92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128.92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128.92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单位：辽宁省沈阳市浑南区教育局第五幼儿园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128.92</w:t>
            </w:r>
          </w:p>
        </w:tc>
        <w:tc>
          <w:tcPr>
            <w:tcW w:w="960" w:type="dxa"/>
            <w:tcBorders/>
            <w:vAlign w:val="center"/>
          </w:tcPr>
          <w:p>
            <w:pPr>
              <w:jc w:val="right"/>
            </w:pPr>
            <w:r>
              <w:rPr>
                <w:rFonts w:ascii="宋体" w:eastAsia="宋体" w:hAnsi="宋体" w:cs="宋体"/>
                <w:b/>
                <w:i w:val="0"/>
                <w:color w:val="000000"/>
                <w:sz w:val="13"/>
              </w:rPr>
              <w:t xml:space="preserve">128.92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128.92</w:t>
            </w:r>
          </w:p>
        </w:tc>
        <w:tc>
          <w:tcPr>
            <w:tcW w:w="960" w:type="dxa"/>
            <w:tcBorders/>
            <w:vAlign w:val="center"/>
          </w:tcPr>
          <w:p>
            <w:pPr>
              <w:jc w:val="right"/>
            </w:pPr>
            <w:r>
              <w:rPr>
                <w:rFonts w:ascii="宋体" w:eastAsia="宋体" w:hAnsi="宋体" w:cs="宋体"/>
                <w:b w:val="0"/>
                <w:i w:val="0"/>
                <w:color w:val="000000"/>
                <w:sz w:val="13"/>
              </w:rPr>
              <w:t xml:space="preserve">128.92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128.92</w:t>
            </w:r>
          </w:p>
        </w:tc>
        <w:tc>
          <w:tcPr>
            <w:tcW w:w="960" w:type="dxa"/>
            <w:tcBorders/>
            <w:vAlign w:val="center"/>
          </w:tcPr>
          <w:p>
            <w:pPr>
              <w:jc w:val="right"/>
            </w:pPr>
            <w:r>
              <w:rPr>
                <w:rFonts w:ascii="宋体" w:eastAsia="宋体" w:hAnsi="宋体" w:cs="宋体"/>
                <w:b w:val="0"/>
                <w:i w:val="0"/>
                <w:color w:val="000000"/>
                <w:sz w:val="13"/>
              </w:rPr>
              <w:t xml:space="preserve">128.92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128.92</w:t>
            </w:r>
          </w:p>
        </w:tc>
        <w:tc>
          <w:tcPr>
            <w:tcW w:w="960" w:type="dxa"/>
            <w:tcBorders/>
            <w:vAlign w:val="center"/>
          </w:tcPr>
          <w:p>
            <w:pPr>
              <w:jc w:val="right"/>
            </w:pPr>
            <w:r>
              <w:rPr>
                <w:rFonts w:ascii="宋体" w:eastAsia="宋体" w:hAnsi="宋体" w:cs="宋体"/>
                <w:b w:val="0"/>
                <w:i w:val="0"/>
                <w:color w:val="000000"/>
                <w:sz w:val="13"/>
              </w:rPr>
              <w:t xml:space="preserve">128.92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单位：辽宁省沈阳市浑南区教育局第五幼儿园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128.92</w:t>
            </w:r>
          </w:p>
        </w:tc>
        <w:tc>
          <w:tcPr>
            <w:tcW w:w="1060" w:type="dxa"/>
            <w:tcBorders/>
            <w:vAlign w:val="center"/>
          </w:tcPr>
          <w:p>
            <w:pPr/>
          </w:p>
        </w:tc>
        <w:tc>
          <w:tcPr>
            <w:tcW w:w="1060" w:type="dxa"/>
            <w:tcBorders/>
            <w:vAlign w:val="center"/>
          </w:tcPr>
          <w:p>
            <w:pPr>
              <w:jc w:val="right"/>
            </w:pPr>
            <w:r>
              <w:rPr>
                <w:rFonts w:ascii="宋体" w:eastAsia="宋体" w:hAnsi="宋体" w:cs="宋体"/>
                <w:b/>
                <w:i w:val="0"/>
                <w:color w:val="000000"/>
                <w:sz w:val="14"/>
              </w:rPr>
              <w:t xml:space="preserve">128.92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128.92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128.92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128.92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128.92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128.92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128.92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单位：辽宁省沈阳市浑南区教育局第五幼儿园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128.92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128.92</w:t>
            </w:r>
          </w:p>
        </w:tc>
        <w:tc>
          <w:tcPr>
            <w:tcW w:w="1100" w:type="dxa"/>
            <w:tcBorders/>
            <w:vAlign w:val="center"/>
          </w:tcPr>
          <w:p>
            <w:pPr>
              <w:jc w:val="right"/>
            </w:pPr>
            <w:r>
              <w:rPr>
                <w:rFonts w:ascii="宋体" w:eastAsia="宋体" w:hAnsi="宋体" w:cs="宋体"/>
                <w:b w:val="0"/>
                <w:i w:val="0"/>
                <w:color w:val="000000"/>
                <w:sz w:val="14"/>
              </w:rPr>
              <w:t xml:space="preserve">128.92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128.92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128.92</w:t>
            </w:r>
          </w:p>
        </w:tc>
        <w:tc>
          <w:tcPr>
            <w:tcW w:w="1100" w:type="dxa"/>
            <w:tcBorders/>
            <w:vAlign w:val="center"/>
          </w:tcPr>
          <w:p>
            <w:pPr>
              <w:jc w:val="right"/>
            </w:pPr>
            <w:r>
              <w:rPr>
                <w:rFonts w:ascii="宋体" w:eastAsia="宋体" w:hAnsi="宋体" w:cs="宋体"/>
                <w:b w:val="0"/>
                <w:i w:val="0"/>
                <w:color w:val="000000"/>
                <w:sz w:val="14"/>
              </w:rPr>
              <w:t xml:space="preserve">128.92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128.92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128.92</w:t>
            </w:r>
          </w:p>
        </w:tc>
        <w:tc>
          <w:tcPr>
            <w:tcW w:w="1100" w:type="dxa"/>
            <w:tcBorders/>
            <w:vAlign w:val="center"/>
          </w:tcPr>
          <w:p>
            <w:pPr>
              <w:jc w:val="right"/>
            </w:pPr>
            <w:r>
              <w:rPr>
                <w:rFonts w:ascii="宋体" w:eastAsia="宋体" w:hAnsi="宋体" w:cs="宋体"/>
                <w:b w:val="0"/>
                <w:i w:val="0"/>
                <w:color w:val="000000"/>
                <w:sz w:val="14"/>
              </w:rPr>
              <w:t xml:space="preserve">128.92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单位：辽宁省沈阳市浑南区教育局第五幼儿园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128.92</w:t>
            </w:r>
          </w:p>
        </w:tc>
        <w:tc>
          <w:tcPr>
            <w:tcW w:w="1780" w:type="dxa"/>
            <w:tcBorders/>
            <w:vAlign w:val="center"/>
          </w:tcPr>
          <w:p>
            <w:pPr>
              <w:jc w:val="right"/>
            </w:pPr>
            <w:r>
              <w:rPr>
                <w:rFonts w:ascii="宋体" w:eastAsia="宋体" w:hAnsi="宋体" w:cs="宋体"/>
                <w:b/>
                <w:i w:val="0"/>
                <w:color w:val="000000"/>
                <w:sz w:val="18"/>
              </w:rPr>
              <w:t xml:space="preserve">0.00</w:t>
            </w:r>
          </w:p>
        </w:tc>
        <w:tc>
          <w:tcPr>
            <w:tcW w:w="1772" w:type="dxa"/>
            <w:tcBorders/>
            <w:vAlign w:val="center"/>
          </w:tcPr>
          <w:p>
            <w:pPr>
              <w:jc w:val="right"/>
            </w:pPr>
            <w:r>
              <w:rPr>
                <w:rFonts w:ascii="宋体" w:eastAsia="宋体" w:hAnsi="宋体" w:cs="宋体"/>
                <w:b/>
                <w:i w:val="0"/>
                <w:color w:val="000000"/>
                <w:sz w:val="18"/>
              </w:rPr>
              <w:t xml:space="preserve">128.92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128.92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128.92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128.92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128.92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128.92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128.92</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单位：辽宁省沈阳市浑南区教育局第五幼儿园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单位：辽宁省沈阳市浑南区教育局第五幼儿园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单位：辽宁省沈阳市浑南区教育局第五幼儿园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单位：辽宁省沈阳市浑南区教育局第五幼儿园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pPr>
    </w:p>
    <w:p>
      <w:pPr>
        <w:spacing w:line="540" w:lineRule="exact"/>
        <w:jc w:val="center"/>
        <w:rPr>
          <w:rFonts w:ascii="宋体" w:hAnsi="宋体"/>
          <w:b/>
          <w:sz w:val="52"/>
          <w:szCs w:val="52"/>
        </w:rPr>
      </w:pPr>
    </w:p>
    <w:p>
      <w:pPr>
        <w:spacing w:line="540" w:lineRule="exact"/>
        <w:jc w:val="center"/>
        <w:rPr>
          <w:rFonts w:ascii="宋体" w:hAnsi="宋体"/>
          <w:b/>
          <w:sz w:val="52"/>
          <w:szCs w:val="52"/>
        </w:rPr>
      </w:pPr>
    </w:p>
    <w:sectPr>
      <w:pgSz w:w="11906" w:h="16838" w:orient="portrait"/>
      <w:pgMar w:top="567" w:right="567" w:bottom="567" w:left="567" w:header="851" w:footer="992" w:gutter="0"/>
      <w:pgBorders/>
      <w:cols w:num="1" w:space="720">
        <w:col w:w="10772"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