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辽宁省沈阳市浑南区教育局花语幼儿园</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辽宁省沈阳市浑南区教育局花语幼儿园</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辽宁省沈阳市浑南区教育局花语幼儿园</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辽宁省沈阳市浑南区教育局花语幼儿园</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辽宁省沈阳市浑南区教育局花语幼儿园</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辽宁省沈阳市浑南区教育局花语幼儿园概况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依法治教，依法办园。为社会提供高水平、高质量、高效率的学前教育服务，兴办一所高品质、现代化、创新型的幼儿园。为0—6岁学龄前儿童提供高质量的保育和教育服务。</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辽宁省沈阳市浑南区教育局花语幼儿园</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沈阳市浑南区教育局花语幼儿园是纳入沈阳市浑南区教育局2024年决算编制范围的二级预算单位,无下设机构。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1326.86</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1326.86</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100.00</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1326.86</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减少25.65万元，降低1.90%</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生源减少因此幼儿园保育费收入减少</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1326.86</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1326.86</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100.00</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主要包括教职工工资、保险、水、电费等业务支出。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减少25.65万元，降低1.90%</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人员支出减少</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收支平衡无结余</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1326.86</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1326.86</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增加110.73万元，增长9.11%</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办公设备购置增加</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2024年度一般公共预算财政拨款支出1326.86万元。按支出功能分类科目分，包括：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1.教育支出1326.86万元，具体包括：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教育支出（类）普通教育（款）学前教育（项）1119.61万元,主要是教职工工资、水、电费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教育支出（类）教育费附加安排的支出（款）其他教育费附加安排的支出（项）207.25万元,主要是教职工保险等支出，完成年初预算的100%，决算数与年初预算数存在差异的主要原因是完全按照预算执行，决算数与预算数实际上无任何差异。</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无此项业务</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无出国任务</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无公务接待</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无此项业务</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无公务用车购置及运行费</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与上年持平</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我单位属于事业单位，无机关运行经费</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本单位年初预算由教育局统一安排，暂未开展整体绩效评价</w:t>
        <w:br/>
        <w:t xml:space="preserve">    2.项目绩效自评情况及结果。</w:t>
        <w:br/>
        <w:t xml:space="preserve">    本单位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5个；得分在80分（含）至90分、等级为“良”的项目有0个；得分在60分（含）至80分、等级为“中”的项目有0个；得分在60分以下、等级为“差”的项目有0个。后续将继续保持该优势，保证资金使用效率。</w:t>
        <w:br/>
        <w:t xml:space="preserve">    3.部门重点评价情况及结果。</w:t>
        <w:br/>
        <w:t xml:space="preserve">    本单位未产生资金量大、社会关注度高的民生领域项目，因此暂未做重点项目绩效评价。</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16.教育支出（类）普通教育（款）学前教育（项）：反映各部门举办的学前教育支出。政府各部门对社会组织举办的幼儿园的资助，如捐赠、补贴等。</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单位：辽宁省沈阳市浑南区教育局花语幼儿园</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1,326.86</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jc w:val="right"/>
            </w:pPr>
            <w:r>
              <w:rPr>
                <w:rFonts w:ascii="宋体" w:eastAsia="宋体" w:hAnsi="宋体" w:cs="宋体"/>
                <w:b w:val="0"/>
                <w:i w:val="0"/>
                <w:color w:val="000000"/>
                <w:sz w:val="16"/>
              </w:rPr>
              <w:t xml:space="preserve">1,326.86</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1,326.86</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1,326.86</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1,326.86</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1,326.86</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单位：辽宁省沈阳市浑南区教育局花语幼儿园</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1,326.86</w:t>
            </w:r>
          </w:p>
        </w:tc>
        <w:tc>
          <w:tcPr>
            <w:tcW w:w="960" w:type="dxa"/>
            <w:tcBorders/>
            <w:vAlign w:val="center"/>
          </w:tcPr>
          <w:p>
            <w:pPr>
              <w:jc w:val="right"/>
            </w:pPr>
            <w:r>
              <w:rPr>
                <w:rFonts w:ascii="宋体" w:eastAsia="宋体" w:hAnsi="宋体" w:cs="宋体"/>
                <w:b/>
                <w:i w:val="0"/>
                <w:color w:val="000000"/>
                <w:sz w:val="13"/>
              </w:rPr>
              <w:t xml:space="preserve">1,326.86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w:t>
            </w:r>
          </w:p>
        </w:tc>
        <w:tc>
          <w:tcPr>
            <w:tcW w:w="3200" w:type="dxa"/>
            <w:tcBorders/>
            <w:vAlign w:val="center"/>
          </w:tcPr>
          <w:p>
            <w:pPr>
              <w:jc w:val="left"/>
            </w:pPr>
            <w:r>
              <w:rPr>
                <w:rFonts w:ascii="宋体" w:eastAsia="宋体" w:hAnsi="宋体" w:cs="宋体"/>
                <w:b w:val="0"/>
                <w:i w:val="0"/>
                <w:color w:val="000000"/>
                <w:sz w:val="13"/>
              </w:rPr>
              <w:t xml:space="preserve">教育支出</w:t>
            </w:r>
          </w:p>
        </w:tc>
        <w:tc>
          <w:tcPr>
            <w:tcW w:w="960" w:type="dxa"/>
            <w:tcBorders/>
            <w:vAlign w:val="center"/>
          </w:tcPr>
          <w:p>
            <w:pPr>
              <w:jc w:val="right"/>
            </w:pPr>
            <w:r>
              <w:rPr>
                <w:rFonts w:ascii="宋体" w:eastAsia="宋体" w:hAnsi="宋体" w:cs="宋体"/>
                <w:b w:val="0"/>
                <w:i w:val="0"/>
                <w:color w:val="000000"/>
                <w:sz w:val="13"/>
              </w:rPr>
              <w:t xml:space="preserve">1,326.86</w:t>
            </w:r>
          </w:p>
        </w:tc>
        <w:tc>
          <w:tcPr>
            <w:tcW w:w="960" w:type="dxa"/>
            <w:tcBorders/>
            <w:vAlign w:val="center"/>
          </w:tcPr>
          <w:p>
            <w:pPr>
              <w:jc w:val="right"/>
            </w:pPr>
            <w:r>
              <w:rPr>
                <w:rFonts w:ascii="宋体" w:eastAsia="宋体" w:hAnsi="宋体" w:cs="宋体"/>
                <w:b w:val="0"/>
                <w:i w:val="0"/>
                <w:color w:val="000000"/>
                <w:sz w:val="13"/>
              </w:rPr>
              <w:t xml:space="preserve">1,326.86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w:t>
            </w:r>
          </w:p>
        </w:tc>
        <w:tc>
          <w:tcPr>
            <w:tcW w:w="3200" w:type="dxa"/>
            <w:tcBorders/>
            <w:vAlign w:val="center"/>
          </w:tcPr>
          <w:p>
            <w:pPr>
              <w:jc w:val="left"/>
            </w:pPr>
            <w:r>
              <w:rPr>
                <w:rFonts w:ascii="宋体" w:eastAsia="宋体" w:hAnsi="宋体" w:cs="宋体"/>
                <w:b w:val="0"/>
                <w:i w:val="0"/>
                <w:color w:val="000000"/>
                <w:sz w:val="13"/>
              </w:rPr>
              <w:t xml:space="preserve">普通教育</w:t>
            </w:r>
          </w:p>
        </w:tc>
        <w:tc>
          <w:tcPr>
            <w:tcW w:w="960" w:type="dxa"/>
            <w:tcBorders/>
            <w:vAlign w:val="center"/>
          </w:tcPr>
          <w:p>
            <w:pPr>
              <w:jc w:val="right"/>
            </w:pPr>
            <w:r>
              <w:rPr>
                <w:rFonts w:ascii="宋体" w:eastAsia="宋体" w:hAnsi="宋体" w:cs="宋体"/>
                <w:b w:val="0"/>
                <w:i w:val="0"/>
                <w:color w:val="000000"/>
                <w:sz w:val="13"/>
              </w:rPr>
              <w:t xml:space="preserve">1,119.61</w:t>
            </w:r>
          </w:p>
        </w:tc>
        <w:tc>
          <w:tcPr>
            <w:tcW w:w="960" w:type="dxa"/>
            <w:tcBorders/>
            <w:vAlign w:val="center"/>
          </w:tcPr>
          <w:p>
            <w:pPr>
              <w:jc w:val="right"/>
            </w:pPr>
            <w:r>
              <w:rPr>
                <w:rFonts w:ascii="宋体" w:eastAsia="宋体" w:hAnsi="宋体" w:cs="宋体"/>
                <w:b w:val="0"/>
                <w:i w:val="0"/>
                <w:color w:val="000000"/>
                <w:sz w:val="13"/>
              </w:rPr>
              <w:t xml:space="preserve">1,119.61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2050201</w:t>
            </w:r>
          </w:p>
        </w:tc>
        <w:tc>
          <w:tcPr>
            <w:tcW w:w="3200" w:type="dxa"/>
            <w:tcBorders/>
            <w:vAlign w:val="center"/>
          </w:tcPr>
          <w:p>
            <w:pPr>
              <w:jc w:val="left"/>
            </w:pPr>
            <w:r>
              <w:rPr>
                <w:rFonts w:ascii="宋体" w:eastAsia="宋体" w:hAnsi="宋体" w:cs="宋体"/>
                <w:b w:val="0"/>
                <w:i w:val="0"/>
                <w:color w:val="000000"/>
                <w:sz w:val="13"/>
              </w:rPr>
              <w:t xml:space="preserve">学前教育</w:t>
            </w:r>
          </w:p>
        </w:tc>
        <w:tc>
          <w:tcPr>
            <w:tcW w:w="960" w:type="dxa"/>
            <w:tcBorders/>
            <w:vAlign w:val="center"/>
          </w:tcPr>
          <w:p>
            <w:pPr>
              <w:jc w:val="right"/>
            </w:pPr>
            <w:r>
              <w:rPr>
                <w:rFonts w:ascii="宋体" w:eastAsia="宋体" w:hAnsi="宋体" w:cs="宋体"/>
                <w:b w:val="0"/>
                <w:i w:val="0"/>
                <w:color w:val="000000"/>
                <w:sz w:val="13"/>
              </w:rPr>
              <w:t xml:space="preserve">1,119.61</w:t>
            </w:r>
          </w:p>
        </w:tc>
        <w:tc>
          <w:tcPr>
            <w:tcW w:w="960" w:type="dxa"/>
            <w:tcBorders/>
            <w:vAlign w:val="center"/>
          </w:tcPr>
          <w:p>
            <w:pPr>
              <w:jc w:val="right"/>
            </w:pPr>
            <w:r>
              <w:rPr>
                <w:rFonts w:ascii="宋体" w:eastAsia="宋体" w:hAnsi="宋体" w:cs="宋体"/>
                <w:b w:val="0"/>
                <w:i w:val="0"/>
                <w:color w:val="000000"/>
                <w:sz w:val="13"/>
              </w:rPr>
              <w:t xml:space="preserve">1,119.61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20509</w:t>
            </w:r>
          </w:p>
        </w:tc>
        <w:tc>
          <w:tcPr>
            <w:tcW w:w="3200" w:type="dxa"/>
            <w:tcBorders/>
            <w:vAlign w:val="center"/>
          </w:tcPr>
          <w:p>
            <w:pPr>
              <w:jc w:val="left"/>
            </w:pPr>
            <w:r>
              <w:rPr>
                <w:rFonts w:ascii="宋体" w:eastAsia="宋体" w:hAnsi="宋体" w:cs="宋体"/>
                <w:b w:val="0"/>
                <w:i w:val="0"/>
                <w:color w:val="000000"/>
                <w:sz w:val="13"/>
              </w:rPr>
              <w:t xml:space="preserve">教育费附加安排的支出</w:t>
            </w:r>
          </w:p>
        </w:tc>
        <w:tc>
          <w:tcPr>
            <w:tcW w:w="960" w:type="dxa"/>
            <w:tcBorders/>
            <w:vAlign w:val="center"/>
          </w:tcPr>
          <w:p>
            <w:pPr>
              <w:jc w:val="right"/>
            </w:pPr>
            <w:r>
              <w:rPr>
                <w:rFonts w:ascii="宋体" w:eastAsia="宋体" w:hAnsi="宋体" w:cs="宋体"/>
                <w:b w:val="0"/>
                <w:i w:val="0"/>
                <w:color w:val="000000"/>
                <w:sz w:val="13"/>
              </w:rPr>
              <w:t xml:space="preserve">207.25</w:t>
            </w:r>
          </w:p>
        </w:tc>
        <w:tc>
          <w:tcPr>
            <w:tcW w:w="960" w:type="dxa"/>
            <w:tcBorders/>
            <w:vAlign w:val="center"/>
          </w:tcPr>
          <w:p>
            <w:pPr>
              <w:jc w:val="right"/>
            </w:pPr>
            <w:r>
              <w:rPr>
                <w:rFonts w:ascii="宋体" w:eastAsia="宋体" w:hAnsi="宋体" w:cs="宋体"/>
                <w:b w:val="0"/>
                <w:i w:val="0"/>
                <w:color w:val="000000"/>
                <w:sz w:val="13"/>
              </w:rPr>
              <w:t xml:space="preserve">207.25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2050999</w:t>
            </w:r>
          </w:p>
        </w:tc>
        <w:tc>
          <w:tcPr>
            <w:tcW w:w="3200" w:type="dxa"/>
            <w:tcBorders/>
            <w:vAlign w:val="center"/>
          </w:tcPr>
          <w:p>
            <w:pPr>
              <w:jc w:val="left"/>
            </w:pPr>
            <w:r>
              <w:rPr>
                <w:rFonts w:ascii="宋体" w:eastAsia="宋体" w:hAnsi="宋体" w:cs="宋体"/>
                <w:b w:val="0"/>
                <w:i w:val="0"/>
                <w:color w:val="000000"/>
                <w:sz w:val="13"/>
              </w:rPr>
              <w:t xml:space="preserve">其他教育费附加安排的支出</w:t>
            </w:r>
          </w:p>
        </w:tc>
        <w:tc>
          <w:tcPr>
            <w:tcW w:w="960" w:type="dxa"/>
            <w:tcBorders/>
            <w:vAlign w:val="center"/>
          </w:tcPr>
          <w:p>
            <w:pPr>
              <w:jc w:val="right"/>
            </w:pPr>
            <w:r>
              <w:rPr>
                <w:rFonts w:ascii="宋体" w:eastAsia="宋体" w:hAnsi="宋体" w:cs="宋体"/>
                <w:b w:val="0"/>
                <w:i w:val="0"/>
                <w:color w:val="000000"/>
                <w:sz w:val="13"/>
              </w:rPr>
              <w:t xml:space="preserve">207.25</w:t>
            </w:r>
          </w:p>
        </w:tc>
        <w:tc>
          <w:tcPr>
            <w:tcW w:w="960" w:type="dxa"/>
            <w:tcBorders/>
            <w:vAlign w:val="center"/>
          </w:tcPr>
          <w:p>
            <w:pPr>
              <w:jc w:val="right"/>
            </w:pPr>
            <w:r>
              <w:rPr>
                <w:rFonts w:ascii="宋体" w:eastAsia="宋体" w:hAnsi="宋体" w:cs="宋体"/>
                <w:b w:val="0"/>
                <w:i w:val="0"/>
                <w:color w:val="000000"/>
                <w:sz w:val="13"/>
              </w:rPr>
              <w:t xml:space="preserve">207.25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单位：辽宁省沈阳市浑南区教育局花语幼儿园</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1,326.86</w:t>
            </w:r>
          </w:p>
        </w:tc>
        <w:tc>
          <w:tcPr>
            <w:tcW w:w="1060" w:type="dxa"/>
            <w:tcBorders/>
            <w:vAlign w:val="center"/>
          </w:tcPr>
          <w:p>
            <w:pPr/>
          </w:p>
        </w:tc>
        <w:tc>
          <w:tcPr>
            <w:tcW w:w="1060" w:type="dxa"/>
            <w:tcBorders/>
            <w:vAlign w:val="center"/>
          </w:tcPr>
          <w:p>
            <w:pPr>
              <w:jc w:val="right"/>
            </w:pPr>
            <w:r>
              <w:rPr>
                <w:rFonts w:ascii="宋体" w:eastAsia="宋体" w:hAnsi="宋体" w:cs="宋体"/>
                <w:b/>
                <w:i w:val="0"/>
                <w:color w:val="000000"/>
                <w:sz w:val="14"/>
              </w:rPr>
              <w:t xml:space="preserve">1,326.86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w:t>
            </w:r>
          </w:p>
        </w:tc>
        <w:tc>
          <w:tcPr>
            <w:tcW w:w="3440" w:type="dxa"/>
            <w:tcBorders/>
            <w:vAlign w:val="center"/>
          </w:tcPr>
          <w:p>
            <w:pPr>
              <w:jc w:val="left"/>
            </w:pPr>
            <w:r>
              <w:rPr>
                <w:rFonts w:ascii="宋体" w:eastAsia="宋体" w:hAnsi="宋体" w:cs="宋体"/>
                <w:b w:val="0"/>
                <w:i w:val="0"/>
                <w:color w:val="000000"/>
                <w:sz w:val="14"/>
              </w:rPr>
              <w:t xml:space="preserve">教育支出</w:t>
            </w:r>
          </w:p>
        </w:tc>
        <w:tc>
          <w:tcPr>
            <w:tcW w:w="1060" w:type="dxa"/>
            <w:tcBorders/>
            <w:vAlign w:val="center"/>
          </w:tcPr>
          <w:p>
            <w:pPr>
              <w:jc w:val="right"/>
            </w:pPr>
            <w:r>
              <w:rPr>
                <w:rFonts w:ascii="宋体" w:eastAsia="宋体" w:hAnsi="宋体" w:cs="宋体"/>
                <w:b w:val="0"/>
                <w:i w:val="0"/>
                <w:color w:val="000000"/>
                <w:sz w:val="14"/>
              </w:rPr>
              <w:t xml:space="preserve">1,326.86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1,326.86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w:t>
            </w:r>
          </w:p>
        </w:tc>
        <w:tc>
          <w:tcPr>
            <w:tcW w:w="3440" w:type="dxa"/>
            <w:tcBorders/>
            <w:vAlign w:val="center"/>
          </w:tcPr>
          <w:p>
            <w:pPr>
              <w:jc w:val="left"/>
            </w:pPr>
            <w:r>
              <w:rPr>
                <w:rFonts w:ascii="宋体" w:eastAsia="宋体" w:hAnsi="宋体" w:cs="宋体"/>
                <w:b w:val="0"/>
                <w:i w:val="0"/>
                <w:color w:val="000000"/>
                <w:sz w:val="14"/>
              </w:rPr>
              <w:t xml:space="preserve">普通教育</w:t>
            </w:r>
          </w:p>
        </w:tc>
        <w:tc>
          <w:tcPr>
            <w:tcW w:w="1060" w:type="dxa"/>
            <w:tcBorders/>
            <w:vAlign w:val="center"/>
          </w:tcPr>
          <w:p>
            <w:pPr>
              <w:jc w:val="right"/>
            </w:pPr>
            <w:r>
              <w:rPr>
                <w:rFonts w:ascii="宋体" w:eastAsia="宋体" w:hAnsi="宋体" w:cs="宋体"/>
                <w:b w:val="0"/>
                <w:i w:val="0"/>
                <w:color w:val="000000"/>
                <w:sz w:val="14"/>
              </w:rPr>
              <w:t xml:space="preserve">1,119.61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1,119.61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2050201</w:t>
            </w:r>
          </w:p>
        </w:tc>
        <w:tc>
          <w:tcPr>
            <w:tcW w:w="3440" w:type="dxa"/>
            <w:tcBorders/>
            <w:vAlign w:val="center"/>
          </w:tcPr>
          <w:p>
            <w:pPr>
              <w:jc w:val="left"/>
            </w:pPr>
            <w:r>
              <w:rPr>
                <w:rFonts w:ascii="宋体" w:eastAsia="宋体" w:hAnsi="宋体" w:cs="宋体"/>
                <w:b w:val="0"/>
                <w:i w:val="0"/>
                <w:color w:val="000000"/>
                <w:sz w:val="14"/>
              </w:rPr>
              <w:t xml:space="preserve">学前教育</w:t>
            </w:r>
          </w:p>
        </w:tc>
        <w:tc>
          <w:tcPr>
            <w:tcW w:w="1060" w:type="dxa"/>
            <w:tcBorders/>
            <w:vAlign w:val="center"/>
          </w:tcPr>
          <w:p>
            <w:pPr>
              <w:jc w:val="right"/>
            </w:pPr>
            <w:r>
              <w:rPr>
                <w:rFonts w:ascii="宋体" w:eastAsia="宋体" w:hAnsi="宋体" w:cs="宋体"/>
                <w:b w:val="0"/>
                <w:i w:val="0"/>
                <w:color w:val="000000"/>
                <w:sz w:val="14"/>
              </w:rPr>
              <w:t xml:space="preserve">1,119.61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1,119.61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20509</w:t>
            </w:r>
          </w:p>
        </w:tc>
        <w:tc>
          <w:tcPr>
            <w:tcW w:w="3440" w:type="dxa"/>
            <w:tcBorders/>
            <w:vAlign w:val="center"/>
          </w:tcPr>
          <w:p>
            <w:pPr>
              <w:jc w:val="left"/>
            </w:pPr>
            <w:r>
              <w:rPr>
                <w:rFonts w:ascii="宋体" w:eastAsia="宋体" w:hAnsi="宋体" w:cs="宋体"/>
                <w:b w:val="0"/>
                <w:i w:val="0"/>
                <w:color w:val="000000"/>
                <w:sz w:val="14"/>
              </w:rPr>
              <w:t xml:space="preserve">教育费附加安排的支出</w:t>
            </w:r>
          </w:p>
        </w:tc>
        <w:tc>
          <w:tcPr>
            <w:tcW w:w="1060" w:type="dxa"/>
            <w:tcBorders/>
            <w:vAlign w:val="center"/>
          </w:tcPr>
          <w:p>
            <w:pPr>
              <w:jc w:val="right"/>
            </w:pPr>
            <w:r>
              <w:rPr>
                <w:rFonts w:ascii="宋体" w:eastAsia="宋体" w:hAnsi="宋体" w:cs="宋体"/>
                <w:b w:val="0"/>
                <w:i w:val="0"/>
                <w:color w:val="000000"/>
                <w:sz w:val="14"/>
              </w:rPr>
              <w:t xml:space="preserve">207.25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207.25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2050999</w:t>
            </w:r>
          </w:p>
        </w:tc>
        <w:tc>
          <w:tcPr>
            <w:tcW w:w="3440" w:type="dxa"/>
            <w:tcBorders/>
            <w:vAlign w:val="center"/>
          </w:tcPr>
          <w:p>
            <w:pPr>
              <w:jc w:val="left"/>
            </w:pPr>
            <w:r>
              <w:rPr>
                <w:rFonts w:ascii="宋体" w:eastAsia="宋体" w:hAnsi="宋体" w:cs="宋体"/>
                <w:b w:val="0"/>
                <w:i w:val="0"/>
                <w:color w:val="000000"/>
                <w:sz w:val="14"/>
              </w:rPr>
              <w:t xml:space="preserve">其他教育费附加安排的支出</w:t>
            </w:r>
          </w:p>
        </w:tc>
        <w:tc>
          <w:tcPr>
            <w:tcW w:w="1060" w:type="dxa"/>
            <w:tcBorders/>
            <w:vAlign w:val="center"/>
          </w:tcPr>
          <w:p>
            <w:pPr>
              <w:jc w:val="right"/>
            </w:pPr>
            <w:r>
              <w:rPr>
                <w:rFonts w:ascii="宋体" w:eastAsia="宋体" w:hAnsi="宋体" w:cs="宋体"/>
                <w:b w:val="0"/>
                <w:i w:val="0"/>
                <w:color w:val="000000"/>
                <w:sz w:val="14"/>
              </w:rPr>
              <w:t xml:space="preserve">207.25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207.25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单位：辽宁省沈阳市浑南区教育局花语幼儿园</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1,326.86</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jc w:val="right"/>
            </w:pPr>
            <w:r>
              <w:rPr>
                <w:rFonts w:ascii="宋体" w:eastAsia="宋体" w:hAnsi="宋体" w:cs="宋体"/>
                <w:b w:val="0"/>
                <w:i w:val="0"/>
                <w:color w:val="000000"/>
                <w:sz w:val="14"/>
              </w:rPr>
              <w:t xml:space="preserve">1,326.86</w:t>
            </w:r>
          </w:p>
        </w:tc>
        <w:tc>
          <w:tcPr>
            <w:tcW w:w="1100" w:type="dxa"/>
            <w:tcBorders/>
            <w:vAlign w:val="center"/>
          </w:tcPr>
          <w:p>
            <w:pPr>
              <w:jc w:val="right"/>
            </w:pPr>
            <w:r>
              <w:rPr>
                <w:rFonts w:ascii="宋体" w:eastAsia="宋体" w:hAnsi="宋体" w:cs="宋体"/>
                <w:b w:val="0"/>
                <w:i w:val="0"/>
                <w:color w:val="000000"/>
                <w:sz w:val="14"/>
              </w:rPr>
              <w:t xml:space="preserve">1,326.86</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1,326.86</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1,326.86</w:t>
            </w:r>
          </w:p>
        </w:tc>
        <w:tc>
          <w:tcPr>
            <w:tcW w:w="1100" w:type="dxa"/>
            <w:tcBorders/>
            <w:vAlign w:val="center"/>
          </w:tcPr>
          <w:p>
            <w:pPr>
              <w:jc w:val="right"/>
            </w:pPr>
            <w:r>
              <w:rPr>
                <w:rFonts w:ascii="宋体" w:eastAsia="宋体" w:hAnsi="宋体" w:cs="宋体"/>
                <w:b w:val="0"/>
                <w:i w:val="0"/>
                <w:color w:val="000000"/>
                <w:sz w:val="14"/>
              </w:rPr>
              <w:t xml:space="preserve">1,326.86</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1,326.86</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1,326.86</w:t>
            </w:r>
          </w:p>
        </w:tc>
        <w:tc>
          <w:tcPr>
            <w:tcW w:w="1100" w:type="dxa"/>
            <w:tcBorders/>
            <w:vAlign w:val="center"/>
          </w:tcPr>
          <w:p>
            <w:pPr>
              <w:jc w:val="right"/>
            </w:pPr>
            <w:r>
              <w:rPr>
                <w:rFonts w:ascii="宋体" w:eastAsia="宋体" w:hAnsi="宋体" w:cs="宋体"/>
                <w:b w:val="0"/>
                <w:i w:val="0"/>
                <w:color w:val="000000"/>
                <w:sz w:val="14"/>
              </w:rPr>
              <w:t xml:space="preserve">1,326.86</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单位：辽宁省沈阳市浑南区教育局花语幼儿园</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1,326.86</w:t>
            </w:r>
          </w:p>
        </w:tc>
        <w:tc>
          <w:tcPr>
            <w:tcW w:w="1780" w:type="dxa"/>
            <w:tcBorders/>
            <w:vAlign w:val="center"/>
          </w:tcPr>
          <w:p>
            <w:pPr>
              <w:jc w:val="right"/>
            </w:pPr>
            <w:r>
              <w:rPr>
                <w:rFonts w:ascii="宋体" w:eastAsia="宋体" w:hAnsi="宋体" w:cs="宋体"/>
                <w:b/>
                <w:i w:val="0"/>
                <w:color w:val="000000"/>
                <w:sz w:val="18"/>
              </w:rPr>
              <w:t xml:space="preserve">0.00</w:t>
            </w:r>
          </w:p>
        </w:tc>
        <w:tc>
          <w:tcPr>
            <w:tcW w:w="1772" w:type="dxa"/>
            <w:tcBorders/>
            <w:vAlign w:val="center"/>
          </w:tcPr>
          <w:p>
            <w:pPr>
              <w:jc w:val="right"/>
            </w:pPr>
            <w:r>
              <w:rPr>
                <w:rFonts w:ascii="宋体" w:eastAsia="宋体" w:hAnsi="宋体" w:cs="宋体"/>
                <w:b/>
                <w:i w:val="0"/>
                <w:color w:val="000000"/>
                <w:sz w:val="18"/>
              </w:rPr>
              <w:t xml:space="preserve">1,326.86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w:t>
            </w:r>
          </w:p>
        </w:tc>
        <w:tc>
          <w:tcPr>
            <w:tcW w:w="4300" w:type="dxa"/>
            <w:tcBorders/>
            <w:vAlign w:val="center"/>
          </w:tcPr>
          <w:p>
            <w:pPr>
              <w:jc w:val="left"/>
            </w:pPr>
            <w:r>
              <w:rPr>
                <w:rFonts w:ascii="宋体" w:eastAsia="宋体" w:hAnsi="宋体" w:cs="宋体"/>
                <w:b w:val="0"/>
                <w:i w:val="0"/>
                <w:color w:val="000000"/>
                <w:sz w:val="18"/>
              </w:rPr>
              <w:t xml:space="preserve">教育支出</w:t>
            </w:r>
          </w:p>
        </w:tc>
        <w:tc>
          <w:tcPr>
            <w:tcW w:w="1780" w:type="dxa"/>
            <w:tcBorders/>
            <w:vAlign w:val="center"/>
          </w:tcPr>
          <w:p>
            <w:pPr>
              <w:jc w:val="right"/>
            </w:pPr>
            <w:r>
              <w:rPr>
                <w:rFonts w:ascii="宋体" w:eastAsia="宋体" w:hAnsi="宋体" w:cs="宋体"/>
                <w:b w:val="0"/>
                <w:i w:val="0"/>
                <w:color w:val="000000"/>
                <w:sz w:val="18"/>
              </w:rPr>
              <w:t xml:space="preserve">1,326.86</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1,326.86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20502</w:t>
            </w:r>
          </w:p>
        </w:tc>
        <w:tc>
          <w:tcPr>
            <w:tcW w:w="4300" w:type="dxa"/>
            <w:tcBorders/>
            <w:vAlign w:val="center"/>
          </w:tcPr>
          <w:p>
            <w:pPr>
              <w:jc w:val="left"/>
            </w:pPr>
            <w:r>
              <w:rPr>
                <w:rFonts w:ascii="宋体" w:eastAsia="宋体" w:hAnsi="宋体" w:cs="宋体"/>
                <w:b w:val="0"/>
                <w:i w:val="0"/>
                <w:color w:val="000000"/>
                <w:sz w:val="18"/>
              </w:rPr>
              <w:t xml:space="preserve">普通教育</w:t>
            </w:r>
          </w:p>
        </w:tc>
        <w:tc>
          <w:tcPr>
            <w:tcW w:w="1780" w:type="dxa"/>
            <w:tcBorders/>
            <w:vAlign w:val="center"/>
          </w:tcPr>
          <w:p>
            <w:pPr>
              <w:jc w:val="right"/>
            </w:pPr>
            <w:r>
              <w:rPr>
                <w:rFonts w:ascii="宋体" w:eastAsia="宋体" w:hAnsi="宋体" w:cs="宋体"/>
                <w:b w:val="0"/>
                <w:i w:val="0"/>
                <w:color w:val="000000"/>
                <w:sz w:val="18"/>
              </w:rPr>
              <w:t xml:space="preserve">1,119.61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1,119.61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2050201</w:t>
            </w:r>
          </w:p>
        </w:tc>
        <w:tc>
          <w:tcPr>
            <w:tcW w:w="4300" w:type="dxa"/>
            <w:tcBorders/>
            <w:vAlign w:val="center"/>
          </w:tcPr>
          <w:p>
            <w:pPr>
              <w:jc w:val="left"/>
            </w:pPr>
            <w:r>
              <w:rPr>
                <w:rFonts w:ascii="宋体" w:eastAsia="宋体" w:hAnsi="宋体" w:cs="宋体"/>
                <w:b w:val="0"/>
                <w:i w:val="0"/>
                <w:color w:val="000000"/>
                <w:sz w:val="18"/>
              </w:rPr>
              <w:t xml:space="preserve">学前教育</w:t>
            </w:r>
          </w:p>
        </w:tc>
        <w:tc>
          <w:tcPr>
            <w:tcW w:w="1780" w:type="dxa"/>
            <w:tcBorders/>
            <w:vAlign w:val="center"/>
          </w:tcPr>
          <w:p>
            <w:pPr>
              <w:jc w:val="right"/>
            </w:pPr>
            <w:r>
              <w:rPr>
                <w:rFonts w:ascii="宋体" w:eastAsia="宋体" w:hAnsi="宋体" w:cs="宋体"/>
                <w:b w:val="0"/>
                <w:i w:val="0"/>
                <w:color w:val="000000"/>
                <w:sz w:val="18"/>
              </w:rPr>
              <w:t xml:space="preserve">1,119.61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1,119.61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20509</w:t>
            </w:r>
          </w:p>
        </w:tc>
        <w:tc>
          <w:tcPr>
            <w:tcW w:w="4300" w:type="dxa"/>
            <w:tcBorders/>
            <w:vAlign w:val="center"/>
          </w:tcPr>
          <w:p>
            <w:pPr>
              <w:jc w:val="left"/>
            </w:pPr>
            <w:r>
              <w:rPr>
                <w:rFonts w:ascii="宋体" w:eastAsia="宋体" w:hAnsi="宋体" w:cs="宋体"/>
                <w:b w:val="0"/>
                <w:i w:val="0"/>
                <w:color w:val="000000"/>
                <w:sz w:val="18"/>
              </w:rPr>
              <w:t xml:space="preserve">教育费附加安排的支出</w:t>
            </w:r>
          </w:p>
        </w:tc>
        <w:tc>
          <w:tcPr>
            <w:tcW w:w="1780" w:type="dxa"/>
            <w:tcBorders/>
            <w:vAlign w:val="center"/>
          </w:tcPr>
          <w:p>
            <w:pPr>
              <w:jc w:val="right"/>
            </w:pPr>
            <w:r>
              <w:rPr>
                <w:rFonts w:ascii="宋体" w:eastAsia="宋体" w:hAnsi="宋体" w:cs="宋体"/>
                <w:b w:val="0"/>
                <w:i w:val="0"/>
                <w:color w:val="000000"/>
                <w:sz w:val="18"/>
              </w:rPr>
              <w:t xml:space="preserve">207.25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207.25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2050999</w:t>
            </w:r>
          </w:p>
        </w:tc>
        <w:tc>
          <w:tcPr>
            <w:tcW w:w="4300" w:type="dxa"/>
            <w:tcBorders/>
            <w:vAlign w:val="center"/>
          </w:tcPr>
          <w:p>
            <w:pPr>
              <w:jc w:val="left"/>
            </w:pPr>
            <w:r>
              <w:rPr>
                <w:rFonts w:ascii="宋体" w:eastAsia="宋体" w:hAnsi="宋体" w:cs="宋体"/>
                <w:b w:val="0"/>
                <w:i w:val="0"/>
                <w:color w:val="000000"/>
                <w:sz w:val="18"/>
              </w:rPr>
              <w:t xml:space="preserve">其他教育费附加安排的支出</w:t>
            </w:r>
          </w:p>
        </w:tc>
        <w:tc>
          <w:tcPr>
            <w:tcW w:w="1780" w:type="dxa"/>
            <w:tcBorders/>
            <w:vAlign w:val="center"/>
          </w:tcPr>
          <w:p>
            <w:pPr>
              <w:jc w:val="right"/>
            </w:pPr>
            <w:r>
              <w:rPr>
                <w:rFonts w:ascii="宋体" w:eastAsia="宋体" w:hAnsi="宋体" w:cs="宋体"/>
                <w:b w:val="0"/>
                <w:i w:val="0"/>
                <w:color w:val="000000"/>
                <w:sz w:val="18"/>
              </w:rPr>
              <w:t xml:space="preserve">207.25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207.25</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单位：辽宁省沈阳市浑南区教育局花语幼儿园</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单位：辽宁省沈阳市浑南区教育局花语幼儿园</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单位：辽宁省沈阳市浑南区教育局花语幼儿园</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单位：辽宁省沈阳市浑南区教育局花语幼儿园</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教育教学经费-2024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沈阳市浑南区教育局花语幼儿园-</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确保学校正常运行，各级各类教育教学活动顺利开展，教育经费及时足额进行保障。基建、维修、采购等各类项目均在实施过程中，项目进展情况较上半年有明显提，按照区教育局工作安排，结合各级各类学校实际需求，安排项目资金，用以解决教育教学中实际问题。为确保学校正常运行，各级各类教育教学活动顺利开展，教育经费及时足额进行保障。基建、维修、采购等各类项目均在实施过程中，项目进展情况较上半年有明显提，按照区教育局工作安排，结合各级各类学校实际需求，安排项目资金，用以解决教育教学中实际问题。</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目标全面达成，确保学校正常运行，各级各类教育教学活动顺利开展，教育经费及时足额进行保障。基建、维修、采购等各类项目均在实施过程中，项目进展情况较上半年有明显提，按照区教育局工作安排，结合幼儿园实际需求，安排项目资金，解决教育教学中实际问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学前奖补-2024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沈阳市浑南区教育局花语幼儿园-</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387.94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380.9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98.18%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育教育费各幼儿园支出主要用于保障各单位各项工作正常运转，完成日常保育教育工作任务及承担的行政工作任务等相关项目。其中，基本支出用于保障幼儿园运转的日常支出，包括教职工基本工资、保险等人员经费。项目支出是用于保障幼儿园的正常运转无安全隐患，对于园所的各项维修维护经费支出。公共支出是为了保证幼儿园正常运行所用于的煤气、水电费等经费支出，还包括用于保证教育教学效果，提升保育教育质量教学玩教具及户外玩教具购买的支出等。</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全面完成，幼儿园支出主要用于保障各单位各项工作正常运转，完成日常保育教育工作任务及承担的行政工作任务等相关项目。其中，基本支出用于保障幼儿园运转的日常支出，包括教职工基本工资、保险等人员经费。项目支出是用于保障幼儿园的正常运转无安全隐患，对于园所的各项维修维护经费支出。公共支出是为了保证幼儿园正常运行所用于的煤气、水电费等经费支出，还包括用于保证教育教学效果，提升保育教育质量教学玩教具及户外玩教具购买的支出等。</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99.82</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学生资助-2024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沈阳市浑南区教育局花语幼儿园-</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沈阳市财政局 沈阳市教育局转发省财政厅 省教育厅关于建立学前教育资助的意见的通知 沈财教[2013]441号 ，关于完善义务教育家庭经济困难学生生活补助政策的通知 辽财教〔2018〕654号，关于完善义务教育家庭经济困难学生生活补助政策的通知 辽财教〔2018〕655号，关于进一步明确普通高中政府助学金资助政策相关事宜的通知 沈教发〔2010〕89号，沈阳市财政局 沈阳市教育局 关于沈阳市实施普通高中家庭经济困难学生免学杂费政策的通知 沈财教〔2016〕804号，沈阳市财政局 沈阳市教育局 关于沈阳市实施普通高中家庭经济困难学生免学杂费政策的通知 沈财教〔2016〕804号，关于扩大中等职业教育免学费政策范围进一步完善国家助学金制度的意见 辽财教〔2012〕915号2024年学前资助资金2.4万元，2024年义教（小学）资助资金19.95万元，2024年义教（初中）资助资金19.95万，其中住宿生资助资金为1.875万元，非住宿生资助资金12.15万元，2024年高中助学金资助资金39.2万元，24年高中免学杂费资助资金22.68万元，2024年中职助学金资助，目标可实施</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绩效目前全面完成，根据沈阳市财政局 沈阳市教育局转发省财政厅 省教育厅关于建立学前教育资助的意见的通知 沈财教[2013]441号文件，完成学前教育资助先免后补工作。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幼儿园保育费-2024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沈阳市浑南区教育局花语幼儿园-</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929.84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929.84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育教育费各幼儿园支出主要用于保障各单位各项工作正常运转，完成日常保育教育工作任务及承担的行政工作任务等相关项目。其中，基本支出用于保障幼儿园运转的日常支出，包括教职工基本工资、保险等人员经费。项目支出是用于保障幼儿园的正常运转无安全隐患，对于园所的各项维修维护经费支出。公共支出是为了保证幼儿园正常运行所用于的煤气、水电费等经费支出，还包括用于保证教育教学效果，提升保育教育质量教学玩教具及户外玩教具购买的支出等。实施期绩效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全面完成，保育教育费各幼儿园支出主要用于保障各单位各项工作正常运转，完成日常保育教育工作任务及承担的行政工作任务等相关项目。其中，基本支出用于保障幼儿园运转的日常支出，包括教职工基本工资、保险等人员经费。项目支出是用于保障幼儿园的正常运转无安全隐患，对于园所的各项维修维护经费支出。公共支出是为了保证幼儿园正常运行所用于的煤气、水电费等经费支出，还包括用于保证教育教学效果，提升保育教育质量教学玩教具及户外玩教具购买的支出等。</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专用设备购置-2024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沈阳市浑南区教育局花语幼儿园-</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14.05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14.05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国家、省、市各部门相关规定，根据区教育局工作安排，结合学校实际需求，为全力保障各类教育教学任务顺利开展，各级各类学校平稳运行，开展了一系列采购项目及工程维修项目，严格按照招标流程进行公开招标，并委托专业机构进行验收，形成完成了验收材料，并依据合同约定，按照项目进展情况进行资金申请及拨付，及时足额使用项目资金，合同统一通过法审，并做好档案管理工作，充分发挥资金使用效益，积极配合各部门检查及巡视工作。项目实施有必要性。</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全面完成，根据幼儿园实际要求，完成办公设备采购项目，形成验收材料，并依据合同约定，按照项目进展情况进行资金申请与拨付，及时足额使用项目资金，做好档案管理工作。保障教育教学任务顺利开展。</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