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辽宁省沈阳市浑南区教育局第一幼儿园</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辽宁省沈阳市浑南区教育局第一幼儿园</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辽宁省沈阳市浑南区教育局第一幼儿园</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辽宁省沈阳市浑南区教育局第一幼儿园</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辽宁省沈阳市浑南区教育局第一幼儿园</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辽宁省沈阳市浑南区教育局第一幼儿园概况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依法办园。为社会提供高水平、高质量、高效率的学前教育服务，兴办一所高品质、现代化、创新型的幼儿园。为0—6岁学龄前儿童提供高质量的保育和教育服务。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辽宁省沈阳市浑南区教育局第一幼儿园</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沈阳市浑南区第一小学幼儿园是纳入浑南区教育局2024年决算编制范围的二级预算单位,本单位无下设机构。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1022.19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1022.19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1022.19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增加2.98万元，增长0.29%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本单位2024年托班幼儿增加，故财政拨款收入增加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1022.19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1022.19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主要包括教职工工资及保险、水费、电费、维修维护费、办公费等业务支出。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增加2.98万元，增长0.29%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教职工工资及保险、水费、电费、维修维护费、办公费等业务支出增加，故项目支出较上年度增加。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收入等于支出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1022.19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1022.19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增加116.27万元，增长12.83%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教职工维修维护费、办公费等业务支出增加，故项目支出较上年度增加。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2024年度一般公共预算财政拨款支出1022.19万元。按支出功能分类科目分，包括：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1.教育支出1022.20万元，具体包括：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869.12万元,主要是教职工工资、水、电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153.08万元,主要是教职工保险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无公务用车购置及运行费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本单位年初预算由教育局统一安排，因此未开展绩效评价工作。</w:t>
        <w:br/>
        <w:t xml:space="preserve">    2.项目绩效自位年初预算由教育局统一安排，因此未开展绩效评价工作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0个；得分在60分（含）至80分、等级为“中”的项目有0个；得分在60分以下、等级为“差”的项目有0个。后续将继续保持该优势，保证资金使用效率。</w:t>
        <w:br/>
        <w:t xml:space="preserve">    3.部门重点评价情况及结果。</w:t>
        <w:br/>
        <w:t xml:space="preserve">    我部门未产生资金量大、社会关注度高的民生领域项目，因此暂未做重点项目绩效评价。</w:t>
        <w:br/>
        <w:t xml:space="preserve">    4.财政重点评价情况及结果。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16.教育支出（类）普通教育（款）学前教育（项）：反映各部门举办的学前教育支出。</w:t>
        <w:br/>
        <w:t xml:space="preserve">    政府各部门对社会组织举办的幼儿园的资助，如捐赠、补贴等。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单位：辽宁省沈阳市浑南区教育局第一幼儿园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1,022.19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1,022.19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1,022.19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1,022.19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1,022.19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1,022.19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单位：辽宁省沈阳市浑南区教育局第一幼儿园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1,022.19</w:t>
            </w:r>
          </w:p>
        </w:tc>
        <w:tc>
          <w:tcPr>
            <w:tcW w:w="960" w:type="dxa"/>
            <w:tcBorders/>
            <w:vAlign w:val="center"/>
          </w:tcPr>
          <w:p>
            <w:pPr>
              <w:jc w:val="right"/>
            </w:pPr>
            <w:r>
              <w:rPr>
                <w:rFonts w:ascii="宋体" w:eastAsia="宋体" w:hAnsi="宋体" w:cs="宋体"/>
                <w:b/>
                <w:i w:val="0"/>
                <w:color w:val="000000"/>
                <w:sz w:val="13"/>
              </w:rPr>
              <w:t xml:space="preserve">1,022.19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1,022.20</w:t>
            </w:r>
          </w:p>
        </w:tc>
        <w:tc>
          <w:tcPr>
            <w:tcW w:w="960" w:type="dxa"/>
            <w:tcBorders/>
            <w:vAlign w:val="center"/>
          </w:tcPr>
          <w:p>
            <w:pPr>
              <w:jc w:val="right"/>
            </w:pPr>
            <w:r>
              <w:rPr>
                <w:rFonts w:ascii="宋体" w:eastAsia="宋体" w:hAnsi="宋体" w:cs="宋体"/>
                <w:b w:val="0"/>
                <w:i w:val="0"/>
                <w:color w:val="000000"/>
                <w:sz w:val="13"/>
              </w:rPr>
              <w:t xml:space="preserve">1,022.20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869.12</w:t>
            </w:r>
          </w:p>
        </w:tc>
        <w:tc>
          <w:tcPr>
            <w:tcW w:w="960" w:type="dxa"/>
            <w:tcBorders/>
            <w:vAlign w:val="center"/>
          </w:tcPr>
          <w:p>
            <w:pPr>
              <w:jc w:val="right"/>
            </w:pPr>
            <w:r>
              <w:rPr>
                <w:rFonts w:ascii="宋体" w:eastAsia="宋体" w:hAnsi="宋体" w:cs="宋体"/>
                <w:b w:val="0"/>
                <w:i w:val="0"/>
                <w:color w:val="000000"/>
                <w:sz w:val="13"/>
              </w:rPr>
              <w:t xml:space="preserve">869.12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869.12</w:t>
            </w:r>
          </w:p>
        </w:tc>
        <w:tc>
          <w:tcPr>
            <w:tcW w:w="960" w:type="dxa"/>
            <w:tcBorders/>
            <w:vAlign w:val="center"/>
          </w:tcPr>
          <w:p>
            <w:pPr>
              <w:jc w:val="right"/>
            </w:pPr>
            <w:r>
              <w:rPr>
                <w:rFonts w:ascii="宋体" w:eastAsia="宋体" w:hAnsi="宋体" w:cs="宋体"/>
                <w:b w:val="0"/>
                <w:i w:val="0"/>
                <w:color w:val="000000"/>
                <w:sz w:val="13"/>
              </w:rPr>
              <w:t xml:space="preserve">869.12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153.08</w:t>
            </w:r>
          </w:p>
        </w:tc>
        <w:tc>
          <w:tcPr>
            <w:tcW w:w="960" w:type="dxa"/>
            <w:tcBorders/>
            <w:vAlign w:val="center"/>
          </w:tcPr>
          <w:p>
            <w:pPr>
              <w:jc w:val="right"/>
            </w:pPr>
            <w:r>
              <w:rPr>
                <w:rFonts w:ascii="宋体" w:eastAsia="宋体" w:hAnsi="宋体" w:cs="宋体"/>
                <w:b w:val="0"/>
                <w:i w:val="0"/>
                <w:color w:val="000000"/>
                <w:sz w:val="13"/>
              </w:rPr>
              <w:t xml:space="preserve">153.08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153.08</w:t>
            </w:r>
          </w:p>
        </w:tc>
        <w:tc>
          <w:tcPr>
            <w:tcW w:w="960" w:type="dxa"/>
            <w:tcBorders/>
            <w:vAlign w:val="center"/>
          </w:tcPr>
          <w:p>
            <w:pPr>
              <w:jc w:val="right"/>
            </w:pPr>
            <w:r>
              <w:rPr>
                <w:rFonts w:ascii="宋体" w:eastAsia="宋体" w:hAnsi="宋体" w:cs="宋体"/>
                <w:b w:val="0"/>
                <w:i w:val="0"/>
                <w:color w:val="000000"/>
                <w:sz w:val="13"/>
              </w:rPr>
              <w:t xml:space="preserve">153.08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单位：辽宁省沈阳市浑南区教育局第一幼儿园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1,022.19</w:t>
            </w:r>
          </w:p>
        </w:tc>
        <w:tc>
          <w:tcPr>
            <w:tcW w:w="1060" w:type="dxa"/>
            <w:tcBorders/>
            <w:vAlign w:val="center"/>
          </w:tcPr>
          <w:p>
            <w:pPr/>
          </w:p>
        </w:tc>
        <w:tc>
          <w:tcPr>
            <w:tcW w:w="1060" w:type="dxa"/>
            <w:tcBorders/>
            <w:vAlign w:val="center"/>
          </w:tcPr>
          <w:p>
            <w:pPr>
              <w:jc w:val="right"/>
            </w:pPr>
            <w:r>
              <w:rPr>
                <w:rFonts w:ascii="宋体" w:eastAsia="宋体" w:hAnsi="宋体" w:cs="宋体"/>
                <w:b/>
                <w:i w:val="0"/>
                <w:color w:val="000000"/>
                <w:sz w:val="14"/>
              </w:rPr>
              <w:t xml:space="preserve">1,022.19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1,022.20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1,022.20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869.12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869.12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869.12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869.12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153.08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153.08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153.08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153.08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单位：辽宁省沈阳市浑南区教育局第一幼儿园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1,022.19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1,022.19</w:t>
            </w:r>
          </w:p>
        </w:tc>
        <w:tc>
          <w:tcPr>
            <w:tcW w:w="1100" w:type="dxa"/>
            <w:tcBorders/>
            <w:vAlign w:val="center"/>
          </w:tcPr>
          <w:p>
            <w:pPr>
              <w:jc w:val="right"/>
            </w:pPr>
            <w:r>
              <w:rPr>
                <w:rFonts w:ascii="宋体" w:eastAsia="宋体" w:hAnsi="宋体" w:cs="宋体"/>
                <w:b w:val="0"/>
                <w:i w:val="0"/>
                <w:color w:val="000000"/>
                <w:sz w:val="14"/>
              </w:rPr>
              <w:t xml:space="preserve">1,022.19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1,022.19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1,022.19</w:t>
            </w:r>
          </w:p>
        </w:tc>
        <w:tc>
          <w:tcPr>
            <w:tcW w:w="1100" w:type="dxa"/>
            <w:tcBorders/>
            <w:vAlign w:val="center"/>
          </w:tcPr>
          <w:p>
            <w:pPr>
              <w:jc w:val="right"/>
            </w:pPr>
            <w:r>
              <w:rPr>
                <w:rFonts w:ascii="宋体" w:eastAsia="宋体" w:hAnsi="宋体" w:cs="宋体"/>
                <w:b w:val="0"/>
                <w:i w:val="0"/>
                <w:color w:val="000000"/>
                <w:sz w:val="14"/>
              </w:rPr>
              <w:t xml:space="preserve">1,022.19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1,022.19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1,022.19</w:t>
            </w:r>
          </w:p>
        </w:tc>
        <w:tc>
          <w:tcPr>
            <w:tcW w:w="1100" w:type="dxa"/>
            <w:tcBorders/>
            <w:vAlign w:val="center"/>
          </w:tcPr>
          <w:p>
            <w:pPr>
              <w:jc w:val="right"/>
            </w:pPr>
            <w:r>
              <w:rPr>
                <w:rFonts w:ascii="宋体" w:eastAsia="宋体" w:hAnsi="宋体" w:cs="宋体"/>
                <w:b w:val="0"/>
                <w:i w:val="0"/>
                <w:color w:val="000000"/>
                <w:sz w:val="14"/>
              </w:rPr>
              <w:t xml:space="preserve">1,022.19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单位：辽宁省沈阳市浑南区教育局第一幼儿园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1,022.19</w:t>
            </w:r>
          </w:p>
        </w:tc>
        <w:tc>
          <w:tcPr>
            <w:tcW w:w="1780" w:type="dxa"/>
            <w:tcBorders/>
            <w:vAlign w:val="center"/>
          </w:tcPr>
          <w:p>
            <w:pPr>
              <w:jc w:val="right"/>
            </w:pPr>
            <w:r>
              <w:rPr>
                <w:rFonts w:ascii="宋体" w:eastAsia="宋体" w:hAnsi="宋体" w:cs="宋体"/>
                <w:b/>
                <w:i w:val="0"/>
                <w:color w:val="000000"/>
                <w:sz w:val="18"/>
              </w:rPr>
              <w:t xml:space="preserve">0.00</w:t>
            </w:r>
          </w:p>
        </w:tc>
        <w:tc>
          <w:tcPr>
            <w:tcW w:w="1772" w:type="dxa"/>
            <w:tcBorders/>
            <w:vAlign w:val="center"/>
          </w:tcPr>
          <w:p>
            <w:pPr>
              <w:jc w:val="right"/>
            </w:pPr>
            <w:r>
              <w:rPr>
                <w:rFonts w:ascii="宋体" w:eastAsia="宋体" w:hAnsi="宋体" w:cs="宋体"/>
                <w:b/>
                <w:i w:val="0"/>
                <w:color w:val="000000"/>
                <w:sz w:val="18"/>
              </w:rPr>
              <w:t xml:space="preserve">1,022.19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1,022.20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1,022.20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869.12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869.12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869.12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869.12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153.08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153.08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153.08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153.08</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单位：辽宁省沈阳市浑南区教育局第一幼儿园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单位：辽宁省沈阳市浑南区教育局第一幼儿园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单位：辽宁省沈阳市浑南区教育局第一幼儿园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单位：辽宁省沈阳市浑南区教育局第一幼儿园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沈阳市浑南区教育局第一幼儿园-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幼儿园正常运行，各级各类教育教学活动顺利开展，教育经费及时足额进行保障。基建、维修、采购等各类项目均在实施过程中，项目进展情况较上半年有明显提，按照区教育局工作安排，结合幼儿园实际需求，安排项目资金，用以解决教育教学中实际问题。为确保幼儿园正常运行，各级各类教育教学活动顺利开展，教育经费及时足额进行保障。基建、维修、采购等各类项目均在实施过程中，项目进展情况较上半年有明显提，按照区教育局工作安排，结合幼儿园实际需求，安排项目资金，用以解决教育教学中实际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沈阳市浑南区教育局第一幼儿园-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沈阳市浑南区教育局第一幼儿园-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沈阳市浑南区教育局第一幼儿园-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专用设备购置-2024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沈阳市浑南区教育局第一幼儿园-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