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辽宁省沈阳市浑南区望滨小学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辽宁省沈阳市浑南区望滨小学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辽宁省沈阳市浑南区望滨小学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辽宁省沈阳市浑南区望滨小学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辽宁省沈阳市浑南区望滨小学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辽宁省沈阳市浑南区望滨小学概况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（一）组织教育教学、科学研究活动，保证教育教学质量。维护教职工利益，保障教职工合法权益，以教职工和学生的人生幸福和生命质量作为重点。</w:t>
        <w:br/>
        <w:t xml:space="preserve">    （二）制定学校发展规划，并抓好组织实施和落实情况。</w:t>
        <w:br/>
        <w:t xml:space="preserve">    （三）科学管理、合理使用学校的设施和经费，并积极筹措办学资金，改善办学条件。</w:t>
        <w:br/>
        <w:t xml:space="preserve">    （四）依法接受各级教育行政部门的检查指导和人民群众的监督。</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辽宁省沈阳市浑南区望滨小学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沈阳市浑南区望滨小学是纳入浑南区教育局2024年决算编制范围的二级预算单位,本单位无下设机构。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454.32</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451.61</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99.40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451.61</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2.70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0.59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主要是以前年度非财政拨款结余等。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减少24.83万元，降低5.18%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学生逐年减少、教师工作调动导致收入下降</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451.61</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294.13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65.13</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工资福利支出262.22万元；商品和服务支出1.69万元；对个人和家庭的补助30.23万元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157.48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34.87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主要包括统筹生均经费、取暖费、物业费、乡村三十年教师经费等业务支出。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减少24.83万元，降低5.21%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学生逐年减少、教师工作调动导致支出下降</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2.70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主要是以前年度非财政拨款结余等原因形成的结余。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历史遗留问题，暂无支付途径</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451.61</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294.13</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157.48</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减少16.98万元，降低3.62%</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学生逐年减少、教师工作调动</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143.50</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93.46</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2024年度一般公共预算财政拨款支出451.61万元。按支出功能分类科目分，包括：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1.教育支出429.41万元，具体包括：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（1）教育支出（类）普通教育（款）小学教育（项）429.41万元,主要是工资、生均经费等支出，完成年初预算的100%，决算数与年初预算数存在差异的主要原因是部分支出由区教育局编制预算，资金由学校列支。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2.社会保障和就业支出22.21万元，具体包括：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6.66万元,主要是退休人员相关福利待遇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职业年金缴费支出（项）15.55万元,主要是为已办理退休手续的教师缴纳职业年金等支出，完成年初预算的100%，决算数与年初预算数存在差异的主要原因是完全按照预算执行，决算数与预算数实际上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不涉及此项支出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不涉及此项支出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不涉及此项支出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不涉及此项支出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不涉及此项支出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不涉及此项支出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不涉及此项支出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294.14</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292.45</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1.69</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不涉及此项支出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具体而言，本年度我部门共组织对5个项目实施了绩效评价。从预算资金来源看，涉及一般公共预算的项目5个，涉及政府性基金预算的项目0个，涉及国有资本经营预算的项目0个。</w:t>
        <w:br/>
        <w:t xml:space="preserve">    上述评价工作共涉及财政资金442.58万元。其中，一般公共预算资金442.58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5个；得分在80分（含）至90分、等级为“良”的项目有0个；得分在60分（含）至80分、等级为“中”的项目有0个；得分在60分以下、等级为“差”的项目有0个。各项目自评发现，部分项目存在资金利用率低问题，已要求相关项目单位分析原因并制定改进措施。</w:t>
        <w:br/>
        <w:t xml:space="preserve">    3.部门重点评价情况及结果。</w:t>
        <w:br/>
        <w:t xml:space="preserve">    在全面自评的基础上，本部门选取了2个资金量大、社会关注度高、具有代表性的重点项目实施了部门重点评价。评价工作通过数据采集分析方式进行，确保了评价结果的客观性和公正性。</w:t>
        <w:br/>
        <w:t xml:space="preserve">    我部门组织对2个项目重点评价，结果显示，被评价项目整体绩效情况良好。其中：第一个重点项目为基本支出人员经费（保工资），涉及资金255.66万元，评价平均分为100分，评级情况为优；第二个重点项目为信访维稳工作经费，涉及资金98.01万元，评价平均分为100分，评级情况为优。同时，评价也发现基本支出公用经费(保运转)项目存在问题，具体问题为：资金使用效益有待进一步提升。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单位：辽宁省沈阳市浑南区望滨小学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451.61</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429.41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22.20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451.61</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451.61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2.70</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2.70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454.32</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454.32</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单位：辽宁省沈阳市浑南区望滨小学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451.61</w:t>
            </w:r>
          </w:p>
        </w:tc>
        <w:tc>
          <w:tcPr>
            <w:tcW w:w="960" w:type="dxa"/>
            <w:tcBorders/>
            <w:vAlign w:val="center"/>
          </w:tcPr>
          <w:p>
            <w:pPr>
              <w:jc w:val="right"/>
            </w:pPr>
            <w:r>
              <w:rPr>
                <w:rFonts w:ascii="宋体" w:eastAsia="宋体" w:hAnsi="宋体" w:cs="宋体"/>
                <w:b/>
                <w:i w:val="0"/>
                <w:color w:val="000000"/>
                <w:sz w:val="13"/>
              </w:rPr>
              <w:t xml:space="preserve">451.61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429.41</w:t>
            </w:r>
          </w:p>
        </w:tc>
        <w:tc>
          <w:tcPr>
            <w:tcW w:w="960" w:type="dxa"/>
            <w:tcBorders/>
            <w:vAlign w:val="center"/>
          </w:tcPr>
          <w:p>
            <w:pPr>
              <w:jc w:val="right"/>
            </w:pPr>
            <w:r>
              <w:rPr>
                <w:rFonts w:ascii="宋体" w:eastAsia="宋体" w:hAnsi="宋体" w:cs="宋体"/>
                <w:b w:val="0"/>
                <w:i w:val="0"/>
                <w:color w:val="000000"/>
                <w:sz w:val="13"/>
              </w:rPr>
              <w:t xml:space="preserve">429.41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429.41</w:t>
            </w:r>
          </w:p>
        </w:tc>
        <w:tc>
          <w:tcPr>
            <w:tcW w:w="960" w:type="dxa"/>
            <w:tcBorders/>
            <w:vAlign w:val="center"/>
          </w:tcPr>
          <w:p>
            <w:pPr>
              <w:jc w:val="right"/>
            </w:pPr>
            <w:r>
              <w:rPr>
                <w:rFonts w:ascii="宋体" w:eastAsia="宋体" w:hAnsi="宋体" w:cs="宋体"/>
                <w:b w:val="0"/>
                <w:i w:val="0"/>
                <w:color w:val="000000"/>
                <w:sz w:val="13"/>
              </w:rPr>
              <w:t xml:space="preserve">429.41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2050202</w:t>
            </w:r>
          </w:p>
        </w:tc>
        <w:tc>
          <w:tcPr>
            <w:tcW w:w="3200" w:type="dxa"/>
            <w:tcBorders/>
            <w:vAlign w:val="center"/>
          </w:tcPr>
          <w:p>
            <w:pPr>
              <w:jc w:val="left"/>
            </w:pPr>
            <w:r>
              <w:rPr>
                <w:rFonts w:ascii="宋体" w:eastAsia="宋体" w:hAnsi="宋体" w:cs="宋体"/>
                <w:b w:val="0"/>
                <w:i w:val="0"/>
                <w:color w:val="000000"/>
                <w:sz w:val="13"/>
              </w:rPr>
              <w:t xml:space="preserve">小学教育</w:t>
            </w:r>
          </w:p>
        </w:tc>
        <w:tc>
          <w:tcPr>
            <w:tcW w:w="960" w:type="dxa"/>
            <w:tcBorders/>
            <w:vAlign w:val="center"/>
          </w:tcPr>
          <w:p>
            <w:pPr>
              <w:jc w:val="right"/>
            </w:pPr>
            <w:r>
              <w:rPr>
                <w:rFonts w:ascii="宋体" w:eastAsia="宋体" w:hAnsi="宋体" w:cs="宋体"/>
                <w:b w:val="0"/>
                <w:i w:val="0"/>
                <w:color w:val="000000"/>
                <w:sz w:val="13"/>
              </w:rPr>
              <w:t xml:space="preserve">429.41</w:t>
            </w:r>
          </w:p>
        </w:tc>
        <w:tc>
          <w:tcPr>
            <w:tcW w:w="960" w:type="dxa"/>
            <w:tcBorders/>
            <w:vAlign w:val="center"/>
          </w:tcPr>
          <w:p>
            <w:pPr>
              <w:jc w:val="right"/>
            </w:pPr>
            <w:r>
              <w:rPr>
                <w:rFonts w:ascii="宋体" w:eastAsia="宋体" w:hAnsi="宋体" w:cs="宋体"/>
                <w:b w:val="0"/>
                <w:i w:val="0"/>
                <w:color w:val="000000"/>
                <w:sz w:val="13"/>
              </w:rPr>
              <w:t xml:space="preserve">429.41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22.21</w:t>
            </w:r>
          </w:p>
        </w:tc>
        <w:tc>
          <w:tcPr>
            <w:tcW w:w="960" w:type="dxa"/>
            <w:tcBorders/>
            <w:vAlign w:val="center"/>
          </w:tcPr>
          <w:p>
            <w:pPr>
              <w:jc w:val="right"/>
            </w:pPr>
            <w:r>
              <w:rPr>
                <w:rFonts w:ascii="宋体" w:eastAsia="宋体" w:hAnsi="宋体" w:cs="宋体"/>
                <w:b w:val="0"/>
                <w:i w:val="0"/>
                <w:color w:val="000000"/>
                <w:sz w:val="13"/>
              </w:rPr>
              <w:t xml:space="preserve">22.21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22.21</w:t>
            </w:r>
          </w:p>
        </w:tc>
        <w:tc>
          <w:tcPr>
            <w:tcW w:w="960" w:type="dxa"/>
            <w:tcBorders/>
            <w:vAlign w:val="center"/>
          </w:tcPr>
          <w:p>
            <w:pPr>
              <w:jc w:val="right"/>
            </w:pPr>
            <w:r>
              <w:rPr>
                <w:rFonts w:ascii="宋体" w:eastAsia="宋体" w:hAnsi="宋体" w:cs="宋体"/>
                <w:b w:val="0"/>
                <w:i w:val="0"/>
                <w:color w:val="000000"/>
                <w:sz w:val="13"/>
              </w:rPr>
              <w:t xml:space="preserve">22.21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6.66</w:t>
            </w:r>
          </w:p>
        </w:tc>
        <w:tc>
          <w:tcPr>
            <w:tcW w:w="960" w:type="dxa"/>
            <w:tcBorders/>
            <w:vAlign w:val="center"/>
          </w:tcPr>
          <w:p>
            <w:pPr>
              <w:jc w:val="right"/>
            </w:pPr>
            <w:r>
              <w:rPr>
                <w:rFonts w:ascii="宋体" w:eastAsia="宋体" w:hAnsi="宋体" w:cs="宋体"/>
                <w:b w:val="0"/>
                <w:i w:val="0"/>
                <w:color w:val="000000"/>
                <w:sz w:val="13"/>
              </w:rPr>
              <w:t xml:space="preserve">6.66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15.55</w:t>
            </w:r>
          </w:p>
        </w:tc>
        <w:tc>
          <w:tcPr>
            <w:tcW w:w="960" w:type="dxa"/>
            <w:tcBorders/>
            <w:vAlign w:val="center"/>
          </w:tcPr>
          <w:p>
            <w:pPr>
              <w:jc w:val="right"/>
            </w:pPr>
            <w:r>
              <w:rPr>
                <w:rFonts w:ascii="宋体" w:eastAsia="宋体" w:hAnsi="宋体" w:cs="宋体"/>
                <w:b w:val="0"/>
                <w:i w:val="0"/>
                <w:color w:val="000000"/>
                <w:sz w:val="13"/>
              </w:rPr>
              <w:t xml:space="preserve">15.55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单位：辽宁省沈阳市浑南区望滨小学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451.61</w:t>
            </w:r>
          </w:p>
        </w:tc>
        <w:tc>
          <w:tcPr>
            <w:tcW w:w="1060" w:type="dxa"/>
            <w:tcBorders/>
            <w:vAlign w:val="center"/>
          </w:tcPr>
          <w:p>
            <w:pPr>
              <w:jc w:val="right"/>
            </w:pPr>
            <w:r>
              <w:rPr>
                <w:rFonts w:ascii="宋体" w:eastAsia="宋体" w:hAnsi="宋体" w:cs="宋体"/>
                <w:b/>
                <w:i w:val="0"/>
                <w:color w:val="000000"/>
                <w:sz w:val="14"/>
              </w:rPr>
              <w:t xml:space="preserve">294.13</w:t>
            </w:r>
          </w:p>
        </w:tc>
        <w:tc>
          <w:tcPr>
            <w:tcW w:w="1060" w:type="dxa"/>
            <w:tcBorders/>
            <w:vAlign w:val="center"/>
          </w:tcPr>
          <w:p>
            <w:pPr>
              <w:jc w:val="right"/>
            </w:pPr>
            <w:r>
              <w:rPr>
                <w:rFonts w:ascii="宋体" w:eastAsia="宋体" w:hAnsi="宋体" w:cs="宋体"/>
                <w:b/>
                <w:i w:val="0"/>
                <w:color w:val="000000"/>
                <w:sz w:val="14"/>
              </w:rPr>
              <w:t xml:space="preserve">157.48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429.41</w:t>
            </w:r>
          </w:p>
        </w:tc>
        <w:tc>
          <w:tcPr>
            <w:tcW w:w="1060" w:type="dxa"/>
            <w:tcBorders/>
            <w:vAlign w:val="center"/>
          </w:tcPr>
          <w:p>
            <w:pPr>
              <w:jc w:val="right"/>
            </w:pPr>
            <w:r>
              <w:rPr>
                <w:rFonts w:ascii="宋体" w:eastAsia="宋体" w:hAnsi="宋体" w:cs="宋体"/>
                <w:b w:val="0"/>
                <w:i w:val="0"/>
                <w:color w:val="000000"/>
                <w:sz w:val="14"/>
              </w:rPr>
              <w:t xml:space="preserve">271.93</w:t>
            </w:r>
          </w:p>
        </w:tc>
        <w:tc>
          <w:tcPr>
            <w:tcW w:w="1060" w:type="dxa"/>
            <w:tcBorders/>
            <w:vAlign w:val="center"/>
          </w:tcPr>
          <w:p>
            <w:pPr>
              <w:jc w:val="right"/>
            </w:pPr>
            <w:r>
              <w:rPr>
                <w:rFonts w:ascii="宋体" w:eastAsia="宋体" w:hAnsi="宋体" w:cs="宋体"/>
                <w:b w:val="0"/>
                <w:i w:val="0"/>
                <w:color w:val="000000"/>
                <w:sz w:val="14"/>
              </w:rPr>
              <w:t xml:space="preserve">157.48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429.41</w:t>
            </w:r>
          </w:p>
        </w:tc>
        <w:tc>
          <w:tcPr>
            <w:tcW w:w="1060" w:type="dxa"/>
            <w:tcBorders/>
            <w:vAlign w:val="center"/>
          </w:tcPr>
          <w:p>
            <w:pPr>
              <w:jc w:val="right"/>
            </w:pPr>
            <w:r>
              <w:rPr>
                <w:rFonts w:ascii="宋体" w:eastAsia="宋体" w:hAnsi="宋体" w:cs="宋体"/>
                <w:b w:val="0"/>
                <w:i w:val="0"/>
                <w:color w:val="000000"/>
                <w:sz w:val="14"/>
              </w:rPr>
              <w:t xml:space="preserve">271.93</w:t>
            </w:r>
          </w:p>
        </w:tc>
        <w:tc>
          <w:tcPr>
            <w:tcW w:w="1060" w:type="dxa"/>
            <w:tcBorders/>
            <w:vAlign w:val="center"/>
          </w:tcPr>
          <w:p>
            <w:pPr>
              <w:jc w:val="right"/>
            </w:pPr>
            <w:r>
              <w:rPr>
                <w:rFonts w:ascii="宋体" w:eastAsia="宋体" w:hAnsi="宋体" w:cs="宋体"/>
                <w:b w:val="0"/>
                <w:i w:val="0"/>
                <w:color w:val="000000"/>
                <w:sz w:val="14"/>
              </w:rPr>
              <w:t xml:space="preserve">157.48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2050202</w:t>
            </w:r>
          </w:p>
        </w:tc>
        <w:tc>
          <w:tcPr>
            <w:tcW w:w="3440" w:type="dxa"/>
            <w:tcBorders/>
            <w:vAlign w:val="center"/>
          </w:tcPr>
          <w:p>
            <w:pPr>
              <w:jc w:val="left"/>
            </w:pPr>
            <w:r>
              <w:rPr>
                <w:rFonts w:ascii="宋体" w:eastAsia="宋体" w:hAnsi="宋体" w:cs="宋体"/>
                <w:b w:val="0"/>
                <w:i w:val="0"/>
                <w:color w:val="000000"/>
                <w:sz w:val="14"/>
              </w:rPr>
              <w:t xml:space="preserve">小学教育</w:t>
            </w:r>
          </w:p>
        </w:tc>
        <w:tc>
          <w:tcPr>
            <w:tcW w:w="1060" w:type="dxa"/>
            <w:tcBorders/>
            <w:vAlign w:val="center"/>
          </w:tcPr>
          <w:p>
            <w:pPr>
              <w:jc w:val="right"/>
            </w:pPr>
            <w:r>
              <w:rPr>
                <w:rFonts w:ascii="宋体" w:eastAsia="宋体" w:hAnsi="宋体" w:cs="宋体"/>
                <w:b w:val="0"/>
                <w:i w:val="0"/>
                <w:color w:val="000000"/>
                <w:sz w:val="14"/>
              </w:rPr>
              <w:t xml:space="preserve">429.41</w:t>
            </w:r>
          </w:p>
        </w:tc>
        <w:tc>
          <w:tcPr>
            <w:tcW w:w="1060" w:type="dxa"/>
            <w:tcBorders/>
            <w:vAlign w:val="center"/>
          </w:tcPr>
          <w:p>
            <w:pPr>
              <w:jc w:val="right"/>
            </w:pPr>
            <w:r>
              <w:rPr>
                <w:rFonts w:ascii="宋体" w:eastAsia="宋体" w:hAnsi="宋体" w:cs="宋体"/>
                <w:b w:val="0"/>
                <w:i w:val="0"/>
                <w:color w:val="000000"/>
                <w:sz w:val="14"/>
              </w:rPr>
              <w:t xml:space="preserve">271.93</w:t>
            </w:r>
          </w:p>
        </w:tc>
        <w:tc>
          <w:tcPr>
            <w:tcW w:w="1060" w:type="dxa"/>
            <w:tcBorders/>
            <w:vAlign w:val="center"/>
          </w:tcPr>
          <w:p>
            <w:pPr>
              <w:jc w:val="right"/>
            </w:pPr>
            <w:r>
              <w:rPr>
                <w:rFonts w:ascii="宋体" w:eastAsia="宋体" w:hAnsi="宋体" w:cs="宋体"/>
                <w:b w:val="0"/>
                <w:i w:val="0"/>
                <w:color w:val="000000"/>
                <w:sz w:val="14"/>
              </w:rPr>
              <w:t xml:space="preserve">157.48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22.21</w:t>
            </w:r>
          </w:p>
        </w:tc>
        <w:tc>
          <w:tcPr>
            <w:tcW w:w="1060" w:type="dxa"/>
            <w:tcBorders/>
            <w:vAlign w:val="center"/>
          </w:tcPr>
          <w:p>
            <w:pPr>
              <w:jc w:val="right"/>
            </w:pPr>
            <w:r>
              <w:rPr>
                <w:rFonts w:ascii="宋体" w:eastAsia="宋体" w:hAnsi="宋体" w:cs="宋体"/>
                <w:b w:val="0"/>
                <w:i w:val="0"/>
                <w:color w:val="000000"/>
                <w:sz w:val="14"/>
              </w:rPr>
              <w:t xml:space="preserve">22.21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22.21</w:t>
            </w:r>
          </w:p>
        </w:tc>
        <w:tc>
          <w:tcPr>
            <w:tcW w:w="1060" w:type="dxa"/>
            <w:tcBorders/>
            <w:vAlign w:val="center"/>
          </w:tcPr>
          <w:p>
            <w:pPr>
              <w:jc w:val="right"/>
            </w:pPr>
            <w:r>
              <w:rPr>
                <w:rFonts w:ascii="宋体" w:eastAsia="宋体" w:hAnsi="宋体" w:cs="宋体"/>
                <w:b w:val="0"/>
                <w:i w:val="0"/>
                <w:color w:val="000000"/>
                <w:sz w:val="14"/>
              </w:rPr>
              <w:t xml:space="preserve">22.21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6.66</w:t>
            </w:r>
          </w:p>
        </w:tc>
        <w:tc>
          <w:tcPr>
            <w:tcW w:w="1060" w:type="dxa"/>
            <w:tcBorders/>
            <w:vAlign w:val="center"/>
          </w:tcPr>
          <w:p>
            <w:pPr>
              <w:jc w:val="right"/>
            </w:pPr>
            <w:r>
              <w:rPr>
                <w:rFonts w:ascii="宋体" w:eastAsia="宋体" w:hAnsi="宋体" w:cs="宋体"/>
                <w:b w:val="0"/>
                <w:i w:val="0"/>
                <w:color w:val="000000"/>
                <w:sz w:val="14"/>
              </w:rPr>
              <w:t xml:space="preserve">6.66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15.55</w:t>
            </w:r>
          </w:p>
        </w:tc>
        <w:tc>
          <w:tcPr>
            <w:tcW w:w="1060" w:type="dxa"/>
            <w:tcBorders/>
            <w:vAlign w:val="center"/>
          </w:tcPr>
          <w:p>
            <w:pPr>
              <w:jc w:val="right"/>
            </w:pPr>
            <w:r>
              <w:rPr>
                <w:rFonts w:ascii="宋体" w:eastAsia="宋体" w:hAnsi="宋体" w:cs="宋体"/>
                <w:b w:val="0"/>
                <w:i w:val="0"/>
                <w:color w:val="000000"/>
                <w:sz w:val="14"/>
              </w:rPr>
              <w:t xml:space="preserve">15.55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单位：辽宁省沈阳市浑南区望滨小学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451.61</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429.41</w:t>
            </w:r>
          </w:p>
        </w:tc>
        <w:tc>
          <w:tcPr>
            <w:tcW w:w="1100" w:type="dxa"/>
            <w:tcBorders/>
            <w:vAlign w:val="center"/>
          </w:tcPr>
          <w:p>
            <w:pPr>
              <w:jc w:val="right"/>
            </w:pPr>
            <w:r>
              <w:rPr>
                <w:rFonts w:ascii="宋体" w:eastAsia="宋体" w:hAnsi="宋体" w:cs="宋体"/>
                <w:b w:val="0"/>
                <w:i w:val="0"/>
                <w:color w:val="000000"/>
                <w:sz w:val="14"/>
              </w:rPr>
              <w:t xml:space="preserve">429.41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22.20</w:t>
            </w:r>
          </w:p>
        </w:tc>
        <w:tc>
          <w:tcPr>
            <w:tcW w:w="1100" w:type="dxa"/>
            <w:tcBorders/>
            <w:vAlign w:val="center"/>
          </w:tcPr>
          <w:p>
            <w:pPr>
              <w:jc w:val="right"/>
            </w:pPr>
            <w:r>
              <w:rPr>
                <w:rFonts w:ascii="宋体" w:eastAsia="宋体" w:hAnsi="宋体" w:cs="宋体"/>
                <w:b w:val="0"/>
                <w:i w:val="0"/>
                <w:color w:val="000000"/>
                <w:sz w:val="14"/>
              </w:rPr>
              <w:t xml:space="preserve">22.20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451.61</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451.61</w:t>
            </w:r>
          </w:p>
        </w:tc>
        <w:tc>
          <w:tcPr>
            <w:tcW w:w="1100" w:type="dxa"/>
            <w:tcBorders/>
            <w:vAlign w:val="center"/>
          </w:tcPr>
          <w:p>
            <w:pPr>
              <w:jc w:val="right"/>
            </w:pPr>
            <w:r>
              <w:rPr>
                <w:rFonts w:ascii="宋体" w:eastAsia="宋体" w:hAnsi="宋体" w:cs="宋体"/>
                <w:b w:val="0"/>
                <w:i w:val="0"/>
                <w:color w:val="000000"/>
                <w:sz w:val="14"/>
              </w:rPr>
              <w:t xml:space="preserve">451.61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451.61</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451.61</w:t>
            </w:r>
          </w:p>
        </w:tc>
        <w:tc>
          <w:tcPr>
            <w:tcW w:w="1100" w:type="dxa"/>
            <w:tcBorders/>
            <w:vAlign w:val="center"/>
          </w:tcPr>
          <w:p>
            <w:pPr>
              <w:jc w:val="right"/>
            </w:pPr>
            <w:r>
              <w:rPr>
                <w:rFonts w:ascii="宋体" w:eastAsia="宋体" w:hAnsi="宋体" w:cs="宋体"/>
                <w:b w:val="0"/>
                <w:i w:val="0"/>
                <w:color w:val="000000"/>
                <w:sz w:val="14"/>
              </w:rPr>
              <w:t xml:space="preserve">451.61</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单位：辽宁省沈阳市浑南区望滨小学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451.61</w:t>
            </w:r>
          </w:p>
        </w:tc>
        <w:tc>
          <w:tcPr>
            <w:tcW w:w="1780" w:type="dxa"/>
            <w:tcBorders/>
            <w:vAlign w:val="center"/>
          </w:tcPr>
          <w:p>
            <w:pPr>
              <w:jc w:val="right"/>
            </w:pPr>
            <w:r>
              <w:rPr>
                <w:rFonts w:ascii="宋体" w:eastAsia="宋体" w:hAnsi="宋体" w:cs="宋体"/>
                <w:b/>
                <w:i w:val="0"/>
                <w:color w:val="000000"/>
                <w:sz w:val="18"/>
              </w:rPr>
              <w:t xml:space="preserve">294.13</w:t>
            </w:r>
          </w:p>
        </w:tc>
        <w:tc>
          <w:tcPr>
            <w:tcW w:w="1772" w:type="dxa"/>
            <w:tcBorders/>
            <w:vAlign w:val="center"/>
          </w:tcPr>
          <w:p>
            <w:pPr>
              <w:jc w:val="right"/>
            </w:pPr>
            <w:r>
              <w:rPr>
                <w:rFonts w:ascii="宋体" w:eastAsia="宋体" w:hAnsi="宋体" w:cs="宋体"/>
                <w:b/>
                <w:i w:val="0"/>
                <w:color w:val="000000"/>
                <w:sz w:val="18"/>
              </w:rPr>
              <w:t xml:space="preserve">157.48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429.41</w:t>
            </w:r>
          </w:p>
        </w:tc>
        <w:tc>
          <w:tcPr>
            <w:tcW w:w="1780" w:type="dxa"/>
            <w:tcBorders/>
            <w:vAlign w:val="center"/>
          </w:tcPr>
          <w:p>
            <w:pPr>
              <w:jc w:val="right"/>
            </w:pPr>
            <w:r>
              <w:rPr>
                <w:rFonts w:ascii="宋体" w:eastAsia="宋体" w:hAnsi="宋体" w:cs="宋体"/>
                <w:b w:val="0"/>
                <w:i w:val="0"/>
                <w:color w:val="000000"/>
                <w:sz w:val="18"/>
              </w:rPr>
              <w:t xml:space="preserve">271.93</w:t>
            </w:r>
          </w:p>
        </w:tc>
        <w:tc>
          <w:tcPr>
            <w:tcW w:w="1772" w:type="dxa"/>
            <w:tcBorders/>
            <w:vAlign w:val="center"/>
          </w:tcPr>
          <w:p>
            <w:pPr>
              <w:jc w:val="right"/>
            </w:pPr>
            <w:r>
              <w:rPr>
                <w:rFonts w:ascii="宋体" w:eastAsia="宋体" w:hAnsi="宋体" w:cs="宋体"/>
                <w:b w:val="0"/>
                <w:i w:val="0"/>
                <w:color w:val="000000"/>
                <w:sz w:val="18"/>
              </w:rPr>
              <w:t xml:space="preserve">157.48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429.41</w:t>
            </w:r>
          </w:p>
        </w:tc>
        <w:tc>
          <w:tcPr>
            <w:tcW w:w="1780" w:type="dxa"/>
            <w:tcBorders/>
            <w:vAlign w:val="center"/>
          </w:tcPr>
          <w:p>
            <w:pPr>
              <w:jc w:val="right"/>
            </w:pPr>
            <w:r>
              <w:rPr>
                <w:rFonts w:ascii="宋体" w:eastAsia="宋体" w:hAnsi="宋体" w:cs="宋体"/>
                <w:b w:val="0"/>
                <w:i w:val="0"/>
                <w:color w:val="000000"/>
                <w:sz w:val="18"/>
              </w:rPr>
              <w:t xml:space="preserve">271.93</w:t>
            </w:r>
          </w:p>
        </w:tc>
        <w:tc>
          <w:tcPr>
            <w:tcW w:w="1772" w:type="dxa"/>
            <w:tcBorders/>
            <w:vAlign w:val="center"/>
          </w:tcPr>
          <w:p>
            <w:pPr>
              <w:jc w:val="right"/>
            </w:pPr>
            <w:r>
              <w:rPr>
                <w:rFonts w:ascii="宋体" w:eastAsia="宋体" w:hAnsi="宋体" w:cs="宋体"/>
                <w:b w:val="0"/>
                <w:i w:val="0"/>
                <w:color w:val="000000"/>
                <w:sz w:val="18"/>
              </w:rPr>
              <w:t xml:space="preserve">157.48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2050202</w:t>
            </w:r>
          </w:p>
        </w:tc>
        <w:tc>
          <w:tcPr>
            <w:tcW w:w="4300" w:type="dxa"/>
            <w:tcBorders/>
            <w:vAlign w:val="center"/>
          </w:tcPr>
          <w:p>
            <w:pPr>
              <w:jc w:val="left"/>
            </w:pPr>
            <w:r>
              <w:rPr>
                <w:rFonts w:ascii="宋体" w:eastAsia="宋体" w:hAnsi="宋体" w:cs="宋体"/>
                <w:b w:val="0"/>
                <w:i w:val="0"/>
                <w:color w:val="000000"/>
                <w:sz w:val="18"/>
              </w:rPr>
              <w:t xml:space="preserve">小学教育</w:t>
            </w:r>
          </w:p>
        </w:tc>
        <w:tc>
          <w:tcPr>
            <w:tcW w:w="1780" w:type="dxa"/>
            <w:tcBorders/>
            <w:vAlign w:val="center"/>
          </w:tcPr>
          <w:p>
            <w:pPr>
              <w:jc w:val="right"/>
            </w:pPr>
            <w:r>
              <w:rPr>
                <w:rFonts w:ascii="宋体" w:eastAsia="宋体" w:hAnsi="宋体" w:cs="宋体"/>
                <w:b w:val="0"/>
                <w:i w:val="0"/>
                <w:color w:val="000000"/>
                <w:sz w:val="18"/>
              </w:rPr>
              <w:t xml:space="preserve">429.41</w:t>
            </w:r>
          </w:p>
        </w:tc>
        <w:tc>
          <w:tcPr>
            <w:tcW w:w="1780" w:type="dxa"/>
            <w:tcBorders/>
            <w:vAlign w:val="center"/>
          </w:tcPr>
          <w:p>
            <w:pPr>
              <w:jc w:val="right"/>
            </w:pPr>
            <w:r>
              <w:rPr>
                <w:rFonts w:ascii="宋体" w:eastAsia="宋体" w:hAnsi="宋体" w:cs="宋体"/>
                <w:b w:val="0"/>
                <w:i w:val="0"/>
                <w:color w:val="000000"/>
                <w:sz w:val="18"/>
              </w:rPr>
              <w:t xml:space="preserve">271.93</w:t>
            </w:r>
          </w:p>
        </w:tc>
        <w:tc>
          <w:tcPr>
            <w:tcW w:w="1772" w:type="dxa"/>
            <w:tcBorders/>
            <w:vAlign w:val="center"/>
          </w:tcPr>
          <w:p>
            <w:pPr>
              <w:jc w:val="right"/>
            </w:pPr>
            <w:r>
              <w:rPr>
                <w:rFonts w:ascii="宋体" w:eastAsia="宋体" w:hAnsi="宋体" w:cs="宋体"/>
                <w:b w:val="0"/>
                <w:i w:val="0"/>
                <w:color w:val="000000"/>
                <w:sz w:val="18"/>
              </w:rPr>
              <w:t xml:space="preserve">157.48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22.21</w:t>
            </w:r>
          </w:p>
        </w:tc>
        <w:tc>
          <w:tcPr>
            <w:tcW w:w="1780" w:type="dxa"/>
            <w:tcBorders/>
            <w:vAlign w:val="center"/>
          </w:tcPr>
          <w:p>
            <w:pPr>
              <w:jc w:val="right"/>
            </w:pPr>
            <w:r>
              <w:rPr>
                <w:rFonts w:ascii="宋体" w:eastAsia="宋体" w:hAnsi="宋体" w:cs="宋体"/>
                <w:b w:val="0"/>
                <w:i w:val="0"/>
                <w:color w:val="000000"/>
                <w:sz w:val="18"/>
              </w:rPr>
              <w:t xml:space="preserve">22.21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22.21</w:t>
            </w:r>
          </w:p>
        </w:tc>
        <w:tc>
          <w:tcPr>
            <w:tcW w:w="1780" w:type="dxa"/>
            <w:tcBorders/>
            <w:vAlign w:val="center"/>
          </w:tcPr>
          <w:p>
            <w:pPr>
              <w:jc w:val="right"/>
            </w:pPr>
            <w:r>
              <w:rPr>
                <w:rFonts w:ascii="宋体" w:eastAsia="宋体" w:hAnsi="宋体" w:cs="宋体"/>
                <w:b w:val="0"/>
                <w:i w:val="0"/>
                <w:color w:val="000000"/>
                <w:sz w:val="18"/>
              </w:rPr>
              <w:t xml:space="preserve">22.21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6.66</w:t>
            </w:r>
          </w:p>
        </w:tc>
        <w:tc>
          <w:tcPr>
            <w:tcW w:w="1780" w:type="dxa"/>
            <w:tcBorders/>
            <w:vAlign w:val="center"/>
          </w:tcPr>
          <w:p>
            <w:pPr>
              <w:jc w:val="right"/>
            </w:pPr>
            <w:r>
              <w:rPr>
                <w:rFonts w:ascii="宋体" w:eastAsia="宋体" w:hAnsi="宋体" w:cs="宋体"/>
                <w:b w:val="0"/>
                <w:i w:val="0"/>
                <w:color w:val="000000"/>
                <w:sz w:val="18"/>
              </w:rPr>
              <w:t xml:space="preserve">6.66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15.55</w:t>
            </w:r>
          </w:p>
        </w:tc>
        <w:tc>
          <w:tcPr>
            <w:tcW w:w="1780" w:type="dxa"/>
            <w:tcBorders/>
            <w:vAlign w:val="center"/>
          </w:tcPr>
          <w:p>
            <w:pPr>
              <w:jc w:val="right"/>
            </w:pPr>
            <w:r>
              <w:rPr>
                <w:rFonts w:ascii="宋体" w:eastAsia="宋体" w:hAnsi="宋体" w:cs="宋体"/>
                <w:b w:val="0"/>
                <w:i w:val="0"/>
                <w:color w:val="000000"/>
                <w:sz w:val="18"/>
              </w:rPr>
              <w:t xml:space="preserve">15.55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单位：辽宁省沈阳市浑南区望滨小学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262.22</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1.69</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106.83</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0.05</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28.80</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10.51</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2.29</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51.65</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31.82</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15.55</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14.08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0.70</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0.00</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30.23</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6.66</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19.80</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3.77</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1.63</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292.45</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1.69</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单位：辽宁省沈阳市浑南区望滨小学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单位：辽宁省沈阳市浑南区望滨小学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单位：辽宁省沈阳市浑南区望滨小学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沈阳市浑南区望滨小学-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已按照指标下达数足额完成此项目支出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沈阳市浑南区望滨小学-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22.82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22.82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已按照指标下达数足额完成此项目支出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民办退休教师养老补贴-2024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沈阳市浑南区望滨小学-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东陵区人民法院民事判决书【2010】东陵民-初字第111号；《关于调整60年代精简退职职工生活待遇标准意见的通知》（辽政办发【2012】65号）白塔小学4.29万元，浑河站小学3.6万元，望滨小学3.8万，高坎小学4.26万元，15.95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已按照指标下达数足额完成此项目支出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沈阳市浑南区望滨小学-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2020年第57次《区长办公会议纪要》中共浑南区委_浑南区人民政府关于印发《浑南区关于新时代教师队伍建设改革的实施意见（试行）》的通知，中共沈阳市浑南区信访工作联席会议会议纪要，"信访维稳经费1、李慧颖补助费2451.79*12=29421.48元。2、徐淑珍取暖费2210元。3、维稳经费118368.52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已按照指标下达数足额完成此项目支出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023032沈阳市浑南区望滨小学-210112000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314.72</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314.72</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36.78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36.78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255.66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255.66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保证预算执行顺利完成，保障学校可持续发展。</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已按照指标下达数足额完成全部支出，保障学校平稳运行</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提高教师队伍普通话水平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社会公众对教育事业发展满意度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实施专业结构优化调整</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顺利完成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完善巡视巡察上下联动工作格局</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顺利完成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创新驱动发展</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人才队伍建设</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顺利完成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