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辽宁省沈阳市浑南区阳光学校</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辽宁省沈阳市浑南区阳光学校</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辽宁省沈阳市浑南区阳光学校</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辽宁省沈阳市浑南区阳光学校</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辽宁省沈阳市浑南区阳光学校</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辽宁省沈阳市浑南区阳光学校概况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（一）我校的宗旨和业务范围是实施智障儿童、少年义务教育，康复训练与治疗相结合。</w:t>
        <w:br/>
        <w:t xml:space="preserve">    （二）为更好的顺利完成教育教学任务，制定完善各项规章制度。</w:t>
        <w:br/>
        <w:t xml:space="preserve">    （三）为了充分利用好各项经费，发挥最大作用，保障教育教学工作顺利完成，做好收支管理的工作；编制年度预算并按预算下达认真贯彻执行；积极配合国库收付中心开展工作。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辽宁省沈阳市浑南区阳光学校</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本单位是纳入浑南区教育局的二级预算单位，本单位无下设机构。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372.61</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365.14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98.00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365.14</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7.46</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主要是学校前些年结转的专项资金等。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减少114.36万元，降低23.48%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学校工程改造项目减少，导致上级财政拨款减少</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365.14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213.66</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58.51</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工资福利支出207.22万元；商品和服务支出5.45万元；对个人和家庭的补助0.99万元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151.48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41.49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主要包括学校按合同支付保洁、校车、伙食补助等业务支出。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减少114.36万元，降低23.85%</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学校工程改造项目减少，造成支出减少</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7.46</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主要是学校多年前结余的专项资金等原因形成的结余。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此项结余资金一直未支付</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365.14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213.66</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151.48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减少107.47万元，降低22.74%</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学校工程改造项目减少，导致上级财政拨款支出减少</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134.48</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78.69</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2024年度一般公共预算财政拨款支出365.14万元。按支出功能分类科目分，包括：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1.教育支出356.30万元，具体包括：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特殊教育（款）特殊学校教育（项）339.66万元,主要是人员工资，学校办公经费等支出，完成年初预算的126%，决算数与年初预算数存在差异的主要原因是支付污水处理运维费等导致上级财政拨款增加。</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（2）教育支出（类）教育费附加安排的支出（款）其他教育费附加安排的支出（项）16.64万元,主要是办公取暖费等支出，完成年初预算的100%，决算数与年初预算数存在差异的主要原因是完全按照预算执行。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2.社会保障和就业支出8.84万元，具体包括：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（1）社会保障和就业支出（类）行政事业单位养老支出（款）事业单位离退休（项）0.99万元,主要是退休教师取暖费等支出，完成年初预算的100%，决算数与年初预算数存在差异的主要原因是完全按照预算执行。</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7.85万元,主要是退休教师单位部分职业年金坐实等支出，完成年初预算的100%，决算数与年初预算数存在差异的主要原因是有一人退休，补缴了单位部分职业年金。</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均无出国任务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均无出国任务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均无公务接待事项</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均无公务接待事项</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均无公务用车</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均无公务用车</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213.66</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208.21</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5.45</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具体而言，本年度我部门共组织对5个项目实施了绩效评价。从预算资金来源看，涉及一般公共预算的项目5个，涉及政府性基金预算的项目0个，涉及国有资本经营预算的项目0个。</w:t>
        <w:br/>
        <w:t xml:space="preserve">    上述评价工作共涉及财政资金84.53万元。其中，一般公共预算资金84.53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5个；得分在80分（含）至90分、等级为“良”的项目有0个；得分在60分（含）至80分、等级为“中”的项目有0个；得分在60分以下、等级为“差”的项目有0个。各项目自评发现，部分项目存在可写预算执行进度偏慢问题，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在全面自评的基础上，本部门选取了2个资金量大、社会关注度高、具有代表性的重点项目实施了部门重点评价。评价工作通过组建评价小组方式进行，确保了评价结果的客观性和公正性。</w:t>
        <w:br/>
        <w:t xml:space="preserve">    我部门组织对2个项目重点评价，结果显示，被评价项目整体绩效情况良好。其中：第一个重点项目为教师绩效，涉及资金20.52万元，评价平均分为100分，评级情况为优；第二个重点项目为特殊教育学生和教师生活补助，涉及资金20.29万元，评价平均分为100分，评级情况为优。同时，评价也发现教师绩效项目存在资金使用效益有待进一步提升等问题。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br/>
        <w:t xml:space="preserve">    17.教育支出（类）特殊教育（款）特殊学校教育（项）：反映各部门举办盲童学校、聋哑学校、智力落后儿童学校、其他生理缺陷儿童学校的支出。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365.14</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356.30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8.84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365.14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365.14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7.46</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7.46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372.61</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372.61</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365.14</w:t>
            </w:r>
          </w:p>
        </w:tc>
        <w:tc>
          <w:tcPr>
            <w:tcW w:w="960" w:type="dxa"/>
            <w:tcBorders/>
            <w:vAlign w:val="center"/>
          </w:tcPr>
          <w:p>
            <w:pPr>
              <w:jc w:val="right"/>
            </w:pPr>
            <w:r>
              <w:rPr>
                <w:rFonts w:ascii="宋体" w:eastAsia="宋体" w:hAnsi="宋体" w:cs="宋体"/>
                <w:b/>
                <w:i w:val="0"/>
                <w:color w:val="000000"/>
                <w:sz w:val="13"/>
              </w:rPr>
              <w:t xml:space="preserve">365.14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356.30</w:t>
            </w:r>
          </w:p>
        </w:tc>
        <w:tc>
          <w:tcPr>
            <w:tcW w:w="960" w:type="dxa"/>
            <w:tcBorders/>
            <w:vAlign w:val="center"/>
          </w:tcPr>
          <w:p>
            <w:pPr>
              <w:jc w:val="right"/>
            </w:pPr>
            <w:r>
              <w:rPr>
                <w:rFonts w:ascii="宋体" w:eastAsia="宋体" w:hAnsi="宋体" w:cs="宋体"/>
                <w:b w:val="0"/>
                <w:i w:val="0"/>
                <w:color w:val="000000"/>
                <w:sz w:val="13"/>
              </w:rPr>
              <w:t xml:space="preserve">356.30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20507</w:t>
            </w:r>
          </w:p>
        </w:tc>
        <w:tc>
          <w:tcPr>
            <w:tcW w:w="3200" w:type="dxa"/>
            <w:tcBorders/>
            <w:vAlign w:val="center"/>
          </w:tcPr>
          <w:p>
            <w:pPr>
              <w:jc w:val="left"/>
            </w:pPr>
            <w:r>
              <w:rPr>
                <w:rFonts w:ascii="宋体" w:eastAsia="宋体" w:hAnsi="宋体" w:cs="宋体"/>
                <w:b w:val="0"/>
                <w:i w:val="0"/>
                <w:color w:val="000000"/>
                <w:sz w:val="13"/>
              </w:rPr>
              <w:t xml:space="preserve">特殊教育</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2050701</w:t>
            </w:r>
          </w:p>
        </w:tc>
        <w:tc>
          <w:tcPr>
            <w:tcW w:w="3200" w:type="dxa"/>
            <w:tcBorders/>
            <w:vAlign w:val="center"/>
          </w:tcPr>
          <w:p>
            <w:pPr>
              <w:jc w:val="left"/>
            </w:pPr>
            <w:r>
              <w:rPr>
                <w:rFonts w:ascii="宋体" w:eastAsia="宋体" w:hAnsi="宋体" w:cs="宋体"/>
                <w:b w:val="0"/>
                <w:i w:val="0"/>
                <w:color w:val="000000"/>
                <w:sz w:val="13"/>
              </w:rPr>
              <w:t xml:space="preserve">特殊学校教育</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jc w:val="right"/>
            </w:pPr>
            <w:r>
              <w:rPr>
                <w:rFonts w:ascii="宋体" w:eastAsia="宋体" w:hAnsi="宋体" w:cs="宋体"/>
                <w:b w:val="0"/>
                <w:i w:val="0"/>
                <w:color w:val="000000"/>
                <w:sz w:val="13"/>
              </w:rPr>
              <w:t xml:space="preserve">339.66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16.64</w:t>
            </w:r>
          </w:p>
        </w:tc>
        <w:tc>
          <w:tcPr>
            <w:tcW w:w="960" w:type="dxa"/>
            <w:tcBorders/>
            <w:vAlign w:val="center"/>
          </w:tcPr>
          <w:p>
            <w:pPr>
              <w:jc w:val="right"/>
            </w:pPr>
            <w:r>
              <w:rPr>
                <w:rFonts w:ascii="宋体" w:eastAsia="宋体" w:hAnsi="宋体" w:cs="宋体"/>
                <w:b w:val="0"/>
                <w:i w:val="0"/>
                <w:color w:val="000000"/>
                <w:sz w:val="13"/>
              </w:rPr>
              <w:t xml:space="preserve">16.64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16.64</w:t>
            </w:r>
          </w:p>
        </w:tc>
        <w:tc>
          <w:tcPr>
            <w:tcW w:w="960" w:type="dxa"/>
            <w:tcBorders/>
            <w:vAlign w:val="center"/>
          </w:tcPr>
          <w:p>
            <w:pPr>
              <w:jc w:val="right"/>
            </w:pPr>
            <w:r>
              <w:rPr>
                <w:rFonts w:ascii="宋体" w:eastAsia="宋体" w:hAnsi="宋体" w:cs="宋体"/>
                <w:b w:val="0"/>
                <w:i w:val="0"/>
                <w:color w:val="000000"/>
                <w:sz w:val="13"/>
              </w:rPr>
              <w:t xml:space="preserve">16.64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8.84</w:t>
            </w:r>
          </w:p>
        </w:tc>
        <w:tc>
          <w:tcPr>
            <w:tcW w:w="960" w:type="dxa"/>
            <w:tcBorders/>
            <w:vAlign w:val="center"/>
          </w:tcPr>
          <w:p>
            <w:pPr>
              <w:jc w:val="right"/>
            </w:pPr>
            <w:r>
              <w:rPr>
                <w:rFonts w:ascii="宋体" w:eastAsia="宋体" w:hAnsi="宋体" w:cs="宋体"/>
                <w:b w:val="0"/>
                <w:i w:val="0"/>
                <w:color w:val="000000"/>
                <w:sz w:val="13"/>
              </w:rPr>
              <w:t xml:space="preserve">8.84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8.84</w:t>
            </w:r>
          </w:p>
        </w:tc>
        <w:tc>
          <w:tcPr>
            <w:tcW w:w="960" w:type="dxa"/>
            <w:tcBorders/>
            <w:vAlign w:val="center"/>
          </w:tcPr>
          <w:p>
            <w:pPr>
              <w:jc w:val="right"/>
            </w:pPr>
            <w:r>
              <w:rPr>
                <w:rFonts w:ascii="宋体" w:eastAsia="宋体" w:hAnsi="宋体" w:cs="宋体"/>
                <w:b w:val="0"/>
                <w:i w:val="0"/>
                <w:color w:val="000000"/>
                <w:sz w:val="13"/>
              </w:rPr>
              <w:t xml:space="preserve">8.84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0.99</w:t>
            </w:r>
          </w:p>
        </w:tc>
        <w:tc>
          <w:tcPr>
            <w:tcW w:w="960" w:type="dxa"/>
            <w:tcBorders/>
            <w:vAlign w:val="center"/>
          </w:tcPr>
          <w:p>
            <w:pPr>
              <w:jc w:val="right"/>
            </w:pPr>
            <w:r>
              <w:rPr>
                <w:rFonts w:ascii="宋体" w:eastAsia="宋体" w:hAnsi="宋体" w:cs="宋体"/>
                <w:b w:val="0"/>
                <w:i w:val="0"/>
                <w:color w:val="000000"/>
                <w:sz w:val="13"/>
              </w:rPr>
              <w:t xml:space="preserve">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7.85</w:t>
            </w:r>
          </w:p>
        </w:tc>
        <w:tc>
          <w:tcPr>
            <w:tcW w:w="960" w:type="dxa"/>
            <w:tcBorders/>
            <w:vAlign w:val="center"/>
          </w:tcPr>
          <w:p>
            <w:pPr>
              <w:jc w:val="right"/>
            </w:pPr>
            <w:r>
              <w:rPr>
                <w:rFonts w:ascii="宋体" w:eastAsia="宋体" w:hAnsi="宋体" w:cs="宋体"/>
                <w:b w:val="0"/>
                <w:i w:val="0"/>
                <w:color w:val="000000"/>
                <w:sz w:val="13"/>
              </w:rPr>
              <w:t xml:space="preserve">7.85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365.14</w:t>
            </w:r>
          </w:p>
        </w:tc>
        <w:tc>
          <w:tcPr>
            <w:tcW w:w="1060" w:type="dxa"/>
            <w:tcBorders/>
            <w:vAlign w:val="center"/>
          </w:tcPr>
          <w:p>
            <w:pPr>
              <w:jc w:val="right"/>
            </w:pPr>
            <w:r>
              <w:rPr>
                <w:rFonts w:ascii="宋体" w:eastAsia="宋体" w:hAnsi="宋体" w:cs="宋体"/>
                <w:b/>
                <w:i w:val="0"/>
                <w:color w:val="000000"/>
                <w:sz w:val="14"/>
              </w:rPr>
              <w:t xml:space="preserve">213.66</w:t>
            </w:r>
          </w:p>
        </w:tc>
        <w:tc>
          <w:tcPr>
            <w:tcW w:w="1060" w:type="dxa"/>
            <w:tcBorders/>
            <w:vAlign w:val="center"/>
          </w:tcPr>
          <w:p>
            <w:pPr>
              <w:jc w:val="right"/>
            </w:pPr>
            <w:r>
              <w:rPr>
                <w:rFonts w:ascii="宋体" w:eastAsia="宋体" w:hAnsi="宋体" w:cs="宋体"/>
                <w:b/>
                <w:i w:val="0"/>
                <w:color w:val="000000"/>
                <w:sz w:val="14"/>
              </w:rPr>
              <w:t xml:space="preserve">151.48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356.30</w:t>
            </w:r>
          </w:p>
        </w:tc>
        <w:tc>
          <w:tcPr>
            <w:tcW w:w="1060" w:type="dxa"/>
            <w:tcBorders/>
            <w:vAlign w:val="center"/>
          </w:tcPr>
          <w:p>
            <w:pPr>
              <w:jc w:val="right"/>
            </w:pPr>
            <w:r>
              <w:rPr>
                <w:rFonts w:ascii="宋体" w:eastAsia="宋体" w:hAnsi="宋体" w:cs="宋体"/>
                <w:b w:val="0"/>
                <w:i w:val="0"/>
                <w:color w:val="000000"/>
                <w:sz w:val="14"/>
              </w:rPr>
              <w:t xml:space="preserve">204.82</w:t>
            </w:r>
          </w:p>
        </w:tc>
        <w:tc>
          <w:tcPr>
            <w:tcW w:w="1060" w:type="dxa"/>
            <w:tcBorders/>
            <w:vAlign w:val="center"/>
          </w:tcPr>
          <w:p>
            <w:pPr>
              <w:jc w:val="right"/>
            </w:pPr>
            <w:r>
              <w:rPr>
                <w:rFonts w:ascii="宋体" w:eastAsia="宋体" w:hAnsi="宋体" w:cs="宋体"/>
                <w:b w:val="0"/>
                <w:i w:val="0"/>
                <w:color w:val="000000"/>
                <w:sz w:val="14"/>
              </w:rPr>
              <w:t xml:space="preserve">151.48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20507</w:t>
            </w:r>
          </w:p>
        </w:tc>
        <w:tc>
          <w:tcPr>
            <w:tcW w:w="3440" w:type="dxa"/>
            <w:tcBorders/>
            <w:vAlign w:val="center"/>
          </w:tcPr>
          <w:p>
            <w:pPr>
              <w:jc w:val="left"/>
            </w:pPr>
            <w:r>
              <w:rPr>
                <w:rFonts w:ascii="宋体" w:eastAsia="宋体" w:hAnsi="宋体" w:cs="宋体"/>
                <w:b w:val="0"/>
                <w:i w:val="0"/>
                <w:color w:val="000000"/>
                <w:sz w:val="14"/>
              </w:rPr>
              <w:t xml:space="preserve">特殊教育</w:t>
            </w:r>
          </w:p>
        </w:tc>
        <w:tc>
          <w:tcPr>
            <w:tcW w:w="1060" w:type="dxa"/>
            <w:tcBorders/>
            <w:vAlign w:val="center"/>
          </w:tcPr>
          <w:p>
            <w:pPr>
              <w:jc w:val="right"/>
            </w:pPr>
            <w:r>
              <w:rPr>
                <w:rFonts w:ascii="宋体" w:eastAsia="宋体" w:hAnsi="宋体" w:cs="宋体"/>
                <w:b w:val="0"/>
                <w:i w:val="0"/>
                <w:color w:val="000000"/>
                <w:sz w:val="14"/>
              </w:rPr>
              <w:t xml:space="preserve">339.66</w:t>
            </w:r>
          </w:p>
        </w:tc>
        <w:tc>
          <w:tcPr>
            <w:tcW w:w="1060" w:type="dxa"/>
            <w:tcBorders/>
            <w:vAlign w:val="center"/>
          </w:tcPr>
          <w:p>
            <w:pPr>
              <w:jc w:val="right"/>
            </w:pPr>
            <w:r>
              <w:rPr>
                <w:rFonts w:ascii="宋体" w:eastAsia="宋体" w:hAnsi="宋体" w:cs="宋体"/>
                <w:b w:val="0"/>
                <w:i w:val="0"/>
                <w:color w:val="000000"/>
                <w:sz w:val="14"/>
              </w:rPr>
              <w:t xml:space="preserve">204.82</w:t>
            </w:r>
          </w:p>
        </w:tc>
        <w:tc>
          <w:tcPr>
            <w:tcW w:w="1060" w:type="dxa"/>
            <w:tcBorders/>
            <w:vAlign w:val="center"/>
          </w:tcPr>
          <w:p>
            <w:pPr>
              <w:jc w:val="right"/>
            </w:pPr>
            <w:r>
              <w:rPr>
                <w:rFonts w:ascii="宋体" w:eastAsia="宋体" w:hAnsi="宋体" w:cs="宋体"/>
                <w:b w:val="0"/>
                <w:i w:val="0"/>
                <w:color w:val="000000"/>
                <w:sz w:val="14"/>
              </w:rPr>
              <w:t xml:space="preserve">134.84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2050701</w:t>
            </w:r>
          </w:p>
        </w:tc>
        <w:tc>
          <w:tcPr>
            <w:tcW w:w="3440" w:type="dxa"/>
            <w:tcBorders/>
            <w:vAlign w:val="center"/>
          </w:tcPr>
          <w:p>
            <w:pPr>
              <w:jc w:val="left"/>
            </w:pPr>
            <w:r>
              <w:rPr>
                <w:rFonts w:ascii="宋体" w:eastAsia="宋体" w:hAnsi="宋体" w:cs="宋体"/>
                <w:b w:val="0"/>
                <w:i w:val="0"/>
                <w:color w:val="000000"/>
                <w:sz w:val="14"/>
              </w:rPr>
              <w:t xml:space="preserve">特殊学校教育</w:t>
            </w:r>
          </w:p>
        </w:tc>
        <w:tc>
          <w:tcPr>
            <w:tcW w:w="1060" w:type="dxa"/>
            <w:tcBorders/>
            <w:vAlign w:val="center"/>
          </w:tcPr>
          <w:p>
            <w:pPr>
              <w:jc w:val="right"/>
            </w:pPr>
            <w:r>
              <w:rPr>
                <w:rFonts w:ascii="宋体" w:eastAsia="宋体" w:hAnsi="宋体" w:cs="宋体"/>
                <w:b w:val="0"/>
                <w:i w:val="0"/>
                <w:color w:val="000000"/>
                <w:sz w:val="14"/>
              </w:rPr>
              <w:t xml:space="preserve">339.66</w:t>
            </w:r>
          </w:p>
        </w:tc>
        <w:tc>
          <w:tcPr>
            <w:tcW w:w="1060" w:type="dxa"/>
            <w:tcBorders/>
            <w:vAlign w:val="center"/>
          </w:tcPr>
          <w:p>
            <w:pPr>
              <w:jc w:val="right"/>
            </w:pPr>
            <w:r>
              <w:rPr>
                <w:rFonts w:ascii="宋体" w:eastAsia="宋体" w:hAnsi="宋体" w:cs="宋体"/>
                <w:b w:val="0"/>
                <w:i w:val="0"/>
                <w:color w:val="000000"/>
                <w:sz w:val="14"/>
              </w:rPr>
              <w:t xml:space="preserve">204.82</w:t>
            </w:r>
          </w:p>
        </w:tc>
        <w:tc>
          <w:tcPr>
            <w:tcW w:w="1060" w:type="dxa"/>
            <w:tcBorders/>
            <w:vAlign w:val="center"/>
          </w:tcPr>
          <w:p>
            <w:pPr>
              <w:jc w:val="right"/>
            </w:pPr>
            <w:r>
              <w:rPr>
                <w:rFonts w:ascii="宋体" w:eastAsia="宋体" w:hAnsi="宋体" w:cs="宋体"/>
                <w:b w:val="0"/>
                <w:i w:val="0"/>
                <w:color w:val="000000"/>
                <w:sz w:val="14"/>
              </w:rPr>
              <w:t xml:space="preserve">134.84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16.64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16.64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16.64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8.84</w:t>
            </w:r>
          </w:p>
        </w:tc>
        <w:tc>
          <w:tcPr>
            <w:tcW w:w="1060" w:type="dxa"/>
            <w:tcBorders/>
            <w:vAlign w:val="center"/>
          </w:tcPr>
          <w:p>
            <w:pPr>
              <w:jc w:val="right"/>
            </w:pPr>
            <w:r>
              <w:rPr>
                <w:rFonts w:ascii="宋体" w:eastAsia="宋体" w:hAnsi="宋体" w:cs="宋体"/>
                <w:b w:val="0"/>
                <w:i w:val="0"/>
                <w:color w:val="000000"/>
                <w:sz w:val="14"/>
              </w:rPr>
              <w:t xml:space="preserve">8.84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8.84</w:t>
            </w:r>
          </w:p>
        </w:tc>
        <w:tc>
          <w:tcPr>
            <w:tcW w:w="1060" w:type="dxa"/>
            <w:tcBorders/>
            <w:vAlign w:val="center"/>
          </w:tcPr>
          <w:p>
            <w:pPr>
              <w:jc w:val="right"/>
            </w:pPr>
            <w:r>
              <w:rPr>
                <w:rFonts w:ascii="宋体" w:eastAsia="宋体" w:hAnsi="宋体" w:cs="宋体"/>
                <w:b w:val="0"/>
                <w:i w:val="0"/>
                <w:color w:val="000000"/>
                <w:sz w:val="14"/>
              </w:rPr>
              <w:t xml:space="preserve">8.84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0.99</w:t>
            </w:r>
          </w:p>
        </w:tc>
        <w:tc>
          <w:tcPr>
            <w:tcW w:w="1060" w:type="dxa"/>
            <w:tcBorders/>
            <w:vAlign w:val="center"/>
          </w:tcPr>
          <w:p>
            <w:pPr>
              <w:jc w:val="right"/>
            </w:pPr>
            <w:r>
              <w:rPr>
                <w:rFonts w:ascii="宋体" w:eastAsia="宋体" w:hAnsi="宋体" w:cs="宋体"/>
                <w:b w:val="0"/>
                <w:i w:val="0"/>
                <w:color w:val="000000"/>
                <w:sz w:val="14"/>
              </w:rPr>
              <w:t xml:space="preserve">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7.85</w:t>
            </w:r>
          </w:p>
        </w:tc>
        <w:tc>
          <w:tcPr>
            <w:tcW w:w="1060" w:type="dxa"/>
            <w:tcBorders/>
            <w:vAlign w:val="center"/>
          </w:tcPr>
          <w:p>
            <w:pPr>
              <w:jc w:val="right"/>
            </w:pPr>
            <w:r>
              <w:rPr>
                <w:rFonts w:ascii="宋体" w:eastAsia="宋体" w:hAnsi="宋体" w:cs="宋体"/>
                <w:b w:val="0"/>
                <w:i w:val="0"/>
                <w:color w:val="000000"/>
                <w:sz w:val="14"/>
              </w:rPr>
              <w:t xml:space="preserve">7.85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356.30</w:t>
            </w:r>
          </w:p>
        </w:tc>
        <w:tc>
          <w:tcPr>
            <w:tcW w:w="1100" w:type="dxa"/>
            <w:tcBorders/>
            <w:vAlign w:val="center"/>
          </w:tcPr>
          <w:p>
            <w:pPr>
              <w:jc w:val="right"/>
            </w:pPr>
            <w:r>
              <w:rPr>
                <w:rFonts w:ascii="宋体" w:eastAsia="宋体" w:hAnsi="宋体" w:cs="宋体"/>
                <w:b w:val="0"/>
                <w:i w:val="0"/>
                <w:color w:val="000000"/>
                <w:sz w:val="14"/>
              </w:rPr>
              <w:t xml:space="preserve">356.30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8.84</w:t>
            </w:r>
          </w:p>
        </w:tc>
        <w:tc>
          <w:tcPr>
            <w:tcW w:w="1100" w:type="dxa"/>
            <w:tcBorders/>
            <w:vAlign w:val="center"/>
          </w:tcPr>
          <w:p>
            <w:pPr>
              <w:jc w:val="right"/>
            </w:pPr>
            <w:r>
              <w:rPr>
                <w:rFonts w:ascii="宋体" w:eastAsia="宋体" w:hAnsi="宋体" w:cs="宋体"/>
                <w:b w:val="0"/>
                <w:i w:val="0"/>
                <w:color w:val="000000"/>
                <w:sz w:val="14"/>
              </w:rPr>
              <w:t xml:space="preserve">8.84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1100" w:type="dxa"/>
            <w:tcBorders/>
            <w:vAlign w:val="center"/>
          </w:tcPr>
          <w:p>
            <w:pPr>
              <w:jc w:val="right"/>
            </w:pPr>
            <w:r>
              <w:rPr>
                <w:rFonts w:ascii="宋体" w:eastAsia="宋体" w:hAnsi="宋体" w:cs="宋体"/>
                <w:b w:val="0"/>
                <w:i w:val="0"/>
                <w:color w:val="000000"/>
                <w:sz w:val="14"/>
              </w:rPr>
              <w:t xml:space="preserve">365.14</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365.14</w:t>
            </w:r>
          </w:p>
        </w:tc>
        <w:tc>
          <w:tcPr>
            <w:tcW w:w="1780" w:type="dxa"/>
            <w:tcBorders/>
            <w:vAlign w:val="center"/>
          </w:tcPr>
          <w:p>
            <w:pPr>
              <w:jc w:val="right"/>
            </w:pPr>
            <w:r>
              <w:rPr>
                <w:rFonts w:ascii="宋体" w:eastAsia="宋体" w:hAnsi="宋体" w:cs="宋体"/>
                <w:b/>
                <w:i w:val="0"/>
                <w:color w:val="000000"/>
                <w:sz w:val="18"/>
              </w:rPr>
              <w:t xml:space="preserve">213.66</w:t>
            </w:r>
          </w:p>
        </w:tc>
        <w:tc>
          <w:tcPr>
            <w:tcW w:w="1772" w:type="dxa"/>
            <w:tcBorders/>
            <w:vAlign w:val="center"/>
          </w:tcPr>
          <w:p>
            <w:pPr>
              <w:jc w:val="right"/>
            </w:pPr>
            <w:r>
              <w:rPr>
                <w:rFonts w:ascii="宋体" w:eastAsia="宋体" w:hAnsi="宋体" w:cs="宋体"/>
                <w:b/>
                <w:i w:val="0"/>
                <w:color w:val="000000"/>
                <w:sz w:val="18"/>
              </w:rPr>
              <w:t xml:space="preserve">151.48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356.30</w:t>
            </w:r>
          </w:p>
        </w:tc>
        <w:tc>
          <w:tcPr>
            <w:tcW w:w="1780" w:type="dxa"/>
            <w:tcBorders/>
            <w:vAlign w:val="center"/>
          </w:tcPr>
          <w:p>
            <w:pPr>
              <w:jc w:val="right"/>
            </w:pPr>
            <w:r>
              <w:rPr>
                <w:rFonts w:ascii="宋体" w:eastAsia="宋体" w:hAnsi="宋体" w:cs="宋体"/>
                <w:b w:val="0"/>
                <w:i w:val="0"/>
                <w:color w:val="000000"/>
                <w:sz w:val="18"/>
              </w:rPr>
              <w:t xml:space="preserve">204.82</w:t>
            </w:r>
          </w:p>
        </w:tc>
        <w:tc>
          <w:tcPr>
            <w:tcW w:w="1772" w:type="dxa"/>
            <w:tcBorders/>
            <w:vAlign w:val="center"/>
          </w:tcPr>
          <w:p>
            <w:pPr>
              <w:jc w:val="right"/>
            </w:pPr>
            <w:r>
              <w:rPr>
                <w:rFonts w:ascii="宋体" w:eastAsia="宋体" w:hAnsi="宋体" w:cs="宋体"/>
                <w:b w:val="0"/>
                <w:i w:val="0"/>
                <w:color w:val="000000"/>
                <w:sz w:val="18"/>
              </w:rPr>
              <w:t xml:space="preserve">151.48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20507</w:t>
            </w:r>
          </w:p>
        </w:tc>
        <w:tc>
          <w:tcPr>
            <w:tcW w:w="4300" w:type="dxa"/>
            <w:tcBorders/>
            <w:vAlign w:val="center"/>
          </w:tcPr>
          <w:p>
            <w:pPr>
              <w:jc w:val="left"/>
            </w:pPr>
            <w:r>
              <w:rPr>
                <w:rFonts w:ascii="宋体" w:eastAsia="宋体" w:hAnsi="宋体" w:cs="宋体"/>
                <w:b w:val="0"/>
                <w:i w:val="0"/>
                <w:color w:val="000000"/>
                <w:sz w:val="18"/>
              </w:rPr>
              <w:t xml:space="preserve">特殊教育</w:t>
            </w:r>
          </w:p>
        </w:tc>
        <w:tc>
          <w:tcPr>
            <w:tcW w:w="1780" w:type="dxa"/>
            <w:tcBorders/>
            <w:vAlign w:val="center"/>
          </w:tcPr>
          <w:p>
            <w:pPr>
              <w:jc w:val="right"/>
            </w:pPr>
            <w:r>
              <w:rPr>
                <w:rFonts w:ascii="宋体" w:eastAsia="宋体" w:hAnsi="宋体" w:cs="宋体"/>
                <w:b w:val="0"/>
                <w:i w:val="0"/>
                <w:color w:val="000000"/>
                <w:sz w:val="18"/>
              </w:rPr>
              <w:t xml:space="preserve">339.66</w:t>
            </w:r>
          </w:p>
        </w:tc>
        <w:tc>
          <w:tcPr>
            <w:tcW w:w="1780" w:type="dxa"/>
            <w:tcBorders/>
            <w:vAlign w:val="center"/>
          </w:tcPr>
          <w:p>
            <w:pPr>
              <w:jc w:val="right"/>
            </w:pPr>
            <w:r>
              <w:rPr>
                <w:rFonts w:ascii="宋体" w:eastAsia="宋体" w:hAnsi="宋体" w:cs="宋体"/>
                <w:b w:val="0"/>
                <w:i w:val="0"/>
                <w:color w:val="000000"/>
                <w:sz w:val="18"/>
              </w:rPr>
              <w:t xml:space="preserve">204.82</w:t>
            </w:r>
          </w:p>
        </w:tc>
        <w:tc>
          <w:tcPr>
            <w:tcW w:w="1772" w:type="dxa"/>
            <w:tcBorders/>
            <w:vAlign w:val="center"/>
          </w:tcPr>
          <w:p>
            <w:pPr>
              <w:jc w:val="right"/>
            </w:pPr>
            <w:r>
              <w:rPr>
                <w:rFonts w:ascii="宋体" w:eastAsia="宋体" w:hAnsi="宋体" w:cs="宋体"/>
                <w:b w:val="0"/>
                <w:i w:val="0"/>
                <w:color w:val="000000"/>
                <w:sz w:val="18"/>
              </w:rPr>
              <w:t xml:space="preserve">134.84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2050701</w:t>
            </w:r>
          </w:p>
        </w:tc>
        <w:tc>
          <w:tcPr>
            <w:tcW w:w="4300" w:type="dxa"/>
            <w:tcBorders/>
            <w:vAlign w:val="center"/>
          </w:tcPr>
          <w:p>
            <w:pPr>
              <w:jc w:val="left"/>
            </w:pPr>
            <w:r>
              <w:rPr>
                <w:rFonts w:ascii="宋体" w:eastAsia="宋体" w:hAnsi="宋体" w:cs="宋体"/>
                <w:b w:val="0"/>
                <w:i w:val="0"/>
                <w:color w:val="000000"/>
                <w:sz w:val="18"/>
              </w:rPr>
              <w:t xml:space="preserve">特殊学校教育</w:t>
            </w:r>
          </w:p>
        </w:tc>
        <w:tc>
          <w:tcPr>
            <w:tcW w:w="1780" w:type="dxa"/>
            <w:tcBorders/>
            <w:vAlign w:val="center"/>
          </w:tcPr>
          <w:p>
            <w:pPr>
              <w:jc w:val="right"/>
            </w:pPr>
            <w:r>
              <w:rPr>
                <w:rFonts w:ascii="宋体" w:eastAsia="宋体" w:hAnsi="宋体" w:cs="宋体"/>
                <w:b w:val="0"/>
                <w:i w:val="0"/>
                <w:color w:val="000000"/>
                <w:sz w:val="18"/>
              </w:rPr>
              <w:t xml:space="preserve">339.66</w:t>
            </w:r>
          </w:p>
        </w:tc>
        <w:tc>
          <w:tcPr>
            <w:tcW w:w="1780" w:type="dxa"/>
            <w:tcBorders/>
            <w:vAlign w:val="center"/>
          </w:tcPr>
          <w:p>
            <w:pPr>
              <w:jc w:val="right"/>
            </w:pPr>
            <w:r>
              <w:rPr>
                <w:rFonts w:ascii="宋体" w:eastAsia="宋体" w:hAnsi="宋体" w:cs="宋体"/>
                <w:b w:val="0"/>
                <w:i w:val="0"/>
                <w:color w:val="000000"/>
                <w:sz w:val="18"/>
              </w:rPr>
              <w:t xml:space="preserve">204.82</w:t>
            </w:r>
          </w:p>
        </w:tc>
        <w:tc>
          <w:tcPr>
            <w:tcW w:w="1772" w:type="dxa"/>
            <w:tcBorders/>
            <w:vAlign w:val="center"/>
          </w:tcPr>
          <w:p>
            <w:pPr>
              <w:jc w:val="right"/>
            </w:pPr>
            <w:r>
              <w:rPr>
                <w:rFonts w:ascii="宋体" w:eastAsia="宋体" w:hAnsi="宋体" w:cs="宋体"/>
                <w:b w:val="0"/>
                <w:i w:val="0"/>
                <w:color w:val="000000"/>
                <w:sz w:val="18"/>
              </w:rPr>
              <w:t xml:space="preserve">134.84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16.64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16.64</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16.64</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8.84</w:t>
            </w:r>
          </w:p>
        </w:tc>
        <w:tc>
          <w:tcPr>
            <w:tcW w:w="1780" w:type="dxa"/>
            <w:tcBorders/>
            <w:vAlign w:val="center"/>
          </w:tcPr>
          <w:p>
            <w:pPr>
              <w:jc w:val="right"/>
            </w:pPr>
            <w:r>
              <w:rPr>
                <w:rFonts w:ascii="宋体" w:eastAsia="宋体" w:hAnsi="宋体" w:cs="宋体"/>
                <w:b w:val="0"/>
                <w:i w:val="0"/>
                <w:color w:val="000000"/>
                <w:sz w:val="18"/>
              </w:rPr>
              <w:t xml:space="preserve">8.84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8.84</w:t>
            </w:r>
          </w:p>
        </w:tc>
        <w:tc>
          <w:tcPr>
            <w:tcW w:w="1780" w:type="dxa"/>
            <w:tcBorders/>
            <w:vAlign w:val="center"/>
          </w:tcPr>
          <w:p>
            <w:pPr>
              <w:jc w:val="right"/>
            </w:pPr>
            <w:r>
              <w:rPr>
                <w:rFonts w:ascii="宋体" w:eastAsia="宋体" w:hAnsi="宋体" w:cs="宋体"/>
                <w:b w:val="0"/>
                <w:i w:val="0"/>
                <w:color w:val="000000"/>
                <w:sz w:val="18"/>
              </w:rPr>
              <w:t xml:space="preserve">8.84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0.99</w:t>
            </w:r>
          </w:p>
        </w:tc>
        <w:tc>
          <w:tcPr>
            <w:tcW w:w="1780" w:type="dxa"/>
            <w:tcBorders/>
            <w:vAlign w:val="center"/>
          </w:tcPr>
          <w:p>
            <w:pPr>
              <w:jc w:val="right"/>
            </w:pPr>
            <w:r>
              <w:rPr>
                <w:rFonts w:ascii="宋体" w:eastAsia="宋体" w:hAnsi="宋体" w:cs="宋体"/>
                <w:b w:val="0"/>
                <w:i w:val="0"/>
                <w:color w:val="000000"/>
                <w:sz w:val="18"/>
              </w:rPr>
              <w:t xml:space="preserve">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7.85</w:t>
            </w:r>
          </w:p>
        </w:tc>
        <w:tc>
          <w:tcPr>
            <w:tcW w:w="1780" w:type="dxa"/>
            <w:tcBorders/>
            <w:vAlign w:val="center"/>
          </w:tcPr>
          <w:p>
            <w:pPr>
              <w:jc w:val="right"/>
            </w:pPr>
            <w:r>
              <w:rPr>
                <w:rFonts w:ascii="宋体" w:eastAsia="宋体" w:hAnsi="宋体" w:cs="宋体"/>
                <w:b w:val="0"/>
                <w:i w:val="0"/>
                <w:color w:val="000000"/>
                <w:sz w:val="18"/>
              </w:rPr>
              <w:t xml:space="preserve">7.85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207.22</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5.45</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64.32</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54.78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5.52</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0.90</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35.33</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25.87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7.85</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11.52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jc w:val="right"/>
            </w:pPr>
            <w:r>
              <w:rPr>
                <w:rFonts w:ascii="宋体" w:eastAsia="宋体" w:hAnsi="宋体" w:cs="宋体"/>
                <w:b w:val="0"/>
                <w:i w:val="0"/>
                <w:color w:val="000000"/>
                <w:sz w:val="14"/>
              </w:rPr>
              <w:t xml:space="preserve">0.87</w:t>
            </w: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1.13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0.27</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0.99</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2.16</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1.12</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208.21</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5.45</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单位：辽宁省沈阳市浑南区阳光学校</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城乡义务教育补助经费-2024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沈阳市浑南区阳光学校-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我区部分学校学生人数很少，按生均定额标准核算的公用经费不足以维护学校正常运转，为了保证学校正常教育教学秩序，安排补充公用经费。使用电取暖设施学校电费。《关于全部取消农村义务教育阶段学生住宿费和提高农村中小学公用经费定额标准的通知》（辽财教[2009]214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沈阳市浑南区阳光学校-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沈阳市浑南区阳光学校-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特殊教育学生和教师生活补助-2024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沈阳市浑南区阳光学校-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特殊教育和随班就读残疾学生生均公用经费基准定额为每生每年8000元，特教学校阳光学校日常生均已按55人安排，需补足100人，补充45人*8000元=36万。阳光学校食堂伙食费，每生每日30元，在校生55人，全年在校220天，36.3万元。2台校车接送学生及陪读家长，每台每月1.4万元，全年运送10个</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信访维稳工作经费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沈阳市浑南区阳光学校-</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据2020年第57次《区长办公会议纪要》中共浑南区委_浑南区人民政府关于印发《浑南区关于新时代教师队伍建设改革的实施意见（试行）》的通知，中共沈阳市浑南区信访工作联席会议会议纪要，"信访维稳经费1、李慧颖补助费2451.79*12=29421.48元。2、徐淑珍取暖费2210元。3、维稳经费118368.52元。"</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992"/>
        <w:gridCol w:w="1773"/>
        <w:gridCol w:w="1833"/>
        <w:gridCol w:w="1992"/>
        <w:gridCol w:w="1712"/>
        <w:gridCol w:w="1992"/>
        <w:gridCol w:w="1773"/>
        <w:gridCol w:w="1773"/>
      </w:tblGrid>
      <w:tr>
        <w:trPr>
          <w:trHeight w:hRule="exact" w:val="386"/>
          <w:jc w:val="center"/>
        </w:trPr>
        <w:tc>
          <w:tcPr>
            <w:tcW w:w="14840" w:type="dxa"/>
            <w:gridSpan w:val="8"/>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20"/>
              </w:rPr>
              <w:t xml:space="preserve">部门（单位）整体绩效目标表</w:t>
            </w:r>
          </w:p>
        </w:tc>
      </w:tr>
      <w:tr>
        <w:trPr>
          <w:trHeight w:hRule="exact" w:val="386"/>
          <w:jc w:val="center"/>
        </w:trPr>
        <w:tc>
          <w:tcPr>
            <w:tcW w:w="14840" w:type="dxa"/>
            <w:gridSpan w:val="8"/>
            <w:tcBorders>
              <w:bottom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部门（单位）名称</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023034沈阳市浑南区阳光学校-210112000</w:t>
            </w:r>
          </w:p>
        </w:tc>
      </w:tr>
      <w:tr>
        <w:trPr>
          <w:trHeight w:hRule="exact" w:val="386"/>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年度主要任务</w:t>
            </w: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对应项目</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预算资金情况（万元）</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基本支出公用经费(保运转)</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1.5</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基本支出人员经费(保工资)</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194.07</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基本支出公用经费(保基本民生)</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68.64</w:t>
            </w:r>
          </w:p>
        </w:tc>
      </w:tr>
      <w:tr>
        <w:trPr>
          <w:trHeight w:hRule="exact" w:val="386"/>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7310"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基本支出人员经费(刚性)</w:t>
            </w:r>
          </w:p>
        </w:tc>
        <w:tc>
          <w:tcPr>
            <w:tcW w:w="553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7.31</w:t>
            </w:r>
          </w:p>
        </w:tc>
      </w:tr>
      <w:tr>
        <w:trPr>
          <w:trHeight w:hRule="exact" w:val="386"/>
          <w:jc w:val="center"/>
        </w:trPr>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年度绩效目标</w:t>
            </w:r>
          </w:p>
        </w:tc>
        <w:tc>
          <w:tcPr>
            <w:tcW w:w="12848"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保证人员工资按时足额发放，保证学校各项工作的正常运转。</w:t>
            </w:r>
          </w:p>
        </w:tc>
      </w:tr>
      <w:tr>
        <w:trPr>
          <w:trHeight w:hRule="exact" w:val="468"/>
          <w:jc w:val="center"/>
        </w:trPr>
        <w:tc>
          <w:tcPr>
            <w:tcW w:w="1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年度绩效指标</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一级指标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二级指标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三级指标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运算符号</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指标值</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度量单位</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2"/>
              </w:rPr>
              <w:t xml:space="preserve">完成时限</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履职效能</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重点工作履行情况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重点工作办结率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整体工作完成情况</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总体工作完成率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工作完成及时率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工作质量达标率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基础管理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依法行政能力</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综合管理水平</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预算执行效率</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预算执行率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预算调整率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5</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结转结余变动率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管理效率</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预算编制管理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预算绩效目标覆盖率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预算监督管理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预决算公开情况</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全部公开</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预算收支管理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预算收入管理规范性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预算支出管理规范性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管理规范</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财务管理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内控制度有效性</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制度有效</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资产管理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固定资产利用率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业务管理</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政府采购管理违法违规行为发生次数</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次</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运行成本</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成本控制成效</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“三公”经费变动率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在职人员控制率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&lt;=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社会效应</w:t>
            </w: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服务对象满意度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家长满意度</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社会公众满意度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家长满意率</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主管部门满意度</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上级主管部门满意度</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100</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可持续性</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体制机制改革</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完成教学改革</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&gt;=</w:t>
            </w: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1</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项</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r>
        <w:trPr>
          <w:trHeight w:hRule="exact" w:val="468"/>
          <w:jc w:val="center"/>
        </w:trPr>
        <w:tc>
          <w:tcPr>
            <w:tcW w:w="199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83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建立内控管理长效机制</w:t>
            </w:r>
          </w:p>
        </w:tc>
        <w:tc>
          <w:tcPr>
            <w:tcW w:w="171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9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2"/>
              </w:rPr>
              <w:t xml:space="preserve">更加完善</w:t>
            </w: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77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2"/>
              </w:rPr>
              <w:t xml:space="preserve">2024年12月</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023034沈阳市浑南区阳光学校-210112000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271.52</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271.52</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203.63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203.62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基本支出公用经费(保基本民生)</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4.33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保证人员工资按时足额发放，保证学校各项工作的正常运转。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保证人员工资按时足额发放，保证学校各项工作的正常运转。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家长满意率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主管部门满意度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上级主管部门满意度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完成教学改革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项</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建立内控管理长效机制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更加完善</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