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辽宁省沈阳市浑南区白塔小学</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辽宁省沈阳市浑南区白塔小学</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辽宁省沈阳市浑南区白塔小学</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辽宁省沈阳市浑南区白塔小学</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辽宁省沈阳市浑南区白塔小学</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辽宁省沈阳市浑南区白塔小学概况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（一）组织教育教学、科学研究活动，保证教育教学质量。维护教职工利益，保障教职工合法权益，以教职工和学生的人生幸福和生命质量作为重点。</w:t>
        <w:br/>
        <w:t xml:space="preserve">    （二）制定学校发展规划，并抓好组织实施和落实情况。</w:t>
        <w:br/>
        <w:t xml:space="preserve">    （三）科学管理、合理使用学校的设施和经费，并积极筹措办学资金，改善办学条件。</w:t>
        <w:br/>
        <w:t xml:space="preserve">    （四）依法接受各级教育行政部门的检查指导和人民群众的监督。</w:t>
        <w:br/>
        <w:t xml:space="preserve">    （五）财务管理方面：</w:t>
        <w:br/>
        <w:t xml:space="preserve">    1、严格执行国家的收费规定，依法组织各项收入，收取的各项预算外资金必须执行收支两条线管理，及时、足额上缴财政专户，不得缓交、截留或擅自坐支应交款项，更不得隐匿不报。严格遵守《沈阳市行政事业性收费票据管理试行办法》保证行政事业性收费有序地进行，全部收入纳入学校的统一管理。规范学校收费行为，完善监督管理措施，增加学校收费透明度，治理乱收费，严格按照国家计委、财政部、教育部的要求，特制定学校教育收费公示制度，本单位的一切收费行为须做到有章可循，有据可依，所有收入都要开列合法的收据，禁止一切乱收费。</w:t>
        <w:br/>
        <w:t xml:space="preserve">    2、严格执行国家有关法律、法规和财务规章制度，厉行节约，制止奢侈浪费；量入为出，保证重点，兼顾一般，注重资金的使用效益；增大教职工民主管理、监督学校财务工作的力度，激发群众当家理财的积极性；改变奖励在封闭和半封闭状态下操作的方式，提高使用透明度，及使发现和纠正财务管理弊端；从源头上预防和遏止不正之风，提高干部廉洁自律的自觉性，密切干群关系，促进行风建设，维护学校良好形象。规范学校财务行为，加强学校财务管理，对学校财务活动进行有效地控制和监督，进一步提高教育经费的使用效益，保障教育事业的健康发展。</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辽宁省沈阳市浑南区白塔小学</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沈阳市浑南区白塔小学是纳入浑南区教育局2024年决算编制范围的二级预算单位，本单位无下设机构。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2421.01</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2405.92</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99.38</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2405.92</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1.38</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0.06</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主要是区教育局专户拨入高考、考研考务费等收入。</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13.72</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0.57</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主要是沈阳市教育基金会资助款，浑南区教育局转2021年教育事业发展捐赠等。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增加193.87万元，增长8.70%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一是教师人数增加，人员经费增加；二是学生人数增加，生均经费增加</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2416.67</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1791.04</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74.11</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工资福利支出1683.06万元；商品和服务支出35.39万元；对个人和家庭的补助72.59万元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625.63</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25.89</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主要包括信访维稳工作经费、2024年教师绩效、2024年城乡义务教育补助经费等业务支出。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增加203.24万元，增长9.18%</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一是教师人数增加，人员经费增加；二是学生人数增加，生均经费增加</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4.34</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主要是区教育局拨付2021年教育事业发展捐赠款、沈阳市教育基金会资助款等原因形成的结余。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减少9.37万元，降低68.34%</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区教育局拨付2021年教育事业发展捐赠款已支付，沈阳市教育基金会资助款减少</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2405.92</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1791.04</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614.88</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增加278.55万元，增长13.09%</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2024年教师和学生人数增加</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115.28</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85.82</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2024年度一般公共预算财政拨款支出2405.92万元。按支出功能分类科目分，包括：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1.教育支出2356.21万元，具体包括：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类）普通教育（款）小学教育（项）2314.99万元,主要是工资福利支出，商品服务，对个人和家庭补助,资本性资金等支出，完成年初预算的114.73%，决算数与年初预算数存在差异的主要原因是教师人数增加和学生人数增加。</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教育支出（类）教育费附加安排的支出（款）其他教育费附加安排的支出（项）41.22万元,主要是商品和服务，对个人和家庭补助等支出，完成年初预算的114.73%，决算数与年初预算数存在差异的主要原因是教师人数增加和学生人数增加。</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2.社会保障和就业支出49.72万元，具体包括：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（1）社会保障和就业支出（类）行政事业单位养老支出（款）事业单位离退休（项）20.71万元,主要是离退休资金等支出，完成年初预算的204.91%，决算数与年初预算数存在差异的主要原因是退休人数增加。</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职业年金缴费支出（项）29.01万元,主要是退休人员职业年金等支出，完成年初预算的204.91%，决算数与年初预算数存在差异的主要原因是退休人数增加，职业年金缴费支出增加。</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无出国任务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无公务接待任务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无公务用车购置</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1791.04</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1755.65</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35.39</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我单位属于事业单位，无机关运行经费</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0.00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0.00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0.00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具体而言，本年度我部门共组织对1个项目实施了绩效评价。从预算资金来源看，涉及一般公共预算的项目1个，涉及政府性基金预算的项目0个，涉及国有资本经营预算的项目0个。</w:t>
        <w:br/>
        <w:t xml:space="preserve">    上述评价工作共涉及财政资金2087.08万元。其中，一般公共预算资金2087.08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5个；得分在80分（含）至90分、等级为“良”的项目有0个；得分在60分（含）至80分、等级为“中”的项目有0个；得分在60分以下、等级为“差”的项目有0个。各项目自评发现，部分项目存在0问题。</w:t>
        <w:br/>
        <w:t xml:space="preserve">    3.部门重点评价情况及结果。</w:t>
        <w:br/>
        <w:t xml:space="preserve">    我部门未产生资金量大、社会关注度高的民生领域项目，因此暂未做重点项目绩效评价。</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单位：辽宁省沈阳市浑南区白塔小学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2,405.92</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jc w:val="right"/>
            </w:pPr>
            <w:r>
              <w:rPr>
                <w:rFonts w:ascii="宋体" w:eastAsia="宋体" w:hAnsi="宋体" w:cs="宋体"/>
                <w:b w:val="0"/>
                <w:i w:val="0"/>
                <w:color w:val="000000"/>
                <w:sz w:val="16"/>
              </w:rPr>
              <w:t xml:space="preserve">2,366.95</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jc w:val="right"/>
            </w:pPr>
            <w:r>
              <w:rPr>
                <w:rFonts w:ascii="宋体" w:eastAsia="宋体" w:hAnsi="宋体" w:cs="宋体"/>
                <w:b w:val="0"/>
                <w:i w:val="0"/>
                <w:color w:val="000000"/>
                <w:sz w:val="16"/>
              </w:rPr>
              <w:t xml:space="preserve">1.38</w:t>
            </w: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49.71</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2,407.29</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2,416.67</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13.72</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4.34</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2,421.01</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2,421.01</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单位：辽宁省沈阳市浑南区白塔小学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2,407.29</w:t>
            </w:r>
          </w:p>
        </w:tc>
        <w:tc>
          <w:tcPr>
            <w:tcW w:w="960" w:type="dxa"/>
            <w:tcBorders/>
            <w:vAlign w:val="center"/>
          </w:tcPr>
          <w:p>
            <w:pPr>
              <w:jc w:val="right"/>
            </w:pPr>
            <w:r>
              <w:rPr>
                <w:rFonts w:ascii="宋体" w:eastAsia="宋体" w:hAnsi="宋体" w:cs="宋体"/>
                <w:b/>
                <w:i w:val="0"/>
                <w:color w:val="000000"/>
                <w:sz w:val="13"/>
              </w:rPr>
              <w:t xml:space="preserve">2,405.92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i w:val="0"/>
                <w:color w:val="000000"/>
                <w:sz w:val="13"/>
              </w:rPr>
              <w:t xml:space="preserve">1.38</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w:t>
            </w:r>
          </w:p>
        </w:tc>
        <w:tc>
          <w:tcPr>
            <w:tcW w:w="3200" w:type="dxa"/>
            <w:tcBorders/>
            <w:vAlign w:val="center"/>
          </w:tcPr>
          <w:p>
            <w:pPr>
              <w:jc w:val="left"/>
            </w:pPr>
            <w:r>
              <w:rPr>
                <w:rFonts w:ascii="宋体" w:eastAsia="宋体" w:hAnsi="宋体" w:cs="宋体"/>
                <w:b w:val="0"/>
                <w:i w:val="0"/>
                <w:color w:val="000000"/>
                <w:sz w:val="13"/>
              </w:rPr>
              <w:t xml:space="preserve">教育支出</w:t>
            </w:r>
          </w:p>
        </w:tc>
        <w:tc>
          <w:tcPr>
            <w:tcW w:w="960" w:type="dxa"/>
            <w:tcBorders/>
            <w:vAlign w:val="center"/>
          </w:tcPr>
          <w:p>
            <w:pPr>
              <w:jc w:val="right"/>
            </w:pPr>
            <w:r>
              <w:rPr>
                <w:rFonts w:ascii="宋体" w:eastAsia="宋体" w:hAnsi="宋体" w:cs="宋体"/>
                <w:b w:val="0"/>
                <w:i w:val="0"/>
                <w:color w:val="000000"/>
                <w:sz w:val="13"/>
              </w:rPr>
              <w:t xml:space="preserve">2,357.59</w:t>
            </w:r>
          </w:p>
        </w:tc>
        <w:tc>
          <w:tcPr>
            <w:tcW w:w="960" w:type="dxa"/>
            <w:tcBorders/>
            <w:vAlign w:val="center"/>
          </w:tcPr>
          <w:p>
            <w:pPr>
              <w:jc w:val="right"/>
            </w:pPr>
            <w:r>
              <w:rPr>
                <w:rFonts w:ascii="宋体" w:eastAsia="宋体" w:hAnsi="宋体" w:cs="宋体"/>
                <w:b w:val="0"/>
                <w:i w:val="0"/>
                <w:color w:val="000000"/>
                <w:sz w:val="13"/>
              </w:rPr>
              <w:t xml:space="preserve">2,356.21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1.38</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w:t>
            </w:r>
          </w:p>
        </w:tc>
        <w:tc>
          <w:tcPr>
            <w:tcW w:w="3200" w:type="dxa"/>
            <w:tcBorders/>
            <w:vAlign w:val="center"/>
          </w:tcPr>
          <w:p>
            <w:pPr>
              <w:jc w:val="left"/>
            </w:pPr>
            <w:r>
              <w:rPr>
                <w:rFonts w:ascii="宋体" w:eastAsia="宋体" w:hAnsi="宋体" w:cs="宋体"/>
                <w:b w:val="0"/>
                <w:i w:val="0"/>
                <w:color w:val="000000"/>
                <w:sz w:val="13"/>
              </w:rPr>
              <w:t xml:space="preserve">普通教育</w:t>
            </w:r>
          </w:p>
        </w:tc>
        <w:tc>
          <w:tcPr>
            <w:tcW w:w="960" w:type="dxa"/>
            <w:tcBorders/>
            <w:vAlign w:val="center"/>
          </w:tcPr>
          <w:p>
            <w:pPr>
              <w:jc w:val="right"/>
            </w:pPr>
            <w:r>
              <w:rPr>
                <w:rFonts w:ascii="宋体" w:eastAsia="宋体" w:hAnsi="宋体" w:cs="宋体"/>
                <w:b w:val="0"/>
                <w:i w:val="0"/>
                <w:color w:val="000000"/>
                <w:sz w:val="13"/>
              </w:rPr>
              <w:t xml:space="preserve">2,316.37</w:t>
            </w:r>
          </w:p>
        </w:tc>
        <w:tc>
          <w:tcPr>
            <w:tcW w:w="960" w:type="dxa"/>
            <w:tcBorders/>
            <w:vAlign w:val="center"/>
          </w:tcPr>
          <w:p>
            <w:pPr>
              <w:jc w:val="right"/>
            </w:pPr>
            <w:r>
              <w:rPr>
                <w:rFonts w:ascii="宋体" w:eastAsia="宋体" w:hAnsi="宋体" w:cs="宋体"/>
                <w:b w:val="0"/>
                <w:i w:val="0"/>
                <w:color w:val="000000"/>
                <w:sz w:val="13"/>
              </w:rPr>
              <w:t xml:space="preserve">2,314.99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1.38</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2050202</w:t>
            </w:r>
          </w:p>
        </w:tc>
        <w:tc>
          <w:tcPr>
            <w:tcW w:w="3200" w:type="dxa"/>
            <w:tcBorders/>
            <w:vAlign w:val="center"/>
          </w:tcPr>
          <w:p>
            <w:pPr>
              <w:jc w:val="left"/>
            </w:pPr>
            <w:r>
              <w:rPr>
                <w:rFonts w:ascii="宋体" w:eastAsia="宋体" w:hAnsi="宋体" w:cs="宋体"/>
                <w:b w:val="0"/>
                <w:i w:val="0"/>
                <w:color w:val="000000"/>
                <w:sz w:val="13"/>
              </w:rPr>
              <w:t xml:space="preserve">小学教育</w:t>
            </w:r>
          </w:p>
        </w:tc>
        <w:tc>
          <w:tcPr>
            <w:tcW w:w="960" w:type="dxa"/>
            <w:tcBorders/>
            <w:vAlign w:val="center"/>
          </w:tcPr>
          <w:p>
            <w:pPr>
              <w:jc w:val="right"/>
            </w:pPr>
            <w:r>
              <w:rPr>
                <w:rFonts w:ascii="宋体" w:eastAsia="宋体" w:hAnsi="宋体" w:cs="宋体"/>
                <w:b w:val="0"/>
                <w:i w:val="0"/>
                <w:color w:val="000000"/>
                <w:sz w:val="13"/>
              </w:rPr>
              <w:t xml:space="preserve">2,314.99</w:t>
            </w:r>
          </w:p>
        </w:tc>
        <w:tc>
          <w:tcPr>
            <w:tcW w:w="960" w:type="dxa"/>
            <w:tcBorders/>
            <w:vAlign w:val="center"/>
          </w:tcPr>
          <w:p>
            <w:pPr>
              <w:jc w:val="right"/>
            </w:pPr>
            <w:r>
              <w:rPr>
                <w:rFonts w:ascii="宋体" w:eastAsia="宋体" w:hAnsi="宋体" w:cs="宋体"/>
                <w:b w:val="0"/>
                <w:i w:val="0"/>
                <w:color w:val="000000"/>
                <w:sz w:val="13"/>
              </w:rPr>
              <w:t xml:space="preserve">2,314.99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2050299</w:t>
            </w:r>
          </w:p>
        </w:tc>
        <w:tc>
          <w:tcPr>
            <w:tcW w:w="3200" w:type="dxa"/>
            <w:tcBorders/>
            <w:vAlign w:val="center"/>
          </w:tcPr>
          <w:p>
            <w:pPr>
              <w:jc w:val="left"/>
            </w:pPr>
            <w:r>
              <w:rPr>
                <w:rFonts w:ascii="宋体" w:eastAsia="宋体" w:hAnsi="宋体" w:cs="宋体"/>
                <w:b w:val="0"/>
                <w:i w:val="0"/>
                <w:color w:val="000000"/>
                <w:sz w:val="13"/>
              </w:rPr>
              <w:t xml:space="preserve">其他普通教育支出</w:t>
            </w:r>
          </w:p>
        </w:tc>
        <w:tc>
          <w:tcPr>
            <w:tcW w:w="960" w:type="dxa"/>
            <w:tcBorders/>
            <w:vAlign w:val="center"/>
          </w:tcPr>
          <w:p>
            <w:pPr>
              <w:jc w:val="right"/>
            </w:pPr>
            <w:r>
              <w:rPr>
                <w:rFonts w:ascii="宋体" w:eastAsia="宋体" w:hAnsi="宋体" w:cs="宋体"/>
                <w:b w:val="0"/>
                <w:i w:val="0"/>
                <w:color w:val="000000"/>
                <w:sz w:val="13"/>
              </w:rPr>
              <w:t xml:space="preserve">1.38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1.38</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20509</w:t>
            </w:r>
          </w:p>
        </w:tc>
        <w:tc>
          <w:tcPr>
            <w:tcW w:w="3200" w:type="dxa"/>
            <w:tcBorders/>
            <w:vAlign w:val="center"/>
          </w:tcPr>
          <w:p>
            <w:pPr>
              <w:jc w:val="left"/>
            </w:pPr>
            <w:r>
              <w:rPr>
                <w:rFonts w:ascii="宋体" w:eastAsia="宋体" w:hAnsi="宋体" w:cs="宋体"/>
                <w:b w:val="0"/>
                <w:i w:val="0"/>
                <w:color w:val="000000"/>
                <w:sz w:val="13"/>
              </w:rPr>
              <w:t xml:space="preserve">教育费附加安排的支出</w:t>
            </w:r>
          </w:p>
        </w:tc>
        <w:tc>
          <w:tcPr>
            <w:tcW w:w="960" w:type="dxa"/>
            <w:tcBorders/>
            <w:vAlign w:val="center"/>
          </w:tcPr>
          <w:p>
            <w:pPr>
              <w:jc w:val="right"/>
            </w:pPr>
            <w:r>
              <w:rPr>
                <w:rFonts w:ascii="宋体" w:eastAsia="宋体" w:hAnsi="宋体" w:cs="宋体"/>
                <w:b w:val="0"/>
                <w:i w:val="0"/>
                <w:color w:val="000000"/>
                <w:sz w:val="13"/>
              </w:rPr>
              <w:t xml:space="preserve">41.22</w:t>
            </w:r>
          </w:p>
        </w:tc>
        <w:tc>
          <w:tcPr>
            <w:tcW w:w="960" w:type="dxa"/>
            <w:tcBorders/>
            <w:vAlign w:val="center"/>
          </w:tcPr>
          <w:p>
            <w:pPr>
              <w:jc w:val="right"/>
            </w:pPr>
            <w:r>
              <w:rPr>
                <w:rFonts w:ascii="宋体" w:eastAsia="宋体" w:hAnsi="宋体" w:cs="宋体"/>
                <w:b w:val="0"/>
                <w:i w:val="0"/>
                <w:color w:val="000000"/>
                <w:sz w:val="13"/>
              </w:rPr>
              <w:t xml:space="preserve">41.22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2050999</w:t>
            </w:r>
          </w:p>
        </w:tc>
        <w:tc>
          <w:tcPr>
            <w:tcW w:w="3200" w:type="dxa"/>
            <w:tcBorders/>
            <w:vAlign w:val="center"/>
          </w:tcPr>
          <w:p>
            <w:pPr>
              <w:jc w:val="left"/>
            </w:pPr>
            <w:r>
              <w:rPr>
                <w:rFonts w:ascii="宋体" w:eastAsia="宋体" w:hAnsi="宋体" w:cs="宋体"/>
                <w:b w:val="0"/>
                <w:i w:val="0"/>
                <w:color w:val="000000"/>
                <w:sz w:val="13"/>
              </w:rPr>
              <w:t xml:space="preserve">其他教育费附加安排的支出</w:t>
            </w:r>
          </w:p>
        </w:tc>
        <w:tc>
          <w:tcPr>
            <w:tcW w:w="960" w:type="dxa"/>
            <w:tcBorders/>
            <w:vAlign w:val="center"/>
          </w:tcPr>
          <w:p>
            <w:pPr>
              <w:jc w:val="right"/>
            </w:pPr>
            <w:r>
              <w:rPr>
                <w:rFonts w:ascii="宋体" w:eastAsia="宋体" w:hAnsi="宋体" w:cs="宋体"/>
                <w:b w:val="0"/>
                <w:i w:val="0"/>
                <w:color w:val="000000"/>
                <w:sz w:val="13"/>
              </w:rPr>
              <w:t xml:space="preserve">41.22</w:t>
            </w:r>
          </w:p>
        </w:tc>
        <w:tc>
          <w:tcPr>
            <w:tcW w:w="960" w:type="dxa"/>
            <w:tcBorders/>
            <w:vAlign w:val="center"/>
          </w:tcPr>
          <w:p>
            <w:pPr>
              <w:jc w:val="right"/>
            </w:pPr>
            <w:r>
              <w:rPr>
                <w:rFonts w:ascii="宋体" w:eastAsia="宋体" w:hAnsi="宋体" w:cs="宋体"/>
                <w:b w:val="0"/>
                <w:i w:val="0"/>
                <w:color w:val="000000"/>
                <w:sz w:val="13"/>
              </w:rPr>
              <w:t xml:space="preserve">41.22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49.72</w:t>
            </w:r>
          </w:p>
        </w:tc>
        <w:tc>
          <w:tcPr>
            <w:tcW w:w="960" w:type="dxa"/>
            <w:tcBorders/>
            <w:vAlign w:val="center"/>
          </w:tcPr>
          <w:p>
            <w:pPr>
              <w:jc w:val="right"/>
            </w:pPr>
            <w:r>
              <w:rPr>
                <w:rFonts w:ascii="宋体" w:eastAsia="宋体" w:hAnsi="宋体" w:cs="宋体"/>
                <w:b w:val="0"/>
                <w:i w:val="0"/>
                <w:color w:val="000000"/>
                <w:sz w:val="13"/>
              </w:rPr>
              <w:t xml:space="preserve">49.72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49.72</w:t>
            </w:r>
          </w:p>
        </w:tc>
        <w:tc>
          <w:tcPr>
            <w:tcW w:w="960" w:type="dxa"/>
            <w:tcBorders/>
            <w:vAlign w:val="center"/>
          </w:tcPr>
          <w:p>
            <w:pPr>
              <w:jc w:val="right"/>
            </w:pPr>
            <w:r>
              <w:rPr>
                <w:rFonts w:ascii="宋体" w:eastAsia="宋体" w:hAnsi="宋体" w:cs="宋体"/>
                <w:b w:val="0"/>
                <w:i w:val="0"/>
                <w:color w:val="000000"/>
                <w:sz w:val="13"/>
              </w:rPr>
              <w:t xml:space="preserve">49.72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20.71</w:t>
            </w:r>
          </w:p>
        </w:tc>
        <w:tc>
          <w:tcPr>
            <w:tcW w:w="960" w:type="dxa"/>
            <w:tcBorders/>
            <w:vAlign w:val="center"/>
          </w:tcPr>
          <w:p>
            <w:pPr>
              <w:jc w:val="right"/>
            </w:pPr>
            <w:r>
              <w:rPr>
                <w:rFonts w:ascii="宋体" w:eastAsia="宋体" w:hAnsi="宋体" w:cs="宋体"/>
                <w:b w:val="0"/>
                <w:i w:val="0"/>
                <w:color w:val="000000"/>
                <w:sz w:val="13"/>
              </w:rPr>
              <w:t xml:space="preserve">20.71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29.01</w:t>
            </w:r>
          </w:p>
        </w:tc>
        <w:tc>
          <w:tcPr>
            <w:tcW w:w="960" w:type="dxa"/>
            <w:tcBorders/>
            <w:vAlign w:val="center"/>
          </w:tcPr>
          <w:p>
            <w:pPr>
              <w:jc w:val="right"/>
            </w:pPr>
            <w:r>
              <w:rPr>
                <w:rFonts w:ascii="宋体" w:eastAsia="宋体" w:hAnsi="宋体" w:cs="宋体"/>
                <w:b w:val="0"/>
                <w:i w:val="0"/>
                <w:color w:val="000000"/>
                <w:sz w:val="13"/>
              </w:rPr>
              <w:t xml:space="preserve">29.01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单位：辽宁省沈阳市浑南区白塔小学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2,416.67</w:t>
            </w:r>
          </w:p>
        </w:tc>
        <w:tc>
          <w:tcPr>
            <w:tcW w:w="1060" w:type="dxa"/>
            <w:tcBorders/>
            <w:vAlign w:val="center"/>
          </w:tcPr>
          <w:p>
            <w:pPr>
              <w:jc w:val="right"/>
            </w:pPr>
            <w:r>
              <w:rPr>
                <w:rFonts w:ascii="宋体" w:eastAsia="宋体" w:hAnsi="宋体" w:cs="宋体"/>
                <w:b/>
                <w:i w:val="0"/>
                <w:color w:val="000000"/>
                <w:sz w:val="14"/>
              </w:rPr>
              <w:t xml:space="preserve">1,791.04</w:t>
            </w:r>
          </w:p>
        </w:tc>
        <w:tc>
          <w:tcPr>
            <w:tcW w:w="1060" w:type="dxa"/>
            <w:tcBorders/>
            <w:vAlign w:val="center"/>
          </w:tcPr>
          <w:p>
            <w:pPr>
              <w:jc w:val="right"/>
            </w:pPr>
            <w:r>
              <w:rPr>
                <w:rFonts w:ascii="宋体" w:eastAsia="宋体" w:hAnsi="宋体" w:cs="宋体"/>
                <w:b/>
                <w:i w:val="0"/>
                <w:color w:val="000000"/>
                <w:sz w:val="14"/>
              </w:rPr>
              <w:t xml:space="preserve">625.63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w:t>
            </w:r>
          </w:p>
        </w:tc>
        <w:tc>
          <w:tcPr>
            <w:tcW w:w="3440" w:type="dxa"/>
            <w:tcBorders/>
            <w:vAlign w:val="center"/>
          </w:tcPr>
          <w:p>
            <w:pPr>
              <w:jc w:val="left"/>
            </w:pPr>
            <w:r>
              <w:rPr>
                <w:rFonts w:ascii="宋体" w:eastAsia="宋体" w:hAnsi="宋体" w:cs="宋体"/>
                <w:b w:val="0"/>
                <w:i w:val="0"/>
                <w:color w:val="000000"/>
                <w:sz w:val="14"/>
              </w:rPr>
              <w:t xml:space="preserve">教育支出</w:t>
            </w:r>
          </w:p>
        </w:tc>
        <w:tc>
          <w:tcPr>
            <w:tcW w:w="1060" w:type="dxa"/>
            <w:tcBorders/>
            <w:vAlign w:val="center"/>
          </w:tcPr>
          <w:p>
            <w:pPr>
              <w:jc w:val="right"/>
            </w:pPr>
            <w:r>
              <w:rPr>
                <w:rFonts w:ascii="宋体" w:eastAsia="宋体" w:hAnsi="宋体" w:cs="宋体"/>
                <w:b w:val="0"/>
                <w:i w:val="0"/>
                <w:color w:val="000000"/>
                <w:sz w:val="14"/>
              </w:rPr>
              <w:t xml:space="preserve">2,366.96</w:t>
            </w:r>
          </w:p>
        </w:tc>
        <w:tc>
          <w:tcPr>
            <w:tcW w:w="1060" w:type="dxa"/>
            <w:tcBorders/>
            <w:vAlign w:val="center"/>
          </w:tcPr>
          <w:p>
            <w:pPr>
              <w:jc w:val="right"/>
            </w:pPr>
            <w:r>
              <w:rPr>
                <w:rFonts w:ascii="宋体" w:eastAsia="宋体" w:hAnsi="宋体" w:cs="宋体"/>
                <w:b w:val="0"/>
                <w:i w:val="0"/>
                <w:color w:val="000000"/>
                <w:sz w:val="14"/>
              </w:rPr>
              <w:t xml:space="preserve">1,741.32</w:t>
            </w:r>
          </w:p>
        </w:tc>
        <w:tc>
          <w:tcPr>
            <w:tcW w:w="1060" w:type="dxa"/>
            <w:tcBorders/>
            <w:vAlign w:val="center"/>
          </w:tcPr>
          <w:p>
            <w:pPr>
              <w:jc w:val="right"/>
            </w:pPr>
            <w:r>
              <w:rPr>
                <w:rFonts w:ascii="宋体" w:eastAsia="宋体" w:hAnsi="宋体" w:cs="宋体"/>
                <w:b w:val="0"/>
                <w:i w:val="0"/>
                <w:color w:val="000000"/>
                <w:sz w:val="14"/>
              </w:rPr>
              <w:t xml:space="preserve">625.63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w:t>
            </w:r>
          </w:p>
        </w:tc>
        <w:tc>
          <w:tcPr>
            <w:tcW w:w="3440" w:type="dxa"/>
            <w:tcBorders/>
            <w:vAlign w:val="center"/>
          </w:tcPr>
          <w:p>
            <w:pPr>
              <w:jc w:val="left"/>
            </w:pPr>
            <w:r>
              <w:rPr>
                <w:rFonts w:ascii="宋体" w:eastAsia="宋体" w:hAnsi="宋体" w:cs="宋体"/>
                <w:b w:val="0"/>
                <w:i w:val="0"/>
                <w:color w:val="000000"/>
                <w:sz w:val="14"/>
              </w:rPr>
              <w:t xml:space="preserve">普通教育</w:t>
            </w:r>
          </w:p>
        </w:tc>
        <w:tc>
          <w:tcPr>
            <w:tcW w:w="1060" w:type="dxa"/>
            <w:tcBorders/>
            <w:vAlign w:val="center"/>
          </w:tcPr>
          <w:p>
            <w:pPr>
              <w:jc w:val="right"/>
            </w:pPr>
            <w:r>
              <w:rPr>
                <w:rFonts w:ascii="宋体" w:eastAsia="宋体" w:hAnsi="宋体" w:cs="宋体"/>
                <w:b w:val="0"/>
                <w:i w:val="0"/>
                <w:color w:val="000000"/>
                <w:sz w:val="14"/>
              </w:rPr>
              <w:t xml:space="preserve">2,325.74</w:t>
            </w:r>
          </w:p>
        </w:tc>
        <w:tc>
          <w:tcPr>
            <w:tcW w:w="1060" w:type="dxa"/>
            <w:tcBorders/>
            <w:vAlign w:val="center"/>
          </w:tcPr>
          <w:p>
            <w:pPr>
              <w:jc w:val="right"/>
            </w:pPr>
            <w:r>
              <w:rPr>
                <w:rFonts w:ascii="宋体" w:eastAsia="宋体" w:hAnsi="宋体" w:cs="宋体"/>
                <w:b w:val="0"/>
                <w:i w:val="0"/>
                <w:color w:val="000000"/>
                <w:sz w:val="14"/>
              </w:rPr>
              <w:t xml:space="preserve">1,741.32</w:t>
            </w:r>
          </w:p>
        </w:tc>
        <w:tc>
          <w:tcPr>
            <w:tcW w:w="1060" w:type="dxa"/>
            <w:tcBorders/>
            <w:vAlign w:val="center"/>
          </w:tcPr>
          <w:p>
            <w:pPr>
              <w:jc w:val="right"/>
            </w:pPr>
            <w:r>
              <w:rPr>
                <w:rFonts w:ascii="宋体" w:eastAsia="宋体" w:hAnsi="宋体" w:cs="宋体"/>
                <w:b w:val="0"/>
                <w:i w:val="0"/>
                <w:color w:val="000000"/>
                <w:sz w:val="14"/>
              </w:rPr>
              <w:t xml:space="preserve">584.41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2050202</w:t>
            </w:r>
          </w:p>
        </w:tc>
        <w:tc>
          <w:tcPr>
            <w:tcW w:w="3440" w:type="dxa"/>
            <w:tcBorders/>
            <w:vAlign w:val="center"/>
          </w:tcPr>
          <w:p>
            <w:pPr>
              <w:jc w:val="left"/>
            </w:pPr>
            <w:r>
              <w:rPr>
                <w:rFonts w:ascii="宋体" w:eastAsia="宋体" w:hAnsi="宋体" w:cs="宋体"/>
                <w:b w:val="0"/>
                <w:i w:val="0"/>
                <w:color w:val="000000"/>
                <w:sz w:val="14"/>
              </w:rPr>
              <w:t xml:space="preserve">小学教育</w:t>
            </w:r>
          </w:p>
        </w:tc>
        <w:tc>
          <w:tcPr>
            <w:tcW w:w="1060" w:type="dxa"/>
            <w:tcBorders/>
            <w:vAlign w:val="center"/>
          </w:tcPr>
          <w:p>
            <w:pPr>
              <w:jc w:val="right"/>
            </w:pPr>
            <w:r>
              <w:rPr>
                <w:rFonts w:ascii="宋体" w:eastAsia="宋体" w:hAnsi="宋体" w:cs="宋体"/>
                <w:b w:val="0"/>
                <w:i w:val="0"/>
                <w:color w:val="000000"/>
                <w:sz w:val="14"/>
              </w:rPr>
              <w:t xml:space="preserve">2,314.99</w:t>
            </w:r>
          </w:p>
        </w:tc>
        <w:tc>
          <w:tcPr>
            <w:tcW w:w="1060" w:type="dxa"/>
            <w:tcBorders/>
            <w:vAlign w:val="center"/>
          </w:tcPr>
          <w:p>
            <w:pPr>
              <w:jc w:val="right"/>
            </w:pPr>
            <w:r>
              <w:rPr>
                <w:rFonts w:ascii="宋体" w:eastAsia="宋体" w:hAnsi="宋体" w:cs="宋体"/>
                <w:b w:val="0"/>
                <w:i w:val="0"/>
                <w:color w:val="000000"/>
                <w:sz w:val="14"/>
              </w:rPr>
              <w:t xml:space="preserve">1,741.32</w:t>
            </w:r>
          </w:p>
        </w:tc>
        <w:tc>
          <w:tcPr>
            <w:tcW w:w="1060" w:type="dxa"/>
            <w:tcBorders/>
            <w:vAlign w:val="center"/>
          </w:tcPr>
          <w:p>
            <w:pPr>
              <w:jc w:val="right"/>
            </w:pPr>
            <w:r>
              <w:rPr>
                <w:rFonts w:ascii="宋体" w:eastAsia="宋体" w:hAnsi="宋体" w:cs="宋体"/>
                <w:b w:val="0"/>
                <w:i w:val="0"/>
                <w:color w:val="000000"/>
                <w:sz w:val="14"/>
              </w:rPr>
              <w:t xml:space="preserve">573.66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2050299</w:t>
            </w:r>
          </w:p>
        </w:tc>
        <w:tc>
          <w:tcPr>
            <w:tcW w:w="3440" w:type="dxa"/>
            <w:tcBorders/>
            <w:vAlign w:val="center"/>
          </w:tcPr>
          <w:p>
            <w:pPr>
              <w:jc w:val="left"/>
            </w:pPr>
            <w:r>
              <w:rPr>
                <w:rFonts w:ascii="宋体" w:eastAsia="宋体" w:hAnsi="宋体" w:cs="宋体"/>
                <w:b w:val="0"/>
                <w:i w:val="0"/>
                <w:color w:val="000000"/>
                <w:sz w:val="14"/>
              </w:rPr>
              <w:t xml:space="preserve">其他普通教育支出</w:t>
            </w:r>
          </w:p>
        </w:tc>
        <w:tc>
          <w:tcPr>
            <w:tcW w:w="1060" w:type="dxa"/>
            <w:tcBorders/>
            <w:vAlign w:val="center"/>
          </w:tcPr>
          <w:p>
            <w:pPr>
              <w:jc w:val="right"/>
            </w:pPr>
            <w:r>
              <w:rPr>
                <w:rFonts w:ascii="宋体" w:eastAsia="宋体" w:hAnsi="宋体" w:cs="宋体"/>
                <w:b w:val="0"/>
                <w:i w:val="0"/>
                <w:color w:val="000000"/>
                <w:sz w:val="14"/>
              </w:rPr>
              <w:t xml:space="preserve">10.75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10.75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20509</w:t>
            </w:r>
          </w:p>
        </w:tc>
        <w:tc>
          <w:tcPr>
            <w:tcW w:w="3440" w:type="dxa"/>
            <w:tcBorders/>
            <w:vAlign w:val="center"/>
          </w:tcPr>
          <w:p>
            <w:pPr>
              <w:jc w:val="left"/>
            </w:pPr>
            <w:r>
              <w:rPr>
                <w:rFonts w:ascii="宋体" w:eastAsia="宋体" w:hAnsi="宋体" w:cs="宋体"/>
                <w:b w:val="0"/>
                <w:i w:val="0"/>
                <w:color w:val="000000"/>
                <w:sz w:val="14"/>
              </w:rPr>
              <w:t xml:space="preserve">教育费附加安排的支出</w:t>
            </w:r>
          </w:p>
        </w:tc>
        <w:tc>
          <w:tcPr>
            <w:tcW w:w="1060" w:type="dxa"/>
            <w:tcBorders/>
            <w:vAlign w:val="center"/>
          </w:tcPr>
          <w:p>
            <w:pPr>
              <w:jc w:val="right"/>
            </w:pPr>
            <w:r>
              <w:rPr>
                <w:rFonts w:ascii="宋体" w:eastAsia="宋体" w:hAnsi="宋体" w:cs="宋体"/>
                <w:b w:val="0"/>
                <w:i w:val="0"/>
                <w:color w:val="000000"/>
                <w:sz w:val="14"/>
              </w:rPr>
              <w:t xml:space="preserve">41.22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41.22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2050999</w:t>
            </w:r>
          </w:p>
        </w:tc>
        <w:tc>
          <w:tcPr>
            <w:tcW w:w="3440" w:type="dxa"/>
            <w:tcBorders/>
            <w:vAlign w:val="center"/>
          </w:tcPr>
          <w:p>
            <w:pPr>
              <w:jc w:val="left"/>
            </w:pPr>
            <w:r>
              <w:rPr>
                <w:rFonts w:ascii="宋体" w:eastAsia="宋体" w:hAnsi="宋体" w:cs="宋体"/>
                <w:b w:val="0"/>
                <w:i w:val="0"/>
                <w:color w:val="000000"/>
                <w:sz w:val="14"/>
              </w:rPr>
              <w:t xml:space="preserve">其他教育费附加安排的支出</w:t>
            </w:r>
          </w:p>
        </w:tc>
        <w:tc>
          <w:tcPr>
            <w:tcW w:w="1060" w:type="dxa"/>
            <w:tcBorders/>
            <w:vAlign w:val="center"/>
          </w:tcPr>
          <w:p>
            <w:pPr>
              <w:jc w:val="right"/>
            </w:pPr>
            <w:r>
              <w:rPr>
                <w:rFonts w:ascii="宋体" w:eastAsia="宋体" w:hAnsi="宋体" w:cs="宋体"/>
                <w:b w:val="0"/>
                <w:i w:val="0"/>
                <w:color w:val="000000"/>
                <w:sz w:val="14"/>
              </w:rPr>
              <w:t xml:space="preserve">41.22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41.22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49.72</w:t>
            </w:r>
          </w:p>
        </w:tc>
        <w:tc>
          <w:tcPr>
            <w:tcW w:w="1060" w:type="dxa"/>
            <w:tcBorders/>
            <w:vAlign w:val="center"/>
          </w:tcPr>
          <w:p>
            <w:pPr>
              <w:jc w:val="right"/>
            </w:pPr>
            <w:r>
              <w:rPr>
                <w:rFonts w:ascii="宋体" w:eastAsia="宋体" w:hAnsi="宋体" w:cs="宋体"/>
                <w:b w:val="0"/>
                <w:i w:val="0"/>
                <w:color w:val="000000"/>
                <w:sz w:val="14"/>
              </w:rPr>
              <w:t xml:space="preserve">49.72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49.72</w:t>
            </w:r>
          </w:p>
        </w:tc>
        <w:tc>
          <w:tcPr>
            <w:tcW w:w="1060" w:type="dxa"/>
            <w:tcBorders/>
            <w:vAlign w:val="center"/>
          </w:tcPr>
          <w:p>
            <w:pPr>
              <w:jc w:val="right"/>
            </w:pPr>
            <w:r>
              <w:rPr>
                <w:rFonts w:ascii="宋体" w:eastAsia="宋体" w:hAnsi="宋体" w:cs="宋体"/>
                <w:b w:val="0"/>
                <w:i w:val="0"/>
                <w:color w:val="000000"/>
                <w:sz w:val="14"/>
              </w:rPr>
              <w:t xml:space="preserve">49.72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20.71</w:t>
            </w:r>
          </w:p>
        </w:tc>
        <w:tc>
          <w:tcPr>
            <w:tcW w:w="1060" w:type="dxa"/>
            <w:tcBorders/>
            <w:vAlign w:val="center"/>
          </w:tcPr>
          <w:p>
            <w:pPr>
              <w:jc w:val="right"/>
            </w:pPr>
            <w:r>
              <w:rPr>
                <w:rFonts w:ascii="宋体" w:eastAsia="宋体" w:hAnsi="宋体" w:cs="宋体"/>
                <w:b w:val="0"/>
                <w:i w:val="0"/>
                <w:color w:val="000000"/>
                <w:sz w:val="14"/>
              </w:rPr>
              <w:t xml:space="preserve">20.71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29.01</w:t>
            </w:r>
          </w:p>
        </w:tc>
        <w:tc>
          <w:tcPr>
            <w:tcW w:w="1060" w:type="dxa"/>
            <w:tcBorders/>
            <w:vAlign w:val="center"/>
          </w:tcPr>
          <w:p>
            <w:pPr>
              <w:jc w:val="right"/>
            </w:pPr>
            <w:r>
              <w:rPr>
                <w:rFonts w:ascii="宋体" w:eastAsia="宋体" w:hAnsi="宋体" w:cs="宋体"/>
                <w:b w:val="0"/>
                <w:i w:val="0"/>
                <w:color w:val="000000"/>
                <w:sz w:val="14"/>
              </w:rPr>
              <w:t xml:space="preserve">29.01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单位：辽宁省沈阳市浑南区白塔小学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2,405.92</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jc w:val="right"/>
            </w:pPr>
            <w:r>
              <w:rPr>
                <w:rFonts w:ascii="宋体" w:eastAsia="宋体" w:hAnsi="宋体" w:cs="宋体"/>
                <w:b w:val="0"/>
                <w:i w:val="0"/>
                <w:color w:val="000000"/>
                <w:sz w:val="14"/>
              </w:rPr>
              <w:t xml:space="preserve">2,356.20</w:t>
            </w:r>
          </w:p>
        </w:tc>
        <w:tc>
          <w:tcPr>
            <w:tcW w:w="1100" w:type="dxa"/>
            <w:tcBorders/>
            <w:vAlign w:val="center"/>
          </w:tcPr>
          <w:p>
            <w:pPr>
              <w:jc w:val="right"/>
            </w:pPr>
            <w:r>
              <w:rPr>
                <w:rFonts w:ascii="宋体" w:eastAsia="宋体" w:hAnsi="宋体" w:cs="宋体"/>
                <w:b w:val="0"/>
                <w:i w:val="0"/>
                <w:color w:val="000000"/>
                <w:sz w:val="14"/>
              </w:rPr>
              <w:t xml:space="preserve">2,356.20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49.71</w:t>
            </w:r>
          </w:p>
        </w:tc>
        <w:tc>
          <w:tcPr>
            <w:tcW w:w="1100" w:type="dxa"/>
            <w:tcBorders/>
            <w:vAlign w:val="center"/>
          </w:tcPr>
          <w:p>
            <w:pPr>
              <w:jc w:val="right"/>
            </w:pPr>
            <w:r>
              <w:rPr>
                <w:rFonts w:ascii="宋体" w:eastAsia="宋体" w:hAnsi="宋体" w:cs="宋体"/>
                <w:b w:val="0"/>
                <w:i w:val="0"/>
                <w:color w:val="000000"/>
                <w:sz w:val="14"/>
              </w:rPr>
              <w:t xml:space="preserve">49.71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2,405.92</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2,405.92</w:t>
            </w:r>
          </w:p>
        </w:tc>
        <w:tc>
          <w:tcPr>
            <w:tcW w:w="1100" w:type="dxa"/>
            <w:tcBorders/>
            <w:vAlign w:val="center"/>
          </w:tcPr>
          <w:p>
            <w:pPr>
              <w:jc w:val="right"/>
            </w:pPr>
            <w:r>
              <w:rPr>
                <w:rFonts w:ascii="宋体" w:eastAsia="宋体" w:hAnsi="宋体" w:cs="宋体"/>
                <w:b w:val="0"/>
                <w:i w:val="0"/>
                <w:color w:val="000000"/>
                <w:sz w:val="14"/>
              </w:rPr>
              <w:t xml:space="preserve">2,405.92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2,405.92</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2,405.92</w:t>
            </w:r>
          </w:p>
        </w:tc>
        <w:tc>
          <w:tcPr>
            <w:tcW w:w="1100" w:type="dxa"/>
            <w:tcBorders/>
            <w:vAlign w:val="center"/>
          </w:tcPr>
          <w:p>
            <w:pPr>
              <w:jc w:val="right"/>
            </w:pPr>
            <w:r>
              <w:rPr>
                <w:rFonts w:ascii="宋体" w:eastAsia="宋体" w:hAnsi="宋体" w:cs="宋体"/>
                <w:b w:val="0"/>
                <w:i w:val="0"/>
                <w:color w:val="000000"/>
                <w:sz w:val="14"/>
              </w:rPr>
              <w:t xml:space="preserve">2,405.92</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单位：辽宁省沈阳市浑南区白塔小学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2,405.92</w:t>
            </w:r>
          </w:p>
        </w:tc>
        <w:tc>
          <w:tcPr>
            <w:tcW w:w="1780" w:type="dxa"/>
            <w:tcBorders/>
            <w:vAlign w:val="center"/>
          </w:tcPr>
          <w:p>
            <w:pPr>
              <w:jc w:val="right"/>
            </w:pPr>
            <w:r>
              <w:rPr>
                <w:rFonts w:ascii="宋体" w:eastAsia="宋体" w:hAnsi="宋体" w:cs="宋体"/>
                <w:b/>
                <w:i w:val="0"/>
                <w:color w:val="000000"/>
                <w:sz w:val="18"/>
              </w:rPr>
              <w:t xml:space="preserve">1,791.04</w:t>
            </w:r>
          </w:p>
        </w:tc>
        <w:tc>
          <w:tcPr>
            <w:tcW w:w="1772" w:type="dxa"/>
            <w:tcBorders/>
            <w:vAlign w:val="center"/>
          </w:tcPr>
          <w:p>
            <w:pPr>
              <w:jc w:val="right"/>
            </w:pPr>
            <w:r>
              <w:rPr>
                <w:rFonts w:ascii="宋体" w:eastAsia="宋体" w:hAnsi="宋体" w:cs="宋体"/>
                <w:b/>
                <w:i w:val="0"/>
                <w:color w:val="000000"/>
                <w:sz w:val="18"/>
              </w:rPr>
              <w:t xml:space="preserve">614.88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w:t>
            </w:r>
          </w:p>
        </w:tc>
        <w:tc>
          <w:tcPr>
            <w:tcW w:w="4300" w:type="dxa"/>
            <w:tcBorders/>
            <w:vAlign w:val="center"/>
          </w:tcPr>
          <w:p>
            <w:pPr>
              <w:jc w:val="left"/>
            </w:pPr>
            <w:r>
              <w:rPr>
                <w:rFonts w:ascii="宋体" w:eastAsia="宋体" w:hAnsi="宋体" w:cs="宋体"/>
                <w:b w:val="0"/>
                <w:i w:val="0"/>
                <w:color w:val="000000"/>
                <w:sz w:val="18"/>
              </w:rPr>
              <w:t xml:space="preserve">教育支出</w:t>
            </w:r>
          </w:p>
        </w:tc>
        <w:tc>
          <w:tcPr>
            <w:tcW w:w="1780" w:type="dxa"/>
            <w:tcBorders/>
            <w:vAlign w:val="center"/>
          </w:tcPr>
          <w:p>
            <w:pPr>
              <w:jc w:val="right"/>
            </w:pPr>
            <w:r>
              <w:rPr>
                <w:rFonts w:ascii="宋体" w:eastAsia="宋体" w:hAnsi="宋体" w:cs="宋体"/>
                <w:b w:val="0"/>
                <w:i w:val="0"/>
                <w:color w:val="000000"/>
                <w:sz w:val="18"/>
              </w:rPr>
              <w:t xml:space="preserve">2,356.21</w:t>
            </w:r>
          </w:p>
        </w:tc>
        <w:tc>
          <w:tcPr>
            <w:tcW w:w="1780" w:type="dxa"/>
            <w:tcBorders/>
            <w:vAlign w:val="center"/>
          </w:tcPr>
          <w:p>
            <w:pPr>
              <w:jc w:val="right"/>
            </w:pPr>
            <w:r>
              <w:rPr>
                <w:rFonts w:ascii="宋体" w:eastAsia="宋体" w:hAnsi="宋体" w:cs="宋体"/>
                <w:b w:val="0"/>
                <w:i w:val="0"/>
                <w:color w:val="000000"/>
                <w:sz w:val="18"/>
              </w:rPr>
              <w:t xml:space="preserve">1,741.32</w:t>
            </w:r>
          </w:p>
        </w:tc>
        <w:tc>
          <w:tcPr>
            <w:tcW w:w="1772" w:type="dxa"/>
            <w:tcBorders/>
            <w:vAlign w:val="center"/>
          </w:tcPr>
          <w:p>
            <w:pPr>
              <w:jc w:val="right"/>
            </w:pPr>
            <w:r>
              <w:rPr>
                <w:rFonts w:ascii="宋体" w:eastAsia="宋体" w:hAnsi="宋体" w:cs="宋体"/>
                <w:b w:val="0"/>
                <w:i w:val="0"/>
                <w:color w:val="000000"/>
                <w:sz w:val="18"/>
              </w:rPr>
              <w:t xml:space="preserve">614.88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w:t>
            </w:r>
          </w:p>
        </w:tc>
        <w:tc>
          <w:tcPr>
            <w:tcW w:w="4300" w:type="dxa"/>
            <w:tcBorders/>
            <w:vAlign w:val="center"/>
          </w:tcPr>
          <w:p>
            <w:pPr>
              <w:jc w:val="left"/>
            </w:pPr>
            <w:r>
              <w:rPr>
                <w:rFonts w:ascii="宋体" w:eastAsia="宋体" w:hAnsi="宋体" w:cs="宋体"/>
                <w:b w:val="0"/>
                <w:i w:val="0"/>
                <w:color w:val="000000"/>
                <w:sz w:val="18"/>
              </w:rPr>
              <w:t xml:space="preserve">普通教育</w:t>
            </w:r>
          </w:p>
        </w:tc>
        <w:tc>
          <w:tcPr>
            <w:tcW w:w="1780" w:type="dxa"/>
            <w:tcBorders/>
            <w:vAlign w:val="center"/>
          </w:tcPr>
          <w:p>
            <w:pPr>
              <w:jc w:val="right"/>
            </w:pPr>
            <w:r>
              <w:rPr>
                <w:rFonts w:ascii="宋体" w:eastAsia="宋体" w:hAnsi="宋体" w:cs="宋体"/>
                <w:b w:val="0"/>
                <w:i w:val="0"/>
                <w:color w:val="000000"/>
                <w:sz w:val="18"/>
              </w:rPr>
              <w:t xml:space="preserve">2,314.99</w:t>
            </w:r>
          </w:p>
        </w:tc>
        <w:tc>
          <w:tcPr>
            <w:tcW w:w="1780" w:type="dxa"/>
            <w:tcBorders/>
            <w:vAlign w:val="center"/>
          </w:tcPr>
          <w:p>
            <w:pPr>
              <w:jc w:val="right"/>
            </w:pPr>
            <w:r>
              <w:rPr>
                <w:rFonts w:ascii="宋体" w:eastAsia="宋体" w:hAnsi="宋体" w:cs="宋体"/>
                <w:b w:val="0"/>
                <w:i w:val="0"/>
                <w:color w:val="000000"/>
                <w:sz w:val="18"/>
              </w:rPr>
              <w:t xml:space="preserve">1,741.32</w:t>
            </w:r>
          </w:p>
        </w:tc>
        <w:tc>
          <w:tcPr>
            <w:tcW w:w="1772" w:type="dxa"/>
            <w:tcBorders/>
            <w:vAlign w:val="center"/>
          </w:tcPr>
          <w:p>
            <w:pPr>
              <w:jc w:val="right"/>
            </w:pPr>
            <w:r>
              <w:rPr>
                <w:rFonts w:ascii="宋体" w:eastAsia="宋体" w:hAnsi="宋体" w:cs="宋体"/>
                <w:b w:val="0"/>
                <w:i w:val="0"/>
                <w:color w:val="000000"/>
                <w:sz w:val="18"/>
              </w:rPr>
              <w:t xml:space="preserve">573.66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2050202</w:t>
            </w:r>
          </w:p>
        </w:tc>
        <w:tc>
          <w:tcPr>
            <w:tcW w:w="4300" w:type="dxa"/>
            <w:tcBorders/>
            <w:vAlign w:val="center"/>
          </w:tcPr>
          <w:p>
            <w:pPr>
              <w:jc w:val="left"/>
            </w:pPr>
            <w:r>
              <w:rPr>
                <w:rFonts w:ascii="宋体" w:eastAsia="宋体" w:hAnsi="宋体" w:cs="宋体"/>
                <w:b w:val="0"/>
                <w:i w:val="0"/>
                <w:color w:val="000000"/>
                <w:sz w:val="18"/>
              </w:rPr>
              <w:t xml:space="preserve">小学教育</w:t>
            </w:r>
          </w:p>
        </w:tc>
        <w:tc>
          <w:tcPr>
            <w:tcW w:w="1780" w:type="dxa"/>
            <w:tcBorders/>
            <w:vAlign w:val="center"/>
          </w:tcPr>
          <w:p>
            <w:pPr>
              <w:jc w:val="right"/>
            </w:pPr>
            <w:r>
              <w:rPr>
                <w:rFonts w:ascii="宋体" w:eastAsia="宋体" w:hAnsi="宋体" w:cs="宋体"/>
                <w:b w:val="0"/>
                <w:i w:val="0"/>
                <w:color w:val="000000"/>
                <w:sz w:val="18"/>
              </w:rPr>
              <w:t xml:space="preserve">2,314.99</w:t>
            </w:r>
          </w:p>
        </w:tc>
        <w:tc>
          <w:tcPr>
            <w:tcW w:w="1780" w:type="dxa"/>
            <w:tcBorders/>
            <w:vAlign w:val="center"/>
          </w:tcPr>
          <w:p>
            <w:pPr>
              <w:jc w:val="right"/>
            </w:pPr>
            <w:r>
              <w:rPr>
                <w:rFonts w:ascii="宋体" w:eastAsia="宋体" w:hAnsi="宋体" w:cs="宋体"/>
                <w:b w:val="0"/>
                <w:i w:val="0"/>
                <w:color w:val="000000"/>
                <w:sz w:val="18"/>
              </w:rPr>
              <w:t xml:space="preserve">1,741.32</w:t>
            </w:r>
          </w:p>
        </w:tc>
        <w:tc>
          <w:tcPr>
            <w:tcW w:w="1772" w:type="dxa"/>
            <w:tcBorders/>
            <w:vAlign w:val="center"/>
          </w:tcPr>
          <w:p>
            <w:pPr>
              <w:jc w:val="right"/>
            </w:pPr>
            <w:r>
              <w:rPr>
                <w:rFonts w:ascii="宋体" w:eastAsia="宋体" w:hAnsi="宋体" w:cs="宋体"/>
                <w:b w:val="0"/>
                <w:i w:val="0"/>
                <w:color w:val="000000"/>
                <w:sz w:val="18"/>
              </w:rPr>
              <w:t xml:space="preserve">573.66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20509</w:t>
            </w:r>
          </w:p>
        </w:tc>
        <w:tc>
          <w:tcPr>
            <w:tcW w:w="4300" w:type="dxa"/>
            <w:tcBorders/>
            <w:vAlign w:val="center"/>
          </w:tcPr>
          <w:p>
            <w:pPr>
              <w:jc w:val="left"/>
            </w:pPr>
            <w:r>
              <w:rPr>
                <w:rFonts w:ascii="宋体" w:eastAsia="宋体" w:hAnsi="宋体" w:cs="宋体"/>
                <w:b w:val="0"/>
                <w:i w:val="0"/>
                <w:color w:val="000000"/>
                <w:sz w:val="18"/>
              </w:rPr>
              <w:t xml:space="preserve">教育费附加安排的支出</w:t>
            </w:r>
          </w:p>
        </w:tc>
        <w:tc>
          <w:tcPr>
            <w:tcW w:w="1780" w:type="dxa"/>
            <w:tcBorders/>
            <w:vAlign w:val="center"/>
          </w:tcPr>
          <w:p>
            <w:pPr>
              <w:jc w:val="right"/>
            </w:pPr>
            <w:r>
              <w:rPr>
                <w:rFonts w:ascii="宋体" w:eastAsia="宋体" w:hAnsi="宋体" w:cs="宋体"/>
                <w:b w:val="0"/>
                <w:i w:val="0"/>
                <w:color w:val="000000"/>
                <w:sz w:val="18"/>
              </w:rPr>
              <w:t xml:space="preserve">41.22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41.22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2050999</w:t>
            </w:r>
          </w:p>
        </w:tc>
        <w:tc>
          <w:tcPr>
            <w:tcW w:w="4300" w:type="dxa"/>
            <w:tcBorders/>
            <w:vAlign w:val="center"/>
          </w:tcPr>
          <w:p>
            <w:pPr>
              <w:jc w:val="left"/>
            </w:pPr>
            <w:r>
              <w:rPr>
                <w:rFonts w:ascii="宋体" w:eastAsia="宋体" w:hAnsi="宋体" w:cs="宋体"/>
                <w:b w:val="0"/>
                <w:i w:val="0"/>
                <w:color w:val="000000"/>
                <w:sz w:val="18"/>
              </w:rPr>
              <w:t xml:space="preserve">其他教育费附加安排的支出</w:t>
            </w:r>
          </w:p>
        </w:tc>
        <w:tc>
          <w:tcPr>
            <w:tcW w:w="1780" w:type="dxa"/>
            <w:tcBorders/>
            <w:vAlign w:val="center"/>
          </w:tcPr>
          <w:p>
            <w:pPr>
              <w:jc w:val="right"/>
            </w:pPr>
            <w:r>
              <w:rPr>
                <w:rFonts w:ascii="宋体" w:eastAsia="宋体" w:hAnsi="宋体" w:cs="宋体"/>
                <w:b w:val="0"/>
                <w:i w:val="0"/>
                <w:color w:val="000000"/>
                <w:sz w:val="18"/>
              </w:rPr>
              <w:t xml:space="preserve">41.22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41.22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49.72</w:t>
            </w:r>
          </w:p>
        </w:tc>
        <w:tc>
          <w:tcPr>
            <w:tcW w:w="1780" w:type="dxa"/>
            <w:tcBorders/>
            <w:vAlign w:val="center"/>
          </w:tcPr>
          <w:p>
            <w:pPr>
              <w:jc w:val="right"/>
            </w:pPr>
            <w:r>
              <w:rPr>
                <w:rFonts w:ascii="宋体" w:eastAsia="宋体" w:hAnsi="宋体" w:cs="宋体"/>
                <w:b w:val="0"/>
                <w:i w:val="0"/>
                <w:color w:val="000000"/>
                <w:sz w:val="18"/>
              </w:rPr>
              <w:t xml:space="preserve">49.72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49.72</w:t>
            </w:r>
          </w:p>
        </w:tc>
        <w:tc>
          <w:tcPr>
            <w:tcW w:w="1780" w:type="dxa"/>
            <w:tcBorders/>
            <w:vAlign w:val="center"/>
          </w:tcPr>
          <w:p>
            <w:pPr>
              <w:jc w:val="right"/>
            </w:pPr>
            <w:r>
              <w:rPr>
                <w:rFonts w:ascii="宋体" w:eastAsia="宋体" w:hAnsi="宋体" w:cs="宋体"/>
                <w:b w:val="0"/>
                <w:i w:val="0"/>
                <w:color w:val="000000"/>
                <w:sz w:val="18"/>
              </w:rPr>
              <w:t xml:space="preserve">49.72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20.71</w:t>
            </w:r>
          </w:p>
        </w:tc>
        <w:tc>
          <w:tcPr>
            <w:tcW w:w="1780" w:type="dxa"/>
            <w:tcBorders/>
            <w:vAlign w:val="center"/>
          </w:tcPr>
          <w:p>
            <w:pPr>
              <w:jc w:val="right"/>
            </w:pPr>
            <w:r>
              <w:rPr>
                <w:rFonts w:ascii="宋体" w:eastAsia="宋体" w:hAnsi="宋体" w:cs="宋体"/>
                <w:b w:val="0"/>
                <w:i w:val="0"/>
                <w:color w:val="000000"/>
                <w:sz w:val="18"/>
              </w:rPr>
              <w:t xml:space="preserve">20.71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29.01</w:t>
            </w:r>
          </w:p>
        </w:tc>
        <w:tc>
          <w:tcPr>
            <w:tcW w:w="1780" w:type="dxa"/>
            <w:tcBorders/>
            <w:vAlign w:val="center"/>
          </w:tcPr>
          <w:p>
            <w:pPr>
              <w:jc w:val="right"/>
            </w:pPr>
            <w:r>
              <w:rPr>
                <w:rFonts w:ascii="宋体" w:eastAsia="宋体" w:hAnsi="宋体" w:cs="宋体"/>
                <w:b w:val="0"/>
                <w:i w:val="0"/>
                <w:color w:val="000000"/>
                <w:sz w:val="18"/>
              </w:rPr>
              <w:t xml:space="preserve">29.01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单位：辽宁省沈阳市浑南区白塔小学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1,683.06</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35.39</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632.83</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5.58</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211.82</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jc w:val="right"/>
            </w:pPr>
            <w:r>
              <w:rPr>
                <w:rFonts w:ascii="宋体" w:eastAsia="宋体" w:hAnsi="宋体" w:cs="宋体"/>
                <w:b w:val="0"/>
                <w:i w:val="0"/>
                <w:color w:val="000000"/>
                <w:sz w:val="14"/>
              </w:rPr>
              <w:t xml:space="preserve">0.01</w:t>
            </w: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52.38</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19.89</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405.60</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221.14</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29.01</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101.75</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jc w:val="right"/>
            </w:pPr>
            <w:r>
              <w:rPr>
                <w:rFonts w:ascii="宋体" w:eastAsia="宋体" w:hAnsi="宋体" w:cs="宋体"/>
                <w:b w:val="0"/>
                <w:i w:val="0"/>
                <w:color w:val="000000"/>
                <w:sz w:val="14"/>
              </w:rPr>
              <w:t xml:space="preserve">2.03</w:t>
            </w: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8.64</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1.48</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jc w:val="right"/>
            </w:pPr>
            <w:r>
              <w:rPr>
                <w:rFonts w:ascii="宋体" w:eastAsia="宋体" w:hAnsi="宋体" w:cs="宋体"/>
                <w:b w:val="0"/>
                <w:i w:val="0"/>
                <w:color w:val="000000"/>
                <w:sz w:val="14"/>
              </w:rPr>
              <w:t xml:space="preserve">3.40</w:t>
            </w: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72.59</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jc w:val="right"/>
            </w:pPr>
            <w:r>
              <w:rPr>
                <w:rFonts w:ascii="宋体" w:eastAsia="宋体" w:hAnsi="宋体" w:cs="宋体"/>
                <w:b w:val="0"/>
                <w:i w:val="0"/>
                <w:color w:val="000000"/>
                <w:sz w:val="14"/>
              </w:rPr>
              <w:t xml:space="preserve">0.26</w:t>
            </w: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jc w:val="right"/>
            </w:pPr>
            <w:r>
              <w:rPr>
                <w:rFonts w:ascii="宋体" w:eastAsia="宋体" w:hAnsi="宋体" w:cs="宋体"/>
                <w:b w:val="0"/>
                <w:i w:val="0"/>
                <w:color w:val="000000"/>
                <w:sz w:val="14"/>
              </w:rPr>
              <w:t xml:space="preserve">0.43</w:t>
            </w: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20.71</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jc w:val="right"/>
            </w:pPr>
            <w:r>
              <w:rPr>
                <w:rFonts w:ascii="宋体" w:eastAsia="宋体" w:hAnsi="宋体" w:cs="宋体"/>
                <w:b w:val="0"/>
                <w:i w:val="0"/>
                <w:color w:val="000000"/>
                <w:sz w:val="14"/>
              </w:rPr>
              <w:t xml:space="preserve">5.70</w:t>
            </w: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jc w:val="right"/>
            </w:pPr>
            <w:r>
              <w:rPr>
                <w:rFonts w:ascii="宋体" w:eastAsia="宋体" w:hAnsi="宋体" w:cs="宋体"/>
                <w:b w:val="0"/>
                <w:i w:val="0"/>
                <w:color w:val="000000"/>
                <w:sz w:val="14"/>
              </w:rPr>
              <w:t xml:space="preserve">35.23</w:t>
            </w: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16.65</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jc w:val="right"/>
            </w:pPr>
            <w:r>
              <w:rPr>
                <w:rFonts w:ascii="宋体" w:eastAsia="宋体" w:hAnsi="宋体" w:cs="宋体"/>
                <w:b w:val="0"/>
                <w:i w:val="0"/>
                <w:color w:val="000000"/>
                <w:sz w:val="14"/>
              </w:rPr>
              <w:t xml:space="preserve">1.50</w:t>
            </w: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14.99</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1,755.65</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35.39</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单位：辽宁省沈阳市浑南区白塔小学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单位：辽宁省沈阳市浑南区白塔小学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单位：辽宁省沈阳市浑南区白塔小学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023031沈阳市浑南区白塔小学-210112000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2087.08</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2087.08</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基本支出公用经费(保基本民生)</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20.40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20.39</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133.10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133.09</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14.99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14.98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1622.55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1622.55</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我校会积极配合上级部门工作，完成上级部门交办的各项任务</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我校会积极配合上级部门工作，完成上级部门交办的各项任务</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提高教师队伍普通话水平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全部完成</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发放补助对象满意度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社会公众对教育事业发展满意度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人事制度改革</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项</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实施专业结构优化调整</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顺利完成</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城乡义务教育补助经费-2024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沈阳市浑南区白塔小学-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117.83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117.83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教师绩效-2024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沈阳市浑南区白塔小学-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161.87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161.87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理的义务教育学校教师绩效工资政策可以满足不同主体的价值选择,充分发挥工资的激励性作用,它适合教育发展规律,有利于促进义务教育的健康发展。教师绩效工资政策应该有效消除绩效工资政策中的价值冲突,统一教育的公平与效率,提高绩效工资激励作用的有效性。"1.教师2000元/人/月，全系统在编教师3149名*12*2000=7557.6万元，区合同制教师629名*12*2000=1509.6万元，全年绩效工资9067.2万元；2.正校级3000元/人/月，全系统120名正校级干部,120人*12*3000=432万元。3.计划新招聘教师400名，400人*2000元*4个月=320万；4.合作办学校长1人（侯明飞）每月8000元，副校级1人（时泉）每月5000元，共计15.6万元。共计9834.8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理的义务教育学校教师绩效工资政策可以满足不同主体的价值选择,充分发挥工资的激励性作用,它适合教育发展规律,有利于促进义务教育的健康发展。教师绩效工资政策应该有效消除绩效工资政策中的价值冲突,统一教育的公平与效率,提高绩效工资激励作用的有效性。"1.教师2000元/人/月，全系统在编教师3149名*12*2000=7557.6万元，区合同制教师629名*12*2000=1509.6万元，全年绩效工资9067.2万元；2.正校级3000元/人/月，全系统120名正校级干部,120人*12*3000=432万元。3.计划新招聘教师400名，400人*2000元*4个月=320万；4.合作办学校长1人（侯明飞）每月8000元，副校级1人（时泉）每月5000元，共计15.6万元。共计9834.8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区聘教师经费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沈阳市浑南区白塔小学-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12.81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12.81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辽宁省事业单位工作人员奖励实施细则》（辽人社规【2020年】1号）、《浑南新区教育系统合同聘用制教师管理办法》，1.现有区聘教师632人。1.工会经费：1291.776元*632人=81.65万元。2.福利费：632人×120元=7.584万元。3.医疗补助：19.07万。4.取暖补贴：144.144万。5.党员活动费1.75万，伙食补贴119.448万元。共计373.646万元。2.合同制教师2023年考核奖励，考核结果优秀即为嘉奖，奖金标准为1500元/人，人数为总人数的20%，考核结果为记功，奖金标准为3000元/人，人数为总人数的2%。22.752万元。共计396.398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辽宁省事业单位工作人员奖励实施细则》（辽人社规【2020年】1号）、《浑南新区教育系统合同聘用制教师管理办法》，1.现有区聘教师632人。1.工会经费：1291.776元*632人=81.65万元。2.福利费：632人×120元=7.584万元。3.医疗补助：19.07万。4.取暖补贴：144.144万。5.党员活动费1.75万，伙食补贴119.448万元。共计373.646万元。2.合同制教师2023年考核奖励，考核结果优秀即为嘉奖，奖金标准为1500元/人，人数为总人数的20%，考核结果为记功，奖金标准为3000元/人，人数为总人数的2%。22.752万元。共计396.398万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信访维稳工作经费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沈阳市浑南区白塔小学-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208.17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208.17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据2020年第57次《区长办公会议纪要》中共浑南区委_浑南区人民政府关于印发《浑南区关于新时代教师队伍建设改革的实施意见（试行）》的通知，中共沈阳市浑南区信访工作联席会议会议纪要，"信访维稳经费1、李慧颖补助费2451.79*12=29421.48元。2、徐淑珍取暖费2210元。3、维稳经费118368.52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据2020年第57次《区长办公会议纪要》中共浑南区委_浑南区人民政府关于印发《浑南区关于新时代教师队伍建设改革的实施意见（试行）》的通知，中共沈阳市浑南区信访工作联席会议会议纪要，"信访维稳经费1、李慧颖补助费2451.79*12=29421.48元。2、徐淑珍取暖费2210元。3、维稳经费118368.52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学生资助-2024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沈阳市浑南区白塔小学-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沈阳市财政局 沈阳市教育局转发省财政厅 省教育厅关于建立学前教育资助的意见的通知 沈财教[2013]441号 ，关于完善义务教育家庭经济困难学生生活补助政策的通知 辽财教〔2018〕654号，关于完善义务教育家庭经济困难学生生活补助政策的通知 辽财教〔2018〕655号，关于进一步明确普通高中政府助学金资助政策相关事宜的通知 沈教发〔2010〕89号，沈阳市财政局 沈阳市教育局 关于沈阳市实施普通高中家庭经济困难学生免学杂费政策的通知 沈财教〔2016〕804号，沈阳市财政局 沈阳市教育局 关于沈阳市实施普通高中家庭经济困难学生免学杂费政策的通知 沈财教〔2016〕804号，关于扩大中等职业教育免学费政策范围进一步完善国家助学金制度的意见 辽财教〔2012〕915号2024年学前资助资金2.4万元，2024年义教（小学）资助资金19.95万元，2024年义教（初中）资助资金19.95万，其中住宿生资助资金为1.875万元，非住宿生资助资金12.15万元，2024年高中助学金资助资金39.2万元，24年高中免学杂费资助资金22.68万元，2024年中职助学金资助，目标可实施</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沈阳市财政局 沈阳市教育局转发省财政厅 省教育厅关于建立学前教育资助的意见的通知 沈财教[2013]441号 ，关于完善义务教育家庭经济困难学生生活补助政策的通知 辽财教〔2018〕654号，关于完善义务教育家庭经济困难学生生活补助政策的通知 辽财教〔2018〕655号，关于进一步明确普通高中政府助学金资助政策相关事宜的通知 沈教发〔2010〕89号，沈阳市财政局 沈阳市教育局 关于沈阳市实施普通高中家庭经济困难学生免学杂费政策的通知 沈财教〔2016〕804号，沈阳市财政局 沈阳市教育局 关于沈阳市实施普通高中家庭经济困难学生免学杂费政策的通知 沈财教〔2016〕804号，关于扩大中等职业教育免学费政策范围进一步完善国家助学金制度的意见 辽财教〔2012〕915号2024年学前资助资金2.4万元，2024年义教（小学）资助资金19.95万元，2024年义教（初中）资助资金19.95万，其中住宿生资助资金为1.875万元，非住宿生资助资金12.15万元，2024年高中助学金资助资金39.2万元，24年高中免学杂费资助资金22.68万元，2024年中职助学金资助，目标可实施</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