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辽宁省沈阳市浑南区民政事务服务中心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辽宁省沈阳市浑南区民政事务服务中心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辽宁省沈阳市浑南区民政事务服务中心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辽宁省沈阳市浑南区民政事务服务中心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辽宁省沈阳市浑南区民政事务服务中心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辽宁省沈阳市浑南区民政事务服务中心概况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（一）贯彻执行国家、省、市关于民政工作的方针、政策和法律、法规、规章及省委、市委有关要求，协助民政局拟订全区民政事业发展规划和相关政策并组织实施。</w:t>
        <w:br/>
        <w:t xml:space="preserve">    （二）负责全区社会救助申请人家庭经济状况的核对等工作。</w:t>
        <w:br/>
        <w:t xml:space="preserve">    （三）负责婚姻登记、婚姻服务、婚姻教育等工作；受区政府相关部门委托，开展婚姻登记有关工作。</w:t>
        <w:br/>
        <w:t xml:space="preserve">    （四）负责为集中供养特困人员提供生活照料；负责料理丧葬事宜。</w:t>
        <w:br/>
        <w:t xml:space="preserve">    （五）负责行使行政主管部门委托的贯彻落实殡葬管理政策、法规、规章并组织实施；负责殡葬服务行业的监督管理工作；负责民营殡葬单位的殡葬设施、设备安全监督工作；承办公墓的审批报批工作。</w:t>
        <w:br/>
        <w:t xml:space="preserve">    （六）拟订全区社会福利事业发展规划、政策和标准并组织实施，推进慈善事业发展，组织、指导社会捐助工作。</w:t>
        <w:br/>
        <w:t xml:space="preserve">    （七）承担困境儿童救助、临时监护、教育、康复、医疗、关爱帮扶、政策宣传等工作。</w:t>
        <w:br/>
        <w:t xml:space="preserve">    （八）承担区委、区政府及区民政局交办的其他事项。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辽宁省沈阳市浑南区民政事务服务中心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沈阳市浑南区民政事务服务中心，本单位无下设机构。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1860.47</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777.31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41.78</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777.31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1083.17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58.22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主要是历史遗留以前年度结余等。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增加17.81万元，增长0.97%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单位工作人员增加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777.31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318.06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40.92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工资福利支出297.83万元；商品和服务支出17.28万元；对个人和家庭的补助2.94万元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459.25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59.08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主要包括浑南区街道社会工作和社会救助服务站经费、社会福利事业等业务支出。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增加17.81万元，增长2.35%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基本支出增加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1083.17</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主要是历史遗留以前年度结余等原因形成的结余。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结转结余在本年度未发生改变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777.31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318.06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459.25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增加17.81万元，增长2.35%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单位工作人员增加，基本支出增加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73.94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89.07</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66.16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2024年度一般公共预算财政拨款支出777.31万元。按支出功能分类科目分，包括：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1.社会保障和就业支出732.62万元，具体包括：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基层政权建设和社区治理（项）98.15万元,主要是浑南区街道社会工作和社会救助服务站项目经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民政管理事务（款）其他民政管理事务支出（项）249.77万元,主要是事业单位人员工资、五险一金各项福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事业单位离退休（项）2.94万元,主要是事业单位退休人员取暖费补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基本养老保险缴费支出（项）30.80万元,主要是机关事业单位基本养老保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（5）社会保障和就业支出（类）社会福利（款）殡葬（项）170.21万元,主要是基本殡葬减免服务等支出，完成年初预算的88.08%，决算数与年初预算数存在差异的主要原因是财力紧张，资金暂缓支付。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社会福利（款）社会福利事业单位（项）180.75万元,主要是浑南区中心敬老院福利机构各项经费等支出，完成年初预算的65.25%，决算数与年初预算数存在差异的主要原因是敬老院临时工人数变动，财力紧张，资金暂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2.卫生健康支出13.58万元，具体包括：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13.58万元,主要是医疗保险单位部分等支出，完成年初预算的118.6%，决算数与年初预算数存在差异的主要原因是人员增加，调整医保缴费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3.住房保障支出31.12万元，具体包括：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（1）住房保障支出（类）住房改革支出（款）住房公积金（项）31.12万元,主要是每月公积金单位部分等支出，完成年初预算的63.78%，决算数与年初预算数存在差异的主要原因是人员调动。</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无此业务发生</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318.05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300.77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17.28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我单位为事业单位，无机关运行经费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具体而言，本年度我部门共组织对16个项目实施了绩效评价。从预算资金来源看，涉及一般公共预算的项目16个，涉及政府性基金预算的项目0个，涉及国有资本经营预算的项目0个。</w:t>
        <w:br/>
        <w:t xml:space="preserve">    上述评价工作共涉及财政资金459.25万元。其中，一般公共预算资金459.25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7个；得分在80分（含）至90分、等级为“良”的项目有1个；得分在60分（含）至80分、等级为“中”的项目有0个；得分在60分以下、等级为“差”的项目有8个。各项目自评发现，部分项目存在预算执行进度偏慢、财政资金紧张等问题，已要求相关项目科室分析原因并制定改进措施。</w:t>
        <w:br/>
        <w:t xml:space="preserve">    3.部门重点评价情况及结果。</w:t>
        <w:br/>
        <w:t xml:space="preserve">    在全面自评的基础上，本部门选取了3个资金量大、社会关注度高、具有代表性的重点项目实施了部门重点评价。评价工作通过数据采集分析方式进行，确保了评价结果的客观性和公正性。</w:t>
        <w:br/>
        <w:t xml:space="preserve">    我部门组织对3个项目重点评价，结果显示，被评价项目整体绩效情况良好。其中：第一个重点项目为浑南区街道社会工作和社会救助服务站项目经费，涉及资金98.15万元，评价平均分为100分，评级情况为优；第二个重点项目为殡葬减免服务经费，涉及资金181.8万元，评价平均分为99.36分，评级情况为优；第三个重点项目为敬老院工资及保险经费，涉及资金163.86万元，评价平均分为98.9分，评级情况为优。同时，评价也发现8个项目存在问题，如：绩效指标设置不够细化、资金使用效益有待进一步提升、财政资金紧张需进一步解决等。针对评价发现的问题，我们已督促项目科室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16.社会保障和就业支出（类）社会福利（款）社会福利事业单位（项）：反映民政部门举办的社会福利事业单位的支出，以及对集体社会福利事业单位的补助费。</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单位：辽宁省沈阳市浑南区民政事务服务中心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777.31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732.61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13.58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31.12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777.31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777.31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1,083.17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1,083.17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1,860.47</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1,860.47</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单位：辽宁省沈阳市浑南区民政事务服务中心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777.31</w:t>
            </w:r>
          </w:p>
        </w:tc>
        <w:tc>
          <w:tcPr>
            <w:tcW w:w="960" w:type="dxa"/>
            <w:tcBorders/>
            <w:vAlign w:val="center"/>
          </w:tcPr>
          <w:p>
            <w:pPr>
              <w:jc w:val="right"/>
            </w:pPr>
            <w:r>
              <w:rPr>
                <w:rFonts w:ascii="宋体" w:eastAsia="宋体" w:hAnsi="宋体" w:cs="宋体"/>
                <w:b/>
                <w:i w:val="0"/>
                <w:color w:val="000000"/>
                <w:sz w:val="13"/>
              </w:rPr>
              <w:t xml:space="preserve">777.31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732.62</w:t>
            </w:r>
          </w:p>
        </w:tc>
        <w:tc>
          <w:tcPr>
            <w:tcW w:w="960" w:type="dxa"/>
            <w:tcBorders/>
            <w:vAlign w:val="center"/>
          </w:tcPr>
          <w:p>
            <w:pPr>
              <w:jc w:val="right"/>
            </w:pPr>
            <w:r>
              <w:rPr>
                <w:rFonts w:ascii="宋体" w:eastAsia="宋体" w:hAnsi="宋体" w:cs="宋体"/>
                <w:b w:val="0"/>
                <w:i w:val="0"/>
                <w:color w:val="000000"/>
                <w:sz w:val="13"/>
              </w:rPr>
              <w:t xml:space="preserve">732.62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347.92</w:t>
            </w:r>
          </w:p>
        </w:tc>
        <w:tc>
          <w:tcPr>
            <w:tcW w:w="960" w:type="dxa"/>
            <w:tcBorders/>
            <w:vAlign w:val="center"/>
          </w:tcPr>
          <w:p>
            <w:pPr>
              <w:jc w:val="right"/>
            </w:pPr>
            <w:r>
              <w:rPr>
                <w:rFonts w:ascii="宋体" w:eastAsia="宋体" w:hAnsi="宋体" w:cs="宋体"/>
                <w:b w:val="0"/>
                <w:i w:val="0"/>
                <w:color w:val="000000"/>
                <w:sz w:val="13"/>
              </w:rPr>
              <w:t xml:space="preserve">347.92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98.15</w:t>
            </w:r>
          </w:p>
        </w:tc>
        <w:tc>
          <w:tcPr>
            <w:tcW w:w="960" w:type="dxa"/>
            <w:tcBorders/>
            <w:vAlign w:val="center"/>
          </w:tcPr>
          <w:p>
            <w:pPr>
              <w:jc w:val="right"/>
            </w:pPr>
            <w:r>
              <w:rPr>
                <w:rFonts w:ascii="宋体" w:eastAsia="宋体" w:hAnsi="宋体" w:cs="宋体"/>
                <w:b w:val="0"/>
                <w:i w:val="0"/>
                <w:color w:val="000000"/>
                <w:sz w:val="13"/>
              </w:rPr>
              <w:t xml:space="preserve">98.15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2080299</w:t>
            </w:r>
          </w:p>
        </w:tc>
        <w:tc>
          <w:tcPr>
            <w:tcW w:w="3200" w:type="dxa"/>
            <w:tcBorders/>
            <w:vAlign w:val="center"/>
          </w:tcPr>
          <w:p>
            <w:pPr>
              <w:jc w:val="left"/>
            </w:pPr>
            <w:r>
              <w:rPr>
                <w:rFonts w:ascii="宋体" w:eastAsia="宋体" w:hAnsi="宋体" w:cs="宋体"/>
                <w:b w:val="0"/>
                <w:i w:val="0"/>
                <w:color w:val="000000"/>
                <w:sz w:val="13"/>
              </w:rPr>
              <w:t xml:space="preserve">其他民政管理事务支出</w:t>
            </w:r>
          </w:p>
        </w:tc>
        <w:tc>
          <w:tcPr>
            <w:tcW w:w="960" w:type="dxa"/>
            <w:tcBorders/>
            <w:vAlign w:val="center"/>
          </w:tcPr>
          <w:p>
            <w:pPr>
              <w:jc w:val="right"/>
            </w:pPr>
            <w:r>
              <w:rPr>
                <w:rFonts w:ascii="宋体" w:eastAsia="宋体" w:hAnsi="宋体" w:cs="宋体"/>
                <w:b w:val="0"/>
                <w:i w:val="0"/>
                <w:color w:val="000000"/>
                <w:sz w:val="13"/>
              </w:rPr>
              <w:t xml:space="preserve">249.77</w:t>
            </w:r>
          </w:p>
        </w:tc>
        <w:tc>
          <w:tcPr>
            <w:tcW w:w="960" w:type="dxa"/>
            <w:tcBorders/>
            <w:vAlign w:val="center"/>
          </w:tcPr>
          <w:p>
            <w:pPr>
              <w:jc w:val="right"/>
            </w:pPr>
            <w:r>
              <w:rPr>
                <w:rFonts w:ascii="宋体" w:eastAsia="宋体" w:hAnsi="宋体" w:cs="宋体"/>
                <w:b w:val="0"/>
                <w:i w:val="0"/>
                <w:color w:val="000000"/>
                <w:sz w:val="13"/>
              </w:rPr>
              <w:t xml:space="preserve">249.77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33.74</w:t>
            </w:r>
          </w:p>
        </w:tc>
        <w:tc>
          <w:tcPr>
            <w:tcW w:w="960" w:type="dxa"/>
            <w:tcBorders/>
            <w:vAlign w:val="center"/>
          </w:tcPr>
          <w:p>
            <w:pPr>
              <w:jc w:val="right"/>
            </w:pPr>
            <w:r>
              <w:rPr>
                <w:rFonts w:ascii="宋体" w:eastAsia="宋体" w:hAnsi="宋体" w:cs="宋体"/>
                <w:b w:val="0"/>
                <w:i w:val="0"/>
                <w:color w:val="000000"/>
                <w:sz w:val="13"/>
              </w:rPr>
              <w:t xml:space="preserve">33.74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2.94</w:t>
            </w:r>
          </w:p>
        </w:tc>
        <w:tc>
          <w:tcPr>
            <w:tcW w:w="960" w:type="dxa"/>
            <w:tcBorders/>
            <w:vAlign w:val="center"/>
          </w:tcPr>
          <w:p>
            <w:pPr>
              <w:jc w:val="right"/>
            </w:pPr>
            <w:r>
              <w:rPr>
                <w:rFonts w:ascii="宋体" w:eastAsia="宋体" w:hAnsi="宋体" w:cs="宋体"/>
                <w:b w:val="0"/>
                <w:i w:val="0"/>
                <w:color w:val="000000"/>
                <w:sz w:val="13"/>
              </w:rPr>
              <w:t xml:space="preserve">2.94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30.80</w:t>
            </w:r>
          </w:p>
        </w:tc>
        <w:tc>
          <w:tcPr>
            <w:tcW w:w="960" w:type="dxa"/>
            <w:tcBorders/>
            <w:vAlign w:val="center"/>
          </w:tcPr>
          <w:p>
            <w:pPr>
              <w:jc w:val="right"/>
            </w:pPr>
            <w:r>
              <w:rPr>
                <w:rFonts w:ascii="宋体" w:eastAsia="宋体" w:hAnsi="宋体" w:cs="宋体"/>
                <w:b w:val="0"/>
                <w:i w:val="0"/>
                <w:color w:val="000000"/>
                <w:sz w:val="13"/>
              </w:rPr>
              <w:t xml:space="preserve">30.80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w:t>
            </w:r>
          </w:p>
        </w:tc>
        <w:tc>
          <w:tcPr>
            <w:tcW w:w="3200" w:type="dxa"/>
            <w:tcBorders/>
            <w:vAlign w:val="center"/>
          </w:tcPr>
          <w:p>
            <w:pPr>
              <w:jc w:val="left"/>
            </w:pPr>
            <w:r>
              <w:rPr>
                <w:rFonts w:ascii="宋体" w:eastAsia="宋体" w:hAnsi="宋体" w:cs="宋体"/>
                <w:b w:val="0"/>
                <w:i w:val="0"/>
                <w:color w:val="000000"/>
                <w:sz w:val="13"/>
              </w:rPr>
              <w:t xml:space="preserve">社会福利</w:t>
            </w:r>
          </w:p>
        </w:tc>
        <w:tc>
          <w:tcPr>
            <w:tcW w:w="960" w:type="dxa"/>
            <w:tcBorders/>
            <w:vAlign w:val="center"/>
          </w:tcPr>
          <w:p>
            <w:pPr>
              <w:jc w:val="right"/>
            </w:pPr>
            <w:r>
              <w:rPr>
                <w:rFonts w:ascii="宋体" w:eastAsia="宋体" w:hAnsi="宋体" w:cs="宋体"/>
                <w:b w:val="0"/>
                <w:i w:val="0"/>
                <w:color w:val="000000"/>
                <w:sz w:val="13"/>
              </w:rPr>
              <w:t xml:space="preserve">350.96</w:t>
            </w:r>
          </w:p>
        </w:tc>
        <w:tc>
          <w:tcPr>
            <w:tcW w:w="960" w:type="dxa"/>
            <w:tcBorders/>
            <w:vAlign w:val="center"/>
          </w:tcPr>
          <w:p>
            <w:pPr>
              <w:jc w:val="right"/>
            </w:pPr>
            <w:r>
              <w:rPr>
                <w:rFonts w:ascii="宋体" w:eastAsia="宋体" w:hAnsi="宋体" w:cs="宋体"/>
                <w:b w:val="0"/>
                <w:i w:val="0"/>
                <w:color w:val="000000"/>
                <w:sz w:val="13"/>
              </w:rPr>
              <w:t xml:space="preserve">350.96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2081004</w:t>
            </w:r>
          </w:p>
        </w:tc>
        <w:tc>
          <w:tcPr>
            <w:tcW w:w="3200" w:type="dxa"/>
            <w:tcBorders/>
            <w:vAlign w:val="center"/>
          </w:tcPr>
          <w:p>
            <w:pPr>
              <w:jc w:val="left"/>
            </w:pPr>
            <w:r>
              <w:rPr>
                <w:rFonts w:ascii="宋体" w:eastAsia="宋体" w:hAnsi="宋体" w:cs="宋体"/>
                <w:b w:val="0"/>
                <w:i w:val="0"/>
                <w:color w:val="000000"/>
                <w:sz w:val="13"/>
              </w:rPr>
              <w:t xml:space="preserve">殡葬</w:t>
            </w:r>
          </w:p>
        </w:tc>
        <w:tc>
          <w:tcPr>
            <w:tcW w:w="960" w:type="dxa"/>
            <w:tcBorders/>
            <w:vAlign w:val="center"/>
          </w:tcPr>
          <w:p>
            <w:pPr>
              <w:jc w:val="right"/>
            </w:pPr>
            <w:r>
              <w:rPr>
                <w:rFonts w:ascii="宋体" w:eastAsia="宋体" w:hAnsi="宋体" w:cs="宋体"/>
                <w:b w:val="0"/>
                <w:i w:val="0"/>
                <w:color w:val="000000"/>
                <w:sz w:val="13"/>
              </w:rPr>
              <w:t xml:space="preserve">170.21</w:t>
            </w:r>
          </w:p>
        </w:tc>
        <w:tc>
          <w:tcPr>
            <w:tcW w:w="960" w:type="dxa"/>
            <w:tcBorders/>
            <w:vAlign w:val="center"/>
          </w:tcPr>
          <w:p>
            <w:pPr>
              <w:jc w:val="right"/>
            </w:pPr>
            <w:r>
              <w:rPr>
                <w:rFonts w:ascii="宋体" w:eastAsia="宋体" w:hAnsi="宋体" w:cs="宋体"/>
                <w:b w:val="0"/>
                <w:i w:val="0"/>
                <w:color w:val="000000"/>
                <w:sz w:val="13"/>
              </w:rPr>
              <w:t xml:space="preserve">170.21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2081005</w:t>
            </w:r>
          </w:p>
        </w:tc>
        <w:tc>
          <w:tcPr>
            <w:tcW w:w="3200" w:type="dxa"/>
            <w:tcBorders/>
            <w:vAlign w:val="center"/>
          </w:tcPr>
          <w:p>
            <w:pPr>
              <w:jc w:val="left"/>
            </w:pPr>
            <w:r>
              <w:rPr>
                <w:rFonts w:ascii="宋体" w:eastAsia="宋体" w:hAnsi="宋体" w:cs="宋体"/>
                <w:b w:val="0"/>
                <w:i w:val="0"/>
                <w:color w:val="000000"/>
                <w:sz w:val="13"/>
              </w:rPr>
              <w:t xml:space="preserve">社会福利事业单位</w:t>
            </w:r>
          </w:p>
        </w:tc>
        <w:tc>
          <w:tcPr>
            <w:tcW w:w="960" w:type="dxa"/>
            <w:tcBorders/>
            <w:vAlign w:val="center"/>
          </w:tcPr>
          <w:p>
            <w:pPr>
              <w:jc w:val="right"/>
            </w:pPr>
            <w:r>
              <w:rPr>
                <w:rFonts w:ascii="宋体" w:eastAsia="宋体" w:hAnsi="宋体" w:cs="宋体"/>
                <w:b w:val="0"/>
                <w:i w:val="0"/>
                <w:color w:val="000000"/>
                <w:sz w:val="13"/>
              </w:rPr>
              <w:t xml:space="preserve">180.75</w:t>
            </w:r>
          </w:p>
        </w:tc>
        <w:tc>
          <w:tcPr>
            <w:tcW w:w="960" w:type="dxa"/>
            <w:tcBorders/>
            <w:vAlign w:val="center"/>
          </w:tcPr>
          <w:p>
            <w:pPr>
              <w:jc w:val="right"/>
            </w:pPr>
            <w:r>
              <w:rPr>
                <w:rFonts w:ascii="宋体" w:eastAsia="宋体" w:hAnsi="宋体" w:cs="宋体"/>
                <w:b w:val="0"/>
                <w:i w:val="0"/>
                <w:color w:val="000000"/>
                <w:sz w:val="13"/>
              </w:rPr>
              <w:t xml:space="preserve">180.75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13.58</w:t>
            </w:r>
          </w:p>
        </w:tc>
        <w:tc>
          <w:tcPr>
            <w:tcW w:w="960" w:type="dxa"/>
            <w:tcBorders/>
            <w:vAlign w:val="center"/>
          </w:tcPr>
          <w:p>
            <w:pPr>
              <w:jc w:val="right"/>
            </w:pPr>
            <w:r>
              <w:rPr>
                <w:rFonts w:ascii="宋体" w:eastAsia="宋体" w:hAnsi="宋体" w:cs="宋体"/>
                <w:b w:val="0"/>
                <w:i w:val="0"/>
                <w:color w:val="000000"/>
                <w:sz w:val="13"/>
              </w:rPr>
              <w:t xml:space="preserve">13.58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13.58</w:t>
            </w:r>
          </w:p>
        </w:tc>
        <w:tc>
          <w:tcPr>
            <w:tcW w:w="960" w:type="dxa"/>
            <w:tcBorders/>
            <w:vAlign w:val="center"/>
          </w:tcPr>
          <w:p>
            <w:pPr>
              <w:jc w:val="right"/>
            </w:pPr>
            <w:r>
              <w:rPr>
                <w:rFonts w:ascii="宋体" w:eastAsia="宋体" w:hAnsi="宋体" w:cs="宋体"/>
                <w:b w:val="0"/>
                <w:i w:val="0"/>
                <w:color w:val="000000"/>
                <w:sz w:val="13"/>
              </w:rPr>
              <w:t xml:space="preserve">13.58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13.58</w:t>
            </w:r>
          </w:p>
        </w:tc>
        <w:tc>
          <w:tcPr>
            <w:tcW w:w="960" w:type="dxa"/>
            <w:tcBorders/>
            <w:vAlign w:val="center"/>
          </w:tcPr>
          <w:p>
            <w:pPr>
              <w:jc w:val="right"/>
            </w:pPr>
            <w:r>
              <w:rPr>
                <w:rFonts w:ascii="宋体" w:eastAsia="宋体" w:hAnsi="宋体" w:cs="宋体"/>
                <w:b w:val="0"/>
                <w:i w:val="0"/>
                <w:color w:val="000000"/>
                <w:sz w:val="13"/>
              </w:rPr>
              <w:t xml:space="preserve">13.58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31.12</w:t>
            </w:r>
          </w:p>
        </w:tc>
        <w:tc>
          <w:tcPr>
            <w:tcW w:w="960" w:type="dxa"/>
            <w:tcBorders/>
            <w:vAlign w:val="center"/>
          </w:tcPr>
          <w:p>
            <w:pPr>
              <w:jc w:val="right"/>
            </w:pPr>
            <w:r>
              <w:rPr>
                <w:rFonts w:ascii="宋体" w:eastAsia="宋体" w:hAnsi="宋体" w:cs="宋体"/>
                <w:b w:val="0"/>
                <w:i w:val="0"/>
                <w:color w:val="000000"/>
                <w:sz w:val="13"/>
              </w:rPr>
              <w:t xml:space="preserve">31.12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31.12</w:t>
            </w:r>
          </w:p>
        </w:tc>
        <w:tc>
          <w:tcPr>
            <w:tcW w:w="960" w:type="dxa"/>
            <w:tcBorders/>
            <w:vAlign w:val="center"/>
          </w:tcPr>
          <w:p>
            <w:pPr>
              <w:jc w:val="right"/>
            </w:pPr>
            <w:r>
              <w:rPr>
                <w:rFonts w:ascii="宋体" w:eastAsia="宋体" w:hAnsi="宋体" w:cs="宋体"/>
                <w:b w:val="0"/>
                <w:i w:val="0"/>
                <w:color w:val="000000"/>
                <w:sz w:val="13"/>
              </w:rPr>
              <w:t xml:space="preserve">31.12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31.12</w:t>
            </w:r>
          </w:p>
        </w:tc>
        <w:tc>
          <w:tcPr>
            <w:tcW w:w="960" w:type="dxa"/>
            <w:tcBorders/>
            <w:vAlign w:val="center"/>
          </w:tcPr>
          <w:p>
            <w:pPr>
              <w:jc w:val="right"/>
            </w:pPr>
            <w:r>
              <w:rPr>
                <w:rFonts w:ascii="宋体" w:eastAsia="宋体" w:hAnsi="宋体" w:cs="宋体"/>
                <w:b w:val="0"/>
                <w:i w:val="0"/>
                <w:color w:val="000000"/>
                <w:sz w:val="13"/>
              </w:rPr>
              <w:t xml:space="preserve">31.12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单位：辽宁省沈阳市浑南区民政事务服务中心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777.31</w:t>
            </w:r>
          </w:p>
        </w:tc>
        <w:tc>
          <w:tcPr>
            <w:tcW w:w="1060" w:type="dxa"/>
            <w:tcBorders/>
            <w:vAlign w:val="center"/>
          </w:tcPr>
          <w:p>
            <w:pPr>
              <w:jc w:val="right"/>
            </w:pPr>
            <w:r>
              <w:rPr>
                <w:rFonts w:ascii="宋体" w:eastAsia="宋体" w:hAnsi="宋体" w:cs="宋体"/>
                <w:b/>
                <w:i w:val="0"/>
                <w:color w:val="000000"/>
                <w:sz w:val="14"/>
              </w:rPr>
              <w:t xml:space="preserve">318.06</w:t>
            </w:r>
          </w:p>
        </w:tc>
        <w:tc>
          <w:tcPr>
            <w:tcW w:w="1060" w:type="dxa"/>
            <w:tcBorders/>
            <w:vAlign w:val="center"/>
          </w:tcPr>
          <w:p>
            <w:pPr>
              <w:jc w:val="right"/>
            </w:pPr>
            <w:r>
              <w:rPr>
                <w:rFonts w:ascii="宋体" w:eastAsia="宋体" w:hAnsi="宋体" w:cs="宋体"/>
                <w:b/>
                <w:i w:val="0"/>
                <w:color w:val="000000"/>
                <w:sz w:val="14"/>
              </w:rPr>
              <w:t xml:space="preserve">459.25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732.62</w:t>
            </w:r>
          </w:p>
        </w:tc>
        <w:tc>
          <w:tcPr>
            <w:tcW w:w="1060" w:type="dxa"/>
            <w:tcBorders/>
            <w:vAlign w:val="center"/>
          </w:tcPr>
          <w:p>
            <w:pPr>
              <w:jc w:val="right"/>
            </w:pPr>
            <w:r>
              <w:rPr>
                <w:rFonts w:ascii="宋体" w:eastAsia="宋体" w:hAnsi="宋体" w:cs="宋体"/>
                <w:b w:val="0"/>
                <w:i w:val="0"/>
                <w:color w:val="000000"/>
                <w:sz w:val="14"/>
              </w:rPr>
              <w:t xml:space="preserve">273.36</w:t>
            </w:r>
          </w:p>
        </w:tc>
        <w:tc>
          <w:tcPr>
            <w:tcW w:w="1060" w:type="dxa"/>
            <w:tcBorders/>
            <w:vAlign w:val="center"/>
          </w:tcPr>
          <w:p>
            <w:pPr>
              <w:jc w:val="right"/>
            </w:pPr>
            <w:r>
              <w:rPr>
                <w:rFonts w:ascii="宋体" w:eastAsia="宋体" w:hAnsi="宋体" w:cs="宋体"/>
                <w:b w:val="0"/>
                <w:i w:val="0"/>
                <w:color w:val="000000"/>
                <w:sz w:val="14"/>
              </w:rPr>
              <w:t xml:space="preserve">459.25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347.92</w:t>
            </w:r>
          </w:p>
        </w:tc>
        <w:tc>
          <w:tcPr>
            <w:tcW w:w="1060" w:type="dxa"/>
            <w:tcBorders/>
            <w:vAlign w:val="center"/>
          </w:tcPr>
          <w:p>
            <w:pPr>
              <w:jc w:val="right"/>
            </w:pPr>
            <w:r>
              <w:rPr>
                <w:rFonts w:ascii="宋体" w:eastAsia="宋体" w:hAnsi="宋体" w:cs="宋体"/>
                <w:b w:val="0"/>
                <w:i w:val="0"/>
                <w:color w:val="000000"/>
                <w:sz w:val="14"/>
              </w:rPr>
              <w:t xml:space="preserve">239.62</w:t>
            </w:r>
          </w:p>
        </w:tc>
        <w:tc>
          <w:tcPr>
            <w:tcW w:w="1060" w:type="dxa"/>
            <w:tcBorders/>
            <w:vAlign w:val="center"/>
          </w:tcPr>
          <w:p>
            <w:pPr>
              <w:jc w:val="right"/>
            </w:pPr>
            <w:r>
              <w:rPr>
                <w:rFonts w:ascii="宋体" w:eastAsia="宋体" w:hAnsi="宋体" w:cs="宋体"/>
                <w:b w:val="0"/>
                <w:i w:val="0"/>
                <w:color w:val="000000"/>
                <w:sz w:val="14"/>
              </w:rPr>
              <w:t xml:space="preserve">108.29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98.15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98.15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2080299</w:t>
            </w:r>
          </w:p>
        </w:tc>
        <w:tc>
          <w:tcPr>
            <w:tcW w:w="3440" w:type="dxa"/>
            <w:tcBorders/>
            <w:vAlign w:val="center"/>
          </w:tcPr>
          <w:p>
            <w:pPr>
              <w:jc w:val="left"/>
            </w:pPr>
            <w:r>
              <w:rPr>
                <w:rFonts w:ascii="宋体" w:eastAsia="宋体" w:hAnsi="宋体" w:cs="宋体"/>
                <w:b w:val="0"/>
                <w:i w:val="0"/>
                <w:color w:val="000000"/>
                <w:sz w:val="14"/>
              </w:rPr>
              <w:t xml:space="preserve">其他民政管理事务支出</w:t>
            </w:r>
          </w:p>
        </w:tc>
        <w:tc>
          <w:tcPr>
            <w:tcW w:w="1060" w:type="dxa"/>
            <w:tcBorders/>
            <w:vAlign w:val="center"/>
          </w:tcPr>
          <w:p>
            <w:pPr>
              <w:jc w:val="right"/>
            </w:pPr>
            <w:r>
              <w:rPr>
                <w:rFonts w:ascii="宋体" w:eastAsia="宋体" w:hAnsi="宋体" w:cs="宋体"/>
                <w:b w:val="0"/>
                <w:i w:val="0"/>
                <w:color w:val="000000"/>
                <w:sz w:val="14"/>
              </w:rPr>
              <w:t xml:space="preserve">249.77</w:t>
            </w:r>
          </w:p>
        </w:tc>
        <w:tc>
          <w:tcPr>
            <w:tcW w:w="1060" w:type="dxa"/>
            <w:tcBorders/>
            <w:vAlign w:val="center"/>
          </w:tcPr>
          <w:p>
            <w:pPr>
              <w:jc w:val="right"/>
            </w:pPr>
            <w:r>
              <w:rPr>
                <w:rFonts w:ascii="宋体" w:eastAsia="宋体" w:hAnsi="宋体" w:cs="宋体"/>
                <w:b w:val="0"/>
                <w:i w:val="0"/>
                <w:color w:val="000000"/>
                <w:sz w:val="14"/>
              </w:rPr>
              <w:t xml:space="preserve">239.62</w:t>
            </w:r>
          </w:p>
        </w:tc>
        <w:tc>
          <w:tcPr>
            <w:tcW w:w="1060" w:type="dxa"/>
            <w:tcBorders/>
            <w:vAlign w:val="center"/>
          </w:tcPr>
          <w:p>
            <w:pPr>
              <w:jc w:val="right"/>
            </w:pPr>
            <w:r>
              <w:rPr>
                <w:rFonts w:ascii="宋体" w:eastAsia="宋体" w:hAnsi="宋体" w:cs="宋体"/>
                <w:b w:val="0"/>
                <w:i w:val="0"/>
                <w:color w:val="000000"/>
                <w:sz w:val="14"/>
              </w:rPr>
              <w:t xml:space="preserve">10.14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33.74</w:t>
            </w:r>
          </w:p>
        </w:tc>
        <w:tc>
          <w:tcPr>
            <w:tcW w:w="1060" w:type="dxa"/>
            <w:tcBorders/>
            <w:vAlign w:val="center"/>
          </w:tcPr>
          <w:p>
            <w:pPr>
              <w:jc w:val="right"/>
            </w:pPr>
            <w:r>
              <w:rPr>
                <w:rFonts w:ascii="宋体" w:eastAsia="宋体" w:hAnsi="宋体" w:cs="宋体"/>
                <w:b w:val="0"/>
                <w:i w:val="0"/>
                <w:color w:val="000000"/>
                <w:sz w:val="14"/>
              </w:rPr>
              <w:t xml:space="preserve">33.74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2.94</w:t>
            </w:r>
          </w:p>
        </w:tc>
        <w:tc>
          <w:tcPr>
            <w:tcW w:w="1060" w:type="dxa"/>
            <w:tcBorders/>
            <w:vAlign w:val="center"/>
          </w:tcPr>
          <w:p>
            <w:pPr>
              <w:jc w:val="right"/>
            </w:pPr>
            <w:r>
              <w:rPr>
                <w:rFonts w:ascii="宋体" w:eastAsia="宋体" w:hAnsi="宋体" w:cs="宋体"/>
                <w:b w:val="0"/>
                <w:i w:val="0"/>
                <w:color w:val="000000"/>
                <w:sz w:val="14"/>
              </w:rPr>
              <w:t xml:space="preserve">2.94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30.80</w:t>
            </w:r>
          </w:p>
        </w:tc>
        <w:tc>
          <w:tcPr>
            <w:tcW w:w="1060" w:type="dxa"/>
            <w:tcBorders/>
            <w:vAlign w:val="center"/>
          </w:tcPr>
          <w:p>
            <w:pPr>
              <w:jc w:val="right"/>
            </w:pPr>
            <w:r>
              <w:rPr>
                <w:rFonts w:ascii="宋体" w:eastAsia="宋体" w:hAnsi="宋体" w:cs="宋体"/>
                <w:b w:val="0"/>
                <w:i w:val="0"/>
                <w:color w:val="000000"/>
                <w:sz w:val="14"/>
              </w:rPr>
              <w:t xml:space="preserve">30.80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w:t>
            </w:r>
          </w:p>
        </w:tc>
        <w:tc>
          <w:tcPr>
            <w:tcW w:w="3440" w:type="dxa"/>
            <w:tcBorders/>
            <w:vAlign w:val="center"/>
          </w:tcPr>
          <w:p>
            <w:pPr>
              <w:jc w:val="left"/>
            </w:pPr>
            <w:r>
              <w:rPr>
                <w:rFonts w:ascii="宋体" w:eastAsia="宋体" w:hAnsi="宋体" w:cs="宋体"/>
                <w:b w:val="0"/>
                <w:i w:val="0"/>
                <w:color w:val="000000"/>
                <w:sz w:val="14"/>
              </w:rPr>
              <w:t xml:space="preserve">社会福利</w:t>
            </w:r>
          </w:p>
        </w:tc>
        <w:tc>
          <w:tcPr>
            <w:tcW w:w="1060" w:type="dxa"/>
            <w:tcBorders/>
            <w:vAlign w:val="center"/>
          </w:tcPr>
          <w:p>
            <w:pPr>
              <w:jc w:val="right"/>
            </w:pPr>
            <w:r>
              <w:rPr>
                <w:rFonts w:ascii="宋体" w:eastAsia="宋体" w:hAnsi="宋体" w:cs="宋体"/>
                <w:b w:val="0"/>
                <w:i w:val="0"/>
                <w:color w:val="000000"/>
                <w:sz w:val="14"/>
              </w:rPr>
              <w:t xml:space="preserve">350.96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350.96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2081004</w:t>
            </w:r>
          </w:p>
        </w:tc>
        <w:tc>
          <w:tcPr>
            <w:tcW w:w="3440" w:type="dxa"/>
            <w:tcBorders/>
            <w:vAlign w:val="center"/>
          </w:tcPr>
          <w:p>
            <w:pPr>
              <w:jc w:val="left"/>
            </w:pPr>
            <w:r>
              <w:rPr>
                <w:rFonts w:ascii="宋体" w:eastAsia="宋体" w:hAnsi="宋体" w:cs="宋体"/>
                <w:b w:val="0"/>
                <w:i w:val="0"/>
                <w:color w:val="000000"/>
                <w:sz w:val="14"/>
              </w:rPr>
              <w:t xml:space="preserve">殡葬</w:t>
            </w:r>
          </w:p>
        </w:tc>
        <w:tc>
          <w:tcPr>
            <w:tcW w:w="1060" w:type="dxa"/>
            <w:tcBorders/>
            <w:vAlign w:val="center"/>
          </w:tcPr>
          <w:p>
            <w:pPr>
              <w:jc w:val="right"/>
            </w:pPr>
            <w:r>
              <w:rPr>
                <w:rFonts w:ascii="宋体" w:eastAsia="宋体" w:hAnsi="宋体" w:cs="宋体"/>
                <w:b w:val="0"/>
                <w:i w:val="0"/>
                <w:color w:val="000000"/>
                <w:sz w:val="14"/>
              </w:rPr>
              <w:t xml:space="preserve">170.21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170.21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2081005</w:t>
            </w:r>
          </w:p>
        </w:tc>
        <w:tc>
          <w:tcPr>
            <w:tcW w:w="3440" w:type="dxa"/>
            <w:tcBorders/>
            <w:vAlign w:val="center"/>
          </w:tcPr>
          <w:p>
            <w:pPr>
              <w:jc w:val="left"/>
            </w:pPr>
            <w:r>
              <w:rPr>
                <w:rFonts w:ascii="宋体" w:eastAsia="宋体" w:hAnsi="宋体" w:cs="宋体"/>
                <w:b w:val="0"/>
                <w:i w:val="0"/>
                <w:color w:val="000000"/>
                <w:sz w:val="14"/>
              </w:rPr>
              <w:t xml:space="preserve">社会福利事业单位</w:t>
            </w:r>
          </w:p>
        </w:tc>
        <w:tc>
          <w:tcPr>
            <w:tcW w:w="1060" w:type="dxa"/>
            <w:tcBorders/>
            <w:vAlign w:val="center"/>
          </w:tcPr>
          <w:p>
            <w:pPr>
              <w:jc w:val="right"/>
            </w:pPr>
            <w:r>
              <w:rPr>
                <w:rFonts w:ascii="宋体" w:eastAsia="宋体" w:hAnsi="宋体" w:cs="宋体"/>
                <w:b w:val="0"/>
                <w:i w:val="0"/>
                <w:color w:val="000000"/>
                <w:sz w:val="14"/>
              </w:rPr>
              <w:t xml:space="preserve">180.75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180.75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13.58</w:t>
            </w:r>
          </w:p>
        </w:tc>
        <w:tc>
          <w:tcPr>
            <w:tcW w:w="1060" w:type="dxa"/>
            <w:tcBorders/>
            <w:vAlign w:val="center"/>
          </w:tcPr>
          <w:p>
            <w:pPr>
              <w:jc w:val="right"/>
            </w:pPr>
            <w:r>
              <w:rPr>
                <w:rFonts w:ascii="宋体" w:eastAsia="宋体" w:hAnsi="宋体" w:cs="宋体"/>
                <w:b w:val="0"/>
                <w:i w:val="0"/>
                <w:color w:val="000000"/>
                <w:sz w:val="14"/>
              </w:rPr>
              <w:t xml:space="preserve">13.58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13.58</w:t>
            </w:r>
          </w:p>
        </w:tc>
        <w:tc>
          <w:tcPr>
            <w:tcW w:w="1060" w:type="dxa"/>
            <w:tcBorders/>
            <w:vAlign w:val="center"/>
          </w:tcPr>
          <w:p>
            <w:pPr>
              <w:jc w:val="right"/>
            </w:pPr>
            <w:r>
              <w:rPr>
                <w:rFonts w:ascii="宋体" w:eastAsia="宋体" w:hAnsi="宋体" w:cs="宋体"/>
                <w:b w:val="0"/>
                <w:i w:val="0"/>
                <w:color w:val="000000"/>
                <w:sz w:val="14"/>
              </w:rPr>
              <w:t xml:space="preserve">13.58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13.58</w:t>
            </w:r>
          </w:p>
        </w:tc>
        <w:tc>
          <w:tcPr>
            <w:tcW w:w="1060" w:type="dxa"/>
            <w:tcBorders/>
            <w:vAlign w:val="center"/>
          </w:tcPr>
          <w:p>
            <w:pPr>
              <w:jc w:val="right"/>
            </w:pPr>
            <w:r>
              <w:rPr>
                <w:rFonts w:ascii="宋体" w:eastAsia="宋体" w:hAnsi="宋体" w:cs="宋体"/>
                <w:b w:val="0"/>
                <w:i w:val="0"/>
                <w:color w:val="000000"/>
                <w:sz w:val="14"/>
              </w:rPr>
              <w:t xml:space="preserve">13.58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31.12</w:t>
            </w:r>
          </w:p>
        </w:tc>
        <w:tc>
          <w:tcPr>
            <w:tcW w:w="1060" w:type="dxa"/>
            <w:tcBorders/>
            <w:vAlign w:val="center"/>
          </w:tcPr>
          <w:p>
            <w:pPr>
              <w:jc w:val="right"/>
            </w:pPr>
            <w:r>
              <w:rPr>
                <w:rFonts w:ascii="宋体" w:eastAsia="宋体" w:hAnsi="宋体" w:cs="宋体"/>
                <w:b w:val="0"/>
                <w:i w:val="0"/>
                <w:color w:val="000000"/>
                <w:sz w:val="14"/>
              </w:rPr>
              <w:t xml:space="preserve">31.12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31.12</w:t>
            </w:r>
          </w:p>
        </w:tc>
        <w:tc>
          <w:tcPr>
            <w:tcW w:w="1060" w:type="dxa"/>
            <w:tcBorders/>
            <w:vAlign w:val="center"/>
          </w:tcPr>
          <w:p>
            <w:pPr>
              <w:jc w:val="right"/>
            </w:pPr>
            <w:r>
              <w:rPr>
                <w:rFonts w:ascii="宋体" w:eastAsia="宋体" w:hAnsi="宋体" w:cs="宋体"/>
                <w:b w:val="0"/>
                <w:i w:val="0"/>
                <w:color w:val="000000"/>
                <w:sz w:val="14"/>
              </w:rPr>
              <w:t xml:space="preserve">31.12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31.12</w:t>
            </w:r>
          </w:p>
        </w:tc>
        <w:tc>
          <w:tcPr>
            <w:tcW w:w="1060" w:type="dxa"/>
            <w:tcBorders/>
            <w:vAlign w:val="center"/>
          </w:tcPr>
          <w:p>
            <w:pPr>
              <w:jc w:val="right"/>
            </w:pPr>
            <w:r>
              <w:rPr>
                <w:rFonts w:ascii="宋体" w:eastAsia="宋体" w:hAnsi="宋体" w:cs="宋体"/>
                <w:b w:val="0"/>
                <w:i w:val="0"/>
                <w:color w:val="000000"/>
                <w:sz w:val="14"/>
              </w:rPr>
              <w:t xml:space="preserve">31.12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单位：辽宁省沈阳市浑南区民政事务服务中心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777.31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732.61</w:t>
            </w:r>
          </w:p>
        </w:tc>
        <w:tc>
          <w:tcPr>
            <w:tcW w:w="1100" w:type="dxa"/>
            <w:tcBorders/>
            <w:vAlign w:val="center"/>
          </w:tcPr>
          <w:p>
            <w:pPr>
              <w:jc w:val="right"/>
            </w:pPr>
            <w:r>
              <w:rPr>
                <w:rFonts w:ascii="宋体" w:eastAsia="宋体" w:hAnsi="宋体" w:cs="宋体"/>
                <w:b w:val="0"/>
                <w:i w:val="0"/>
                <w:color w:val="000000"/>
                <w:sz w:val="14"/>
              </w:rPr>
              <w:t xml:space="preserve">732.61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13.58</w:t>
            </w:r>
          </w:p>
        </w:tc>
        <w:tc>
          <w:tcPr>
            <w:tcW w:w="1100" w:type="dxa"/>
            <w:tcBorders/>
            <w:vAlign w:val="center"/>
          </w:tcPr>
          <w:p>
            <w:pPr>
              <w:jc w:val="right"/>
            </w:pPr>
            <w:r>
              <w:rPr>
                <w:rFonts w:ascii="宋体" w:eastAsia="宋体" w:hAnsi="宋体" w:cs="宋体"/>
                <w:b w:val="0"/>
                <w:i w:val="0"/>
                <w:color w:val="000000"/>
                <w:sz w:val="14"/>
              </w:rPr>
              <w:t xml:space="preserve">13.58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31.12</w:t>
            </w:r>
          </w:p>
        </w:tc>
        <w:tc>
          <w:tcPr>
            <w:tcW w:w="1100" w:type="dxa"/>
            <w:tcBorders/>
            <w:vAlign w:val="center"/>
          </w:tcPr>
          <w:p>
            <w:pPr>
              <w:jc w:val="right"/>
            </w:pPr>
            <w:r>
              <w:rPr>
                <w:rFonts w:ascii="宋体" w:eastAsia="宋体" w:hAnsi="宋体" w:cs="宋体"/>
                <w:b w:val="0"/>
                <w:i w:val="0"/>
                <w:color w:val="000000"/>
                <w:sz w:val="14"/>
              </w:rPr>
              <w:t xml:space="preserve">31.12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777.31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777.31</w:t>
            </w:r>
          </w:p>
        </w:tc>
        <w:tc>
          <w:tcPr>
            <w:tcW w:w="1100" w:type="dxa"/>
            <w:tcBorders/>
            <w:vAlign w:val="center"/>
          </w:tcPr>
          <w:p>
            <w:pPr>
              <w:jc w:val="right"/>
            </w:pPr>
            <w:r>
              <w:rPr>
                <w:rFonts w:ascii="宋体" w:eastAsia="宋体" w:hAnsi="宋体" w:cs="宋体"/>
                <w:b w:val="0"/>
                <w:i w:val="0"/>
                <w:color w:val="000000"/>
                <w:sz w:val="14"/>
              </w:rPr>
              <w:t xml:space="preserve">777.31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777.31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777.31</w:t>
            </w:r>
          </w:p>
        </w:tc>
        <w:tc>
          <w:tcPr>
            <w:tcW w:w="1100" w:type="dxa"/>
            <w:tcBorders/>
            <w:vAlign w:val="center"/>
          </w:tcPr>
          <w:p>
            <w:pPr>
              <w:jc w:val="right"/>
            </w:pPr>
            <w:r>
              <w:rPr>
                <w:rFonts w:ascii="宋体" w:eastAsia="宋体" w:hAnsi="宋体" w:cs="宋体"/>
                <w:b w:val="0"/>
                <w:i w:val="0"/>
                <w:color w:val="000000"/>
                <w:sz w:val="14"/>
              </w:rPr>
              <w:t xml:space="preserve">777.31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单位：辽宁省沈阳市浑南区民政事务服务中心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777.31</w:t>
            </w:r>
          </w:p>
        </w:tc>
        <w:tc>
          <w:tcPr>
            <w:tcW w:w="1780" w:type="dxa"/>
            <w:tcBorders/>
            <w:vAlign w:val="center"/>
          </w:tcPr>
          <w:p>
            <w:pPr>
              <w:jc w:val="right"/>
            </w:pPr>
            <w:r>
              <w:rPr>
                <w:rFonts w:ascii="宋体" w:eastAsia="宋体" w:hAnsi="宋体" w:cs="宋体"/>
                <w:b/>
                <w:i w:val="0"/>
                <w:color w:val="000000"/>
                <w:sz w:val="18"/>
              </w:rPr>
              <w:t xml:space="preserve">318.06</w:t>
            </w:r>
          </w:p>
        </w:tc>
        <w:tc>
          <w:tcPr>
            <w:tcW w:w="1772" w:type="dxa"/>
            <w:tcBorders/>
            <w:vAlign w:val="center"/>
          </w:tcPr>
          <w:p>
            <w:pPr>
              <w:jc w:val="right"/>
            </w:pPr>
            <w:r>
              <w:rPr>
                <w:rFonts w:ascii="宋体" w:eastAsia="宋体" w:hAnsi="宋体" w:cs="宋体"/>
                <w:b/>
                <w:i w:val="0"/>
                <w:color w:val="000000"/>
                <w:sz w:val="18"/>
              </w:rPr>
              <w:t xml:space="preserve">459.25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732.62</w:t>
            </w:r>
          </w:p>
        </w:tc>
        <w:tc>
          <w:tcPr>
            <w:tcW w:w="1780" w:type="dxa"/>
            <w:tcBorders/>
            <w:vAlign w:val="center"/>
          </w:tcPr>
          <w:p>
            <w:pPr>
              <w:jc w:val="right"/>
            </w:pPr>
            <w:r>
              <w:rPr>
                <w:rFonts w:ascii="宋体" w:eastAsia="宋体" w:hAnsi="宋体" w:cs="宋体"/>
                <w:b w:val="0"/>
                <w:i w:val="0"/>
                <w:color w:val="000000"/>
                <w:sz w:val="18"/>
              </w:rPr>
              <w:t xml:space="preserve">273.36</w:t>
            </w:r>
          </w:p>
        </w:tc>
        <w:tc>
          <w:tcPr>
            <w:tcW w:w="1772" w:type="dxa"/>
            <w:tcBorders/>
            <w:vAlign w:val="center"/>
          </w:tcPr>
          <w:p>
            <w:pPr>
              <w:jc w:val="right"/>
            </w:pPr>
            <w:r>
              <w:rPr>
                <w:rFonts w:ascii="宋体" w:eastAsia="宋体" w:hAnsi="宋体" w:cs="宋体"/>
                <w:b w:val="0"/>
                <w:i w:val="0"/>
                <w:color w:val="000000"/>
                <w:sz w:val="18"/>
              </w:rPr>
              <w:t xml:space="preserve">459.25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347.92</w:t>
            </w:r>
          </w:p>
        </w:tc>
        <w:tc>
          <w:tcPr>
            <w:tcW w:w="1780" w:type="dxa"/>
            <w:tcBorders/>
            <w:vAlign w:val="center"/>
          </w:tcPr>
          <w:p>
            <w:pPr>
              <w:jc w:val="right"/>
            </w:pPr>
            <w:r>
              <w:rPr>
                <w:rFonts w:ascii="宋体" w:eastAsia="宋体" w:hAnsi="宋体" w:cs="宋体"/>
                <w:b w:val="0"/>
                <w:i w:val="0"/>
                <w:color w:val="000000"/>
                <w:sz w:val="18"/>
              </w:rPr>
              <w:t xml:space="preserve">239.62</w:t>
            </w:r>
          </w:p>
        </w:tc>
        <w:tc>
          <w:tcPr>
            <w:tcW w:w="1772" w:type="dxa"/>
            <w:tcBorders/>
            <w:vAlign w:val="center"/>
          </w:tcPr>
          <w:p>
            <w:pPr>
              <w:jc w:val="right"/>
            </w:pPr>
            <w:r>
              <w:rPr>
                <w:rFonts w:ascii="宋体" w:eastAsia="宋体" w:hAnsi="宋体" w:cs="宋体"/>
                <w:b w:val="0"/>
                <w:i w:val="0"/>
                <w:color w:val="000000"/>
                <w:sz w:val="18"/>
              </w:rPr>
              <w:t xml:space="preserve">108.29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98.15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98.15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2080299</w:t>
            </w:r>
          </w:p>
        </w:tc>
        <w:tc>
          <w:tcPr>
            <w:tcW w:w="4300" w:type="dxa"/>
            <w:tcBorders/>
            <w:vAlign w:val="center"/>
          </w:tcPr>
          <w:p>
            <w:pPr>
              <w:jc w:val="left"/>
            </w:pPr>
            <w:r>
              <w:rPr>
                <w:rFonts w:ascii="宋体" w:eastAsia="宋体" w:hAnsi="宋体" w:cs="宋体"/>
                <w:b w:val="0"/>
                <w:i w:val="0"/>
                <w:color w:val="000000"/>
                <w:sz w:val="18"/>
              </w:rPr>
              <w:t xml:space="preserve">其他民政管理事务支出</w:t>
            </w:r>
          </w:p>
        </w:tc>
        <w:tc>
          <w:tcPr>
            <w:tcW w:w="1780" w:type="dxa"/>
            <w:tcBorders/>
            <w:vAlign w:val="center"/>
          </w:tcPr>
          <w:p>
            <w:pPr>
              <w:jc w:val="right"/>
            </w:pPr>
            <w:r>
              <w:rPr>
                <w:rFonts w:ascii="宋体" w:eastAsia="宋体" w:hAnsi="宋体" w:cs="宋体"/>
                <w:b w:val="0"/>
                <w:i w:val="0"/>
                <w:color w:val="000000"/>
                <w:sz w:val="18"/>
              </w:rPr>
              <w:t xml:space="preserve">249.77</w:t>
            </w:r>
          </w:p>
        </w:tc>
        <w:tc>
          <w:tcPr>
            <w:tcW w:w="1780" w:type="dxa"/>
            <w:tcBorders/>
            <w:vAlign w:val="center"/>
          </w:tcPr>
          <w:p>
            <w:pPr>
              <w:jc w:val="right"/>
            </w:pPr>
            <w:r>
              <w:rPr>
                <w:rFonts w:ascii="宋体" w:eastAsia="宋体" w:hAnsi="宋体" w:cs="宋体"/>
                <w:b w:val="0"/>
                <w:i w:val="0"/>
                <w:color w:val="000000"/>
                <w:sz w:val="18"/>
              </w:rPr>
              <w:t xml:space="preserve">239.62</w:t>
            </w:r>
          </w:p>
        </w:tc>
        <w:tc>
          <w:tcPr>
            <w:tcW w:w="1772" w:type="dxa"/>
            <w:tcBorders/>
            <w:vAlign w:val="center"/>
          </w:tcPr>
          <w:p>
            <w:pPr>
              <w:jc w:val="right"/>
            </w:pPr>
            <w:r>
              <w:rPr>
                <w:rFonts w:ascii="宋体" w:eastAsia="宋体" w:hAnsi="宋体" w:cs="宋体"/>
                <w:b w:val="0"/>
                <w:i w:val="0"/>
                <w:color w:val="000000"/>
                <w:sz w:val="18"/>
              </w:rPr>
              <w:t xml:space="preserve">10.14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33.74</w:t>
            </w:r>
          </w:p>
        </w:tc>
        <w:tc>
          <w:tcPr>
            <w:tcW w:w="1780" w:type="dxa"/>
            <w:tcBorders/>
            <w:vAlign w:val="center"/>
          </w:tcPr>
          <w:p>
            <w:pPr>
              <w:jc w:val="right"/>
            </w:pPr>
            <w:r>
              <w:rPr>
                <w:rFonts w:ascii="宋体" w:eastAsia="宋体" w:hAnsi="宋体" w:cs="宋体"/>
                <w:b w:val="0"/>
                <w:i w:val="0"/>
                <w:color w:val="000000"/>
                <w:sz w:val="18"/>
              </w:rPr>
              <w:t xml:space="preserve">33.74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2.94</w:t>
            </w:r>
          </w:p>
        </w:tc>
        <w:tc>
          <w:tcPr>
            <w:tcW w:w="1780" w:type="dxa"/>
            <w:tcBorders/>
            <w:vAlign w:val="center"/>
          </w:tcPr>
          <w:p>
            <w:pPr>
              <w:jc w:val="right"/>
            </w:pPr>
            <w:r>
              <w:rPr>
                <w:rFonts w:ascii="宋体" w:eastAsia="宋体" w:hAnsi="宋体" w:cs="宋体"/>
                <w:b w:val="0"/>
                <w:i w:val="0"/>
                <w:color w:val="000000"/>
                <w:sz w:val="18"/>
              </w:rPr>
              <w:t xml:space="preserve">2.94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30.80</w:t>
            </w:r>
          </w:p>
        </w:tc>
        <w:tc>
          <w:tcPr>
            <w:tcW w:w="1780" w:type="dxa"/>
            <w:tcBorders/>
            <w:vAlign w:val="center"/>
          </w:tcPr>
          <w:p>
            <w:pPr>
              <w:jc w:val="right"/>
            </w:pPr>
            <w:r>
              <w:rPr>
                <w:rFonts w:ascii="宋体" w:eastAsia="宋体" w:hAnsi="宋体" w:cs="宋体"/>
                <w:b w:val="0"/>
                <w:i w:val="0"/>
                <w:color w:val="000000"/>
                <w:sz w:val="18"/>
              </w:rPr>
              <w:t xml:space="preserve">30.80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w:t>
            </w:r>
          </w:p>
        </w:tc>
        <w:tc>
          <w:tcPr>
            <w:tcW w:w="4300" w:type="dxa"/>
            <w:tcBorders/>
            <w:vAlign w:val="center"/>
          </w:tcPr>
          <w:p>
            <w:pPr>
              <w:jc w:val="left"/>
            </w:pPr>
            <w:r>
              <w:rPr>
                <w:rFonts w:ascii="宋体" w:eastAsia="宋体" w:hAnsi="宋体" w:cs="宋体"/>
                <w:b w:val="0"/>
                <w:i w:val="0"/>
                <w:color w:val="000000"/>
                <w:sz w:val="18"/>
              </w:rPr>
              <w:t xml:space="preserve">社会福利</w:t>
            </w:r>
          </w:p>
        </w:tc>
        <w:tc>
          <w:tcPr>
            <w:tcW w:w="1780" w:type="dxa"/>
            <w:tcBorders/>
            <w:vAlign w:val="center"/>
          </w:tcPr>
          <w:p>
            <w:pPr>
              <w:jc w:val="right"/>
            </w:pPr>
            <w:r>
              <w:rPr>
                <w:rFonts w:ascii="宋体" w:eastAsia="宋体" w:hAnsi="宋体" w:cs="宋体"/>
                <w:b w:val="0"/>
                <w:i w:val="0"/>
                <w:color w:val="000000"/>
                <w:sz w:val="18"/>
              </w:rPr>
              <w:t xml:space="preserve">350.96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350.96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2081004</w:t>
            </w:r>
          </w:p>
        </w:tc>
        <w:tc>
          <w:tcPr>
            <w:tcW w:w="4300" w:type="dxa"/>
            <w:tcBorders/>
            <w:vAlign w:val="center"/>
          </w:tcPr>
          <w:p>
            <w:pPr>
              <w:jc w:val="left"/>
            </w:pPr>
            <w:r>
              <w:rPr>
                <w:rFonts w:ascii="宋体" w:eastAsia="宋体" w:hAnsi="宋体" w:cs="宋体"/>
                <w:b w:val="0"/>
                <w:i w:val="0"/>
                <w:color w:val="000000"/>
                <w:sz w:val="18"/>
              </w:rPr>
              <w:t xml:space="preserve">殡葬</w:t>
            </w:r>
          </w:p>
        </w:tc>
        <w:tc>
          <w:tcPr>
            <w:tcW w:w="1780" w:type="dxa"/>
            <w:tcBorders/>
            <w:vAlign w:val="center"/>
          </w:tcPr>
          <w:p>
            <w:pPr>
              <w:jc w:val="right"/>
            </w:pPr>
            <w:r>
              <w:rPr>
                <w:rFonts w:ascii="宋体" w:eastAsia="宋体" w:hAnsi="宋体" w:cs="宋体"/>
                <w:b w:val="0"/>
                <w:i w:val="0"/>
                <w:color w:val="000000"/>
                <w:sz w:val="18"/>
              </w:rPr>
              <w:t xml:space="preserve">170.21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170.21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2081005</w:t>
            </w:r>
          </w:p>
        </w:tc>
        <w:tc>
          <w:tcPr>
            <w:tcW w:w="4300" w:type="dxa"/>
            <w:tcBorders/>
            <w:vAlign w:val="center"/>
          </w:tcPr>
          <w:p>
            <w:pPr>
              <w:jc w:val="left"/>
            </w:pPr>
            <w:r>
              <w:rPr>
                <w:rFonts w:ascii="宋体" w:eastAsia="宋体" w:hAnsi="宋体" w:cs="宋体"/>
                <w:b w:val="0"/>
                <w:i w:val="0"/>
                <w:color w:val="000000"/>
                <w:sz w:val="18"/>
              </w:rPr>
              <w:t xml:space="preserve">社会福利事业单位</w:t>
            </w:r>
          </w:p>
        </w:tc>
        <w:tc>
          <w:tcPr>
            <w:tcW w:w="1780" w:type="dxa"/>
            <w:tcBorders/>
            <w:vAlign w:val="center"/>
          </w:tcPr>
          <w:p>
            <w:pPr>
              <w:jc w:val="right"/>
            </w:pPr>
            <w:r>
              <w:rPr>
                <w:rFonts w:ascii="宋体" w:eastAsia="宋体" w:hAnsi="宋体" w:cs="宋体"/>
                <w:b w:val="0"/>
                <w:i w:val="0"/>
                <w:color w:val="000000"/>
                <w:sz w:val="18"/>
              </w:rPr>
              <w:t xml:space="preserve">180.75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180.75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13.58</w:t>
            </w:r>
          </w:p>
        </w:tc>
        <w:tc>
          <w:tcPr>
            <w:tcW w:w="1780" w:type="dxa"/>
            <w:tcBorders/>
            <w:vAlign w:val="center"/>
          </w:tcPr>
          <w:p>
            <w:pPr>
              <w:jc w:val="right"/>
            </w:pPr>
            <w:r>
              <w:rPr>
                <w:rFonts w:ascii="宋体" w:eastAsia="宋体" w:hAnsi="宋体" w:cs="宋体"/>
                <w:b w:val="0"/>
                <w:i w:val="0"/>
                <w:color w:val="000000"/>
                <w:sz w:val="18"/>
              </w:rPr>
              <w:t xml:space="preserve">13.58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13.58</w:t>
            </w:r>
          </w:p>
        </w:tc>
        <w:tc>
          <w:tcPr>
            <w:tcW w:w="1780" w:type="dxa"/>
            <w:tcBorders/>
            <w:vAlign w:val="center"/>
          </w:tcPr>
          <w:p>
            <w:pPr>
              <w:jc w:val="right"/>
            </w:pPr>
            <w:r>
              <w:rPr>
                <w:rFonts w:ascii="宋体" w:eastAsia="宋体" w:hAnsi="宋体" w:cs="宋体"/>
                <w:b w:val="0"/>
                <w:i w:val="0"/>
                <w:color w:val="000000"/>
                <w:sz w:val="18"/>
              </w:rPr>
              <w:t xml:space="preserve">13.58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13.58</w:t>
            </w:r>
          </w:p>
        </w:tc>
        <w:tc>
          <w:tcPr>
            <w:tcW w:w="1780" w:type="dxa"/>
            <w:tcBorders/>
            <w:vAlign w:val="center"/>
          </w:tcPr>
          <w:p>
            <w:pPr>
              <w:jc w:val="right"/>
            </w:pPr>
            <w:r>
              <w:rPr>
                <w:rFonts w:ascii="宋体" w:eastAsia="宋体" w:hAnsi="宋体" w:cs="宋体"/>
                <w:b w:val="0"/>
                <w:i w:val="0"/>
                <w:color w:val="000000"/>
                <w:sz w:val="18"/>
              </w:rPr>
              <w:t xml:space="preserve">13.58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31.12</w:t>
            </w:r>
          </w:p>
        </w:tc>
        <w:tc>
          <w:tcPr>
            <w:tcW w:w="1780" w:type="dxa"/>
            <w:tcBorders/>
            <w:vAlign w:val="center"/>
          </w:tcPr>
          <w:p>
            <w:pPr>
              <w:jc w:val="right"/>
            </w:pPr>
            <w:r>
              <w:rPr>
                <w:rFonts w:ascii="宋体" w:eastAsia="宋体" w:hAnsi="宋体" w:cs="宋体"/>
                <w:b w:val="0"/>
                <w:i w:val="0"/>
                <w:color w:val="000000"/>
                <w:sz w:val="18"/>
              </w:rPr>
              <w:t xml:space="preserve">31.12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31.12</w:t>
            </w:r>
          </w:p>
        </w:tc>
        <w:tc>
          <w:tcPr>
            <w:tcW w:w="1780" w:type="dxa"/>
            <w:tcBorders/>
            <w:vAlign w:val="center"/>
          </w:tcPr>
          <w:p>
            <w:pPr>
              <w:jc w:val="right"/>
            </w:pPr>
            <w:r>
              <w:rPr>
                <w:rFonts w:ascii="宋体" w:eastAsia="宋体" w:hAnsi="宋体" w:cs="宋体"/>
                <w:b w:val="0"/>
                <w:i w:val="0"/>
                <w:color w:val="000000"/>
                <w:sz w:val="18"/>
              </w:rPr>
              <w:t xml:space="preserve">31.12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31.12</w:t>
            </w:r>
          </w:p>
        </w:tc>
        <w:tc>
          <w:tcPr>
            <w:tcW w:w="1780" w:type="dxa"/>
            <w:tcBorders/>
            <w:vAlign w:val="center"/>
          </w:tcPr>
          <w:p>
            <w:pPr>
              <w:jc w:val="right"/>
            </w:pPr>
            <w:r>
              <w:rPr>
                <w:rFonts w:ascii="宋体" w:eastAsia="宋体" w:hAnsi="宋体" w:cs="宋体"/>
                <w:b w:val="0"/>
                <w:i w:val="0"/>
                <w:color w:val="000000"/>
                <w:sz w:val="18"/>
              </w:rPr>
              <w:t xml:space="preserve">31.12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单位：辽宁省沈阳市浑南区民政事务服务中心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297.83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17.28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80.13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3.21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4.30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0.21</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6.33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7.36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122.84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30.80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11.15</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13.58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1.38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0.09</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31.12</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0.44</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2.94</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2.94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0.32</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1.87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300.77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17.28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单位：辽宁省沈阳市浑南区民政事务服务中心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单位：辽宁省沈阳市浑南区民政事务服务中心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单位：辽宁省沈阳市浑南区民政事务服务中心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043002沈阳市浑南区民政事务服务中心-210112000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357.1</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357.1</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81.07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219.71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完成全年各个项目的足额支出，确保单位各项日常事务正常运转。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全年已经按照各项工作要求完成工作，并及时完成了支付工作。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64"/>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2024年正常开展工作，全年工作已按时间节点结束，按照实际产生的经费金额请款，财政只批付部分资金，我局已经按时支付。因此执行率偏低</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经费保障:2024年正常开展工作，全年工作已按时间节点结束，按照实际产生的经费金额请款，财政只批付部分资金，积极沟通财政争取资金支持。</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有利于密切党同人民群众的关系</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紧密联系</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经费保障提升率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受益对象满意度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99.58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殡葬减免服务经费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93.62%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殡葬改革，保障农村群众安葬服务需求，让群众“逝有所安”，促进社会文明进步。资金筹集完全按照省市各级部门指示精神进行筹集，请款程序合法合规。减轻城乡低保对象的丧葬消费压力，维护低保对象的基本生活水平，进一步促进社会稳定，依据此文件精神对符合条件人员进行减免。《关于印发沈阳市基本殡葬服务费用减免实施方案的通知》沈民[2022]6号生前具有沈阳市户籍并按照规定火化的逝者，享受基本殡葬服务费用减免。全额减免最高金额2065元/具，差额减免最高金额1546元/具。《关于免除城乡低保对象基本殡葬服务费用的通知》沈民[2009]26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此项资金已经按时支付，一定程度上保障了低保户的相关权益。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提升城乡居民基本殡葬服务水平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对殡葬基础设施和服务条件的满意度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慈善爱心广场取暖费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十四五规划、党代会任务分解工作和《慈善法》要求，推进慈善工作健康发展，鼓励全民向善，传承中华民族扶危济困的传统美德，加强慈善救助，带动更多的慈善组织参与我区慈善公益活动和慈善捐赠，持续推动我区慈善事业高质量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此项资金已经按时支付，保障了慈善爱心广场冬季工作的正常运转。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浑南区街道社会工作和社会救助服务站项目经费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（一）坚持从基层群众需求出发。践行为民服务理念，围绕社会关 切，回应群众期盼，依托专业社会工作服务提升民政服务对象的获得感和满意度。以基层群众需求岀发，提升基层为民服务能力为重点， 以政府购买社会工作服务为支撑，培育扶持一批扎根基层的 社会工作服务机构，带动实施一批民政领域社会工作服务项 目，加快建设一支专业化、本土化社工队伍将所辖10个街道成立社会工作服务站，统一悬挂“XX街道社会工作服务站”牌子，主要负责社会救助、儿童关爱保护、为老养老、 社会事务、社区治理等特殊群体服务工作。（二）坚持专业引领。注重培养和使用社会工作专业人 才，充分运用社会工作专业理念方法丰富基层服务治理的内 涵，全面提升基层治理专业化水平。（三）坚持社会运作。加大政府购买服务力度，完善 “政府主导、专业引领、社会运作、多元参与”服务供给机制，吸引更多社会力量广泛参与基层民政服务。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2024年正常开展工作，全年工作已按时间节点结束，按照实际产生的2023年9月—2024年9月的下半年金额请款，请款金额共计98.15万元。财政拨付98.15万元，我局按时支付98.15万元。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复检合格率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将2023年残疾人就业保障金列入2024年预算，2024年由各预算单位缴纳本单位残疾人就业保障金。年度应缴纳的残疾人就业保障金=（上年度在职职工平均人数*1.5%-上年度在职残疾职工人数）*上年度全市职工年平均工资。上年度全市职工年平均工资暂按114000元计算，待沈阳市统计局公布2023年全市职工年平均工资时，按公布的2023年全市职工年平均工资计算。</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此项资金已经按照财政要求，正常请款，按时支付完毕。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残疾人职业技能培训人数完成率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促进残疾人技能提升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残疾人享有服务满意度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节地生态安葬补助（中心）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推进殡葬改革，保障农村群众安葬服务需求，让群众“逝有所安”，促进社会文明进步。资金筹集完全按照省市各级部门指示精神进行筹集，请款程序合法合规。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按照沈阳市民政局政策，2024年并未开展此项工作。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改善生态环境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制度保障:2024年按照沈阳市民政局要求，并未开展此项工作，最终并未产生此项资金需求。因此执行率为0。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敬老院办公费（中心）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照农村集中供养特困人员实施细则规定，按照职能部门的要求顺利开展工作，确保敬老院办公系统正常化、常态化的实施，保障敬老院工作正常运行。敬老院为了丰富集中供养特困人员，日常文化生，根据农村集中供养特困人员实施细则，保障敬老院业务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2024年正常开展工作，全年工作已按时间节点结束，按照实际产生的办公经费金额请款，请款金额共计4万元。财政拨付0.88万元，我局按时支付0.88万元。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512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经费保障:2024年正常开展工作，全年工作已按时间节点结束，按照实际产生的办公经费金额请款，请款金额共计4万元。财政拨付0.88万元，我局按时支付0.88万元。此项资金由于财政资金紧张，因此执行率偏低。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敬老院工资及保险经费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在服务老人日常生活的前提下，体现社会主义优越性，敬老院全部都是集中供特困人员，依据农村集中供养特困人员实施细则，及敬老院的服务宗旨，保障五保养员老有所养、老有所依的目标。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此项资金已经按时拨付，一定程度上保障了集中供养的特困人员正常就医治疗。</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182.7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182.7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提升老人生活质量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敬老院供暖燃料经费（中心）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根据农村集中供养特困人员实施细则，保证老人温暖过冬，衣食无忧，敬老院冬季供暖设备正常运转。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冬季产生的供暖燃料经费，已经按时跟财政请款。2024年度未批复。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经费保障:2024年正常开展工作，全年工作已按时间节点结束，按照实际产生的供暖燃料经费金额请款。财政拨付0万元。此项资金由于财政资金紧张，因此执行率为0。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敬老院环保检验检测经费（中心）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根据农村集中供养特困人员实施细则，保障敬老院养员日常生活用水达标、卫生、安全才去的必要措施。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完成全年工作，向财政请款，2024年度未拨付。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敬老院日常维修维护经费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按照正常开展工作，但是财政批付资金为0.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经费保障:2024年正常开展工作，全年工作已按时间节点结束，按照实际产生的维修维护经费金额请款。财政拨付0万元。此项资金由于财政资金紧张，因此执行率为0。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敬老院日常用电经费（中心）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88.26%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根据农村五保特困人员供养实施细则，保障集中供养特困人员老有所养，老有所依的前提下，还要保障集中供养特困人员日常生活中，用电设备正常运行。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本年度按照敬老院实际产生的电费请款，并完成支付工作。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敬老院五保养员医药经费（中心）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农村集中供养特困人员实行细则的通知，实行基本医疗保障原则，敬老院集中供养特困养员，全部都是体弱多病、残疾年迈的人员，为了确保养员能及时就医，弥补特困人员医疗资金不足，保障敬老院养员日常医疗及突发急重病症病患得到及时诊断和治疗。</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按照敬老院养员住院等就医实际产生的医药费，完成各项支付工作。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其他:此项目是按照敬老院养员住院等就医实际产生的医药费金额请款，存在一定程度上预算金额偏大或偏小的问题。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其他:此项目是按照敬老院养员住院等就医实际产生的医药费金额请款，严格按照养员数量去预估。</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其他:此项目是按照敬老院养员住院等就医实际产生的医药费金额请款，存在一定程度上预算金额偏大或偏小的问题。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其他:此项目是按照敬老院养员住院等就医实际产生的医药费金额请款，预估预算时严格按照养员数量实际估算，</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其他:此项目是按照敬老院养员住院等就医实际产生的医药费金额请款，存在一定程度上预算金额偏大或偏小的问题。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其他:此项目是按照敬老院养员住院等就医实际产生的医药费金额请款，严格按照养员数量去预估。</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提高老人生活幸福感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4.04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民政事务管理业务经费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姻登记处负责贯彻执行有关婚姻登记工作的法律、法规和规章，保障当事人的合法权益；依法办理婚姻登记、补发婚姻登记证；宣传婚姻法律、倡导文明婚俗；做好婚姻登记档案的立卷管理和移交工作;做好婚姻登记的统计工作。为切实保证婚姻登记处窗口为群众提供良好的办事环境和优良的服务质量，确保婚姻登记机关正常的工作运转，满足广大群众的实际需求，为群众提供更人性化的服务，打造良好的营商环境，保障日常工作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按照婚姻登记处实际产生的金额全额支付完毕。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资金拨付准确无误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准确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资金拨付准确无误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准确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人民幸福指数提升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人民幸福指数提升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迁坟补助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殡葬改革，保障农村群众安葬服务需求，让群众“逝有所安”，促进社会文明进步。资金筹集完全按照省市各级部门指示精神进行筹集，请款程序合法合规。资金全部由政府出资，省市区三级政府共同出资。根据省市各级部门对村级公益性公墓的使用要求，能够满足社区村民的安葬需求，解决农村散埋乱葬问题，助力营造优质营商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2024年正常开展工作，但是我区老百姓未选择节地生态安葬形式，最终并未产生此项资金需求。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支持建设公益性节地生态安葬设施数量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项目完工进度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改善农村人居环境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提升城乡居民基本殡葬服务水平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对殡葬基础设施和服务条件的满意度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其他:2024年正常开展工作，但是我区老百姓未选择节地生态安葬形式，最终并未产生此项资金需求。</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收养能力评估费（中心）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为进一步规范收养行为，保障被收养儿童的合法权益和健康成长，根据《中华人民共和国民法典》、 民政部关于印发《收养能力评估实施细则》及《中国公民收养子女登记办法》的通知，中国公民在本地区申请收养子女，应当对收养登记申请人的收养动机、道德品行、受教育程度、健康状况、经济及住房条件、婚姻家庭关系、共同生活家庭成员意见、抚育计划、邻里关系、社会环境、与被收养人融合情况等进行评估，此举有利于进一步提升民政部门依法行政能力和水平，进一步形成以被收养未成年人为中心的收养观念，进一步夯实收养评估制度、推进完善我国收养制度。</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按照工作进度向财政请款，但是2024年度财政并未批付。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保障工作需要情况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提升孤儿养育服务能力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经费保障:2024年工作已按时间节点结束，并及时向财政请款，但是由于区财政局资金紧张，并未拨付。执行率为0%。</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未成年人保护工作经费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沈阳市浑南区民政事务服务中心-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据《中华人民共和国未成年人保护法》、《中华人民共和国民法典》、《中华人民共和国家庭教育促进法》、《国务院关于加强困境儿童保障工作的意见》(国发〔2016〕36 号)、《最高人民法院最高人民检察院公安部民政部印发&lt;关于依法处理监护人侵害未成年人权益行为若干问题的意见&gt;的通知》(法发〔2014〕24 号)、《儿童福利机构管理办法》(民政部令〔2018〕63 号)、《关于做好因突发事件影响造成监护缺失未成年人救助保护工作的意见》(民发〔2021〕5号)等有关法律法规和文件规定，对于存在监护缺失或者监护不当情形的下列家庭,应当根据需要及时启动监护能力评估:经应急处置，由社区(村)、街道(乡镇)及民政部门承担临时监护职责，有利于保护未成年人的身心健康，保障未成年人的合法权益，营造良好的社会环境，促进未成年人健康成长的社会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2024年正常开展工作，全年工作已按时间节点结束，按照实际产生的工作经费金额请款。财政拨付1.48万元，我局按时支付1.48万元。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农村留守儿童、困境儿童纳入保障范围率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孤儿、事实无人抚养等儿童纳入保障范围率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孤儿、事实无人抚养等儿童认定准确率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专项资金发放及时性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项目投资成本控制率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孤儿集中供养救助标准提升率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经费保障:2024年正常开展工作，全年工作已按时间节点结束，按照实际产生的工作经费金额请款。财政拨付1.48万元，我局按时支付1.48万元。此项资金由于财政资金紧张，因此执行率偏低。</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