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辽宁省沈阳市浑南区乡村振兴发展中心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辽宁省沈阳市浑南区乡村振兴发展中心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辽宁省沈阳市浑南区乡村振兴发展中心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辽宁省沈阳市浑南区乡村振兴发展中心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辽宁省沈阳市浑南区乡村振兴发展中心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辽宁省沈阳市浑南区乡村振兴发展中心概况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（一）围绕国家“乡村振兴”战略实施和农业供给侧改革要求，整合全区农业科技资源职能，推进我区农业科技资源共享服务，建立健全我区农业科技推广体系，为加快我区现代农业发展提供技术支撑。 </w:t>
        <w:br/>
        <w:t xml:space="preserve">    （二）承担种植业、畜牧兽医、水产渔业、粮油食品、农业机械化、新能源利用、果树、水利技术等领域技术推广服务，促进先进适用技术和名优新品种示范推广，开展土肥技术推广，为推动全区农业农村经济发展提供科技支撑。 </w:t>
        <w:br/>
        <w:t xml:space="preserve">    （三）组织开展上级农业主管部门实施的农村实用人才培训项目，大力培育新型农民；负责农业技术推广体系建设和队伍管理，培训基层农技推广人员，指导农民及农民专业组织应用新品种、新技术，帮助农民提高专业知识水平和操作技能。 </w:t>
        <w:br/>
        <w:t xml:space="preserve">    （四）负责全区农产品、粮油检测工作。 </w:t>
        <w:br/>
        <w:t xml:space="preserve">    （五）负责全区果树及果树苗木、种子的技术指导、实验示范、成果转化和推广，组织果树技术培训，提供技术、信息、服务等。 </w:t>
        <w:br/>
        <w:t xml:space="preserve">    （六）负责对全区高标准农田建设项目的管理及统计报表工作。 </w:t>
        <w:br/>
        <w:t xml:space="preserve">    （七）贯彻国家各项农村综合改革政策及省、市、区相关要求。 </w:t>
        <w:br/>
        <w:t xml:space="preserve">    （八）完成区委、区政府交办的其他任务。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辽宁省沈阳市浑南区乡村振兴发展中心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沈阳市浑南区乡村振兴发展中心本级，本单位无下设机构。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1293.62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863.19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66.73</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863.19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430.42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33.27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主要是农产品质量安全、农业农村支出、农业生态资源保护等。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减少1830.16万元，降低58.59%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由于机构改革，单位人员、项目、业务均有减少，因此总收入减少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863.19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671.02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77.74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工资福利支出566.14万元；商品和服务支出30.34万元；对个人和家庭的补助74.54万元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192.17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22.26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主要包括病虫害控制、农业生产发展、农业农村相关支出、农业资源保护修复与利用等业务支出。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减少1830.16万元，降低67.95%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单位项目及业务支出减少，例如2024年浑南区高标准农田建设项目相关资金，由于上级未批复该项目，因此支出减少。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430.42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主要是历史遗留及机构改革等原因形成的结余。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历史遗留项目本年未支付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863.19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671.02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192.17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减少1819.16万元，降低67.82%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单位项目及业务支出减少，例如2024年浑南区高标准农田建设项目相关资金，由于上级未批复该项目，因此支出减少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74.14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90.10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45.80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2024年度一般公共预算财政拨款支出863.19万元。按支出功能分类科目分，包括：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1.社会保障和就业支出195.97万元，具体包括：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23.74万元,主要是事业单位退休费等支出，完成年初预算的110.16%，决算数与年初预算数存在差异的主要原因是按实际情况支出，当年新增退休人员6名，因此相关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54.95万元,主要是机关事业单位基本养老保险缴费等支出，完成年初预算的89.61%，决算数与年初预算数存在差异的主要原因是按实际情况支出，当年在职人员退休6人，因此在职人员单位基本养老保险缴费等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45.12万元,主要是机关事业单位职业年金缴费等支出，完成年初预算的100%，决算数与年初预算数存在差异的主要原因是完全按照年初预算安排，因此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69.27万元,主要是死亡抚恤等支出，完成年初预算的100%，决算数与年初预算数存在差异的主要原因是按实际情况支出，全部按规定发放完毕，没有结余或扣减。</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（5）社会保障和就业支出（类）抚恤（款）伤残抚恤（项）2.89万元,主要是伤残抚恤金等支出，完成年初预算的100%，决算数与年初预算数存在差异的主要原因是完全按照年初预算安排，因此无差异。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2.卫生健康支出22.27万元，具体包括：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22.27万元,主要是事业单位医疗等支出，完成年初预算的74.66%，决算数与年初预算数存在差异的主要原因是按实际情况支出，当年在职人员退休6人，因此单位医疗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3.农林水支出587.74万元，具体包括：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事业运行（项）427.95万元,主要是人员经费、公用经费等支出，完成年初预算的62.86%，决算数与年初预算数存在差异的主要原因是由于机构改革，单位人员经费、公用经费等均有减少，按实际情况支出，因此相关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业生态资源保护（项）5.81万元,主要是中央财政化肥减量化项目等支出，完成年初预算的58.1%，决算数与年初预算数存在差异的主要原因是此笔资金为上级专项资金，虽纳入年初预算安排，但部分资金已于2023年12月支付完成，未计入2024年度支出金额中，故存在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其他农业农村支出（项）153.98万元,主要是农机公司经费、粮库职工人员经费、派遣人员经费等支出，完成年初预算的84.49%，决算数与年初预算数存在差异的主要原因是按实际情况支出，粮库部分历史遗留职工人员材料不完善，相关资金未下达；当年派遣人员离职，相关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4.住房保障支出57.22万元，具体包括：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57.22万元,主要是住房公积金等支出，完成年初预算的72.82%，决算数与年初预算数存在差异的主要原因是按实际情况支出，当年在职人员退休6人，因此住房公积金支出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671.02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640.68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30.34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沈阳市浑南区乡村振兴发展中心单位属于事业单位，无机关运行经费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38</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38</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，其他用车主要是特种专业技术用车及2000年四家合并产生的车辆，有账无物</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具体而言，本年度我部门共组织对26个项目实施了绩效评价。从预算资金来源看，涉及一般公共预算的项目26个，涉及政府性基金预算的项目0个，涉及国有资本经营预算的项目0个。</w:t>
        <w:br/>
        <w:t xml:space="preserve">    上述评价工作共涉及财政资金191.14万元。其中，一般公共预算资金191.14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2个；得分在60分（含）至80分、等级为“中”的项目有1个；得分在60分以下、等级为“差”的项目有17个。各项目自评发现，部分项目存在预算执行及预算指标进度偏慢，已要求相关项目科室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16.农林水支出（类）农业农村（款）事业运行（项）：反映事业单位的基本支出，不包括行政单位（包括实行公务员管理的事业单位）后勤服务中心、医疗室等附属事业单位。</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863.19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195.96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22.27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587.75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57.22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863.19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863.19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430.42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430.42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1,293.62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1,293.62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863.19</w:t>
            </w:r>
          </w:p>
        </w:tc>
        <w:tc>
          <w:tcPr>
            <w:tcW w:w="960" w:type="dxa"/>
            <w:tcBorders/>
            <w:vAlign w:val="center"/>
          </w:tcPr>
          <w:p>
            <w:pPr>
              <w:jc w:val="right"/>
            </w:pPr>
            <w:r>
              <w:rPr>
                <w:rFonts w:ascii="宋体" w:eastAsia="宋体" w:hAnsi="宋体" w:cs="宋体"/>
                <w:b/>
                <w:i w:val="0"/>
                <w:color w:val="000000"/>
                <w:sz w:val="13"/>
              </w:rPr>
              <w:t xml:space="preserve">863.19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195.97</w:t>
            </w:r>
          </w:p>
        </w:tc>
        <w:tc>
          <w:tcPr>
            <w:tcW w:w="960" w:type="dxa"/>
            <w:tcBorders/>
            <w:vAlign w:val="center"/>
          </w:tcPr>
          <w:p>
            <w:pPr>
              <w:jc w:val="right"/>
            </w:pPr>
            <w:r>
              <w:rPr>
                <w:rFonts w:ascii="宋体" w:eastAsia="宋体" w:hAnsi="宋体" w:cs="宋体"/>
                <w:b w:val="0"/>
                <w:i w:val="0"/>
                <w:color w:val="000000"/>
                <w:sz w:val="13"/>
              </w:rPr>
              <w:t xml:space="preserve">195.97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123.81</w:t>
            </w:r>
          </w:p>
        </w:tc>
        <w:tc>
          <w:tcPr>
            <w:tcW w:w="960" w:type="dxa"/>
            <w:tcBorders/>
            <w:vAlign w:val="center"/>
          </w:tcPr>
          <w:p>
            <w:pPr>
              <w:jc w:val="right"/>
            </w:pPr>
            <w:r>
              <w:rPr>
                <w:rFonts w:ascii="宋体" w:eastAsia="宋体" w:hAnsi="宋体" w:cs="宋体"/>
                <w:b w:val="0"/>
                <w:i w:val="0"/>
                <w:color w:val="000000"/>
                <w:sz w:val="13"/>
              </w:rPr>
              <w:t xml:space="preserve">123.81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23.74</w:t>
            </w:r>
          </w:p>
        </w:tc>
        <w:tc>
          <w:tcPr>
            <w:tcW w:w="960" w:type="dxa"/>
            <w:tcBorders/>
            <w:vAlign w:val="center"/>
          </w:tcPr>
          <w:p>
            <w:pPr>
              <w:jc w:val="right"/>
            </w:pPr>
            <w:r>
              <w:rPr>
                <w:rFonts w:ascii="宋体" w:eastAsia="宋体" w:hAnsi="宋体" w:cs="宋体"/>
                <w:b w:val="0"/>
                <w:i w:val="0"/>
                <w:color w:val="000000"/>
                <w:sz w:val="13"/>
              </w:rPr>
              <w:t xml:space="preserve">23.74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54.95</w:t>
            </w:r>
          </w:p>
        </w:tc>
        <w:tc>
          <w:tcPr>
            <w:tcW w:w="960" w:type="dxa"/>
            <w:tcBorders/>
            <w:vAlign w:val="center"/>
          </w:tcPr>
          <w:p>
            <w:pPr>
              <w:jc w:val="right"/>
            </w:pPr>
            <w:r>
              <w:rPr>
                <w:rFonts w:ascii="宋体" w:eastAsia="宋体" w:hAnsi="宋体" w:cs="宋体"/>
                <w:b w:val="0"/>
                <w:i w:val="0"/>
                <w:color w:val="000000"/>
                <w:sz w:val="13"/>
              </w:rPr>
              <w:t xml:space="preserve">54.95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45.12</w:t>
            </w:r>
          </w:p>
        </w:tc>
        <w:tc>
          <w:tcPr>
            <w:tcW w:w="960" w:type="dxa"/>
            <w:tcBorders/>
            <w:vAlign w:val="center"/>
          </w:tcPr>
          <w:p>
            <w:pPr>
              <w:jc w:val="right"/>
            </w:pPr>
            <w:r>
              <w:rPr>
                <w:rFonts w:ascii="宋体" w:eastAsia="宋体" w:hAnsi="宋体" w:cs="宋体"/>
                <w:b w:val="0"/>
                <w:i w:val="0"/>
                <w:color w:val="000000"/>
                <w:sz w:val="13"/>
              </w:rPr>
              <w:t xml:space="preserve">45.12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72.16</w:t>
            </w:r>
          </w:p>
        </w:tc>
        <w:tc>
          <w:tcPr>
            <w:tcW w:w="960" w:type="dxa"/>
            <w:tcBorders/>
            <w:vAlign w:val="center"/>
          </w:tcPr>
          <w:p>
            <w:pPr>
              <w:jc w:val="right"/>
            </w:pPr>
            <w:r>
              <w:rPr>
                <w:rFonts w:ascii="宋体" w:eastAsia="宋体" w:hAnsi="宋体" w:cs="宋体"/>
                <w:b w:val="0"/>
                <w:i w:val="0"/>
                <w:color w:val="000000"/>
                <w:sz w:val="13"/>
              </w:rPr>
              <w:t xml:space="preserve">72.16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69.27</w:t>
            </w:r>
          </w:p>
        </w:tc>
        <w:tc>
          <w:tcPr>
            <w:tcW w:w="960" w:type="dxa"/>
            <w:tcBorders/>
            <w:vAlign w:val="center"/>
          </w:tcPr>
          <w:p>
            <w:pPr>
              <w:jc w:val="right"/>
            </w:pPr>
            <w:r>
              <w:rPr>
                <w:rFonts w:ascii="宋体" w:eastAsia="宋体" w:hAnsi="宋体" w:cs="宋体"/>
                <w:b w:val="0"/>
                <w:i w:val="0"/>
                <w:color w:val="000000"/>
                <w:sz w:val="13"/>
              </w:rPr>
              <w:t xml:space="preserve">69.27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jc w:val="right"/>
            </w:pPr>
            <w:r>
              <w:rPr>
                <w:rFonts w:ascii="宋体" w:eastAsia="宋体" w:hAnsi="宋体" w:cs="宋体"/>
                <w:b w:val="0"/>
                <w:i w:val="0"/>
                <w:color w:val="000000"/>
                <w:sz w:val="13"/>
              </w:rPr>
              <w:t xml:space="preserve">22.27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587.74</w:t>
            </w:r>
          </w:p>
        </w:tc>
        <w:tc>
          <w:tcPr>
            <w:tcW w:w="960" w:type="dxa"/>
            <w:tcBorders/>
            <w:vAlign w:val="center"/>
          </w:tcPr>
          <w:p>
            <w:pPr>
              <w:jc w:val="right"/>
            </w:pPr>
            <w:r>
              <w:rPr>
                <w:rFonts w:ascii="宋体" w:eastAsia="宋体" w:hAnsi="宋体" w:cs="宋体"/>
                <w:b w:val="0"/>
                <w:i w:val="0"/>
                <w:color w:val="000000"/>
                <w:sz w:val="13"/>
              </w:rPr>
              <w:t xml:space="preserve">587.74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587.74</w:t>
            </w:r>
          </w:p>
        </w:tc>
        <w:tc>
          <w:tcPr>
            <w:tcW w:w="960" w:type="dxa"/>
            <w:tcBorders/>
            <w:vAlign w:val="center"/>
          </w:tcPr>
          <w:p>
            <w:pPr>
              <w:jc w:val="right"/>
            </w:pPr>
            <w:r>
              <w:rPr>
                <w:rFonts w:ascii="宋体" w:eastAsia="宋体" w:hAnsi="宋体" w:cs="宋体"/>
                <w:b w:val="0"/>
                <w:i w:val="0"/>
                <w:color w:val="000000"/>
                <w:sz w:val="13"/>
              </w:rPr>
              <w:t xml:space="preserve">587.74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2130104</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427.95</w:t>
            </w:r>
          </w:p>
        </w:tc>
        <w:tc>
          <w:tcPr>
            <w:tcW w:w="960" w:type="dxa"/>
            <w:tcBorders/>
            <w:vAlign w:val="center"/>
          </w:tcPr>
          <w:p>
            <w:pPr>
              <w:jc w:val="right"/>
            </w:pPr>
            <w:r>
              <w:rPr>
                <w:rFonts w:ascii="宋体" w:eastAsia="宋体" w:hAnsi="宋体" w:cs="宋体"/>
                <w:b w:val="0"/>
                <w:i w:val="0"/>
                <w:color w:val="000000"/>
                <w:sz w:val="13"/>
              </w:rPr>
              <w:t xml:space="preserve">427.95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jc w:val="right"/>
            </w:pPr>
            <w:r>
              <w:rPr>
                <w:rFonts w:ascii="宋体" w:eastAsia="宋体" w:hAnsi="宋体" w:cs="宋体"/>
                <w:b w:val="0"/>
                <w:i w:val="0"/>
                <w:color w:val="000000"/>
                <w:sz w:val="13"/>
              </w:rPr>
              <w:t xml:space="preserve">5.81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153.98</w:t>
            </w:r>
          </w:p>
        </w:tc>
        <w:tc>
          <w:tcPr>
            <w:tcW w:w="960" w:type="dxa"/>
            <w:tcBorders/>
            <w:vAlign w:val="center"/>
          </w:tcPr>
          <w:p>
            <w:pPr>
              <w:jc w:val="right"/>
            </w:pPr>
            <w:r>
              <w:rPr>
                <w:rFonts w:ascii="宋体" w:eastAsia="宋体" w:hAnsi="宋体" w:cs="宋体"/>
                <w:b w:val="0"/>
                <w:i w:val="0"/>
                <w:color w:val="000000"/>
                <w:sz w:val="13"/>
              </w:rPr>
              <w:t xml:space="preserve">153.98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jc w:val="right"/>
            </w:pPr>
            <w:r>
              <w:rPr>
                <w:rFonts w:ascii="宋体" w:eastAsia="宋体" w:hAnsi="宋体" w:cs="宋体"/>
                <w:b w:val="0"/>
                <w:i w:val="0"/>
                <w:color w:val="000000"/>
                <w:sz w:val="13"/>
              </w:rPr>
              <w:t xml:space="preserve">57.22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863.19</w:t>
            </w:r>
          </w:p>
        </w:tc>
        <w:tc>
          <w:tcPr>
            <w:tcW w:w="1060" w:type="dxa"/>
            <w:tcBorders/>
            <w:vAlign w:val="center"/>
          </w:tcPr>
          <w:p>
            <w:pPr>
              <w:jc w:val="right"/>
            </w:pPr>
            <w:r>
              <w:rPr>
                <w:rFonts w:ascii="宋体" w:eastAsia="宋体" w:hAnsi="宋体" w:cs="宋体"/>
                <w:b/>
                <w:i w:val="0"/>
                <w:color w:val="000000"/>
                <w:sz w:val="14"/>
              </w:rPr>
              <w:t xml:space="preserve">671.02</w:t>
            </w:r>
          </w:p>
        </w:tc>
        <w:tc>
          <w:tcPr>
            <w:tcW w:w="1060" w:type="dxa"/>
            <w:tcBorders/>
            <w:vAlign w:val="center"/>
          </w:tcPr>
          <w:p>
            <w:pPr>
              <w:jc w:val="right"/>
            </w:pPr>
            <w:r>
              <w:rPr>
                <w:rFonts w:ascii="宋体" w:eastAsia="宋体" w:hAnsi="宋体" w:cs="宋体"/>
                <w:b/>
                <w:i w:val="0"/>
                <w:color w:val="000000"/>
                <w:sz w:val="14"/>
              </w:rPr>
              <w:t xml:space="preserve">192.17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195.97</w:t>
            </w:r>
          </w:p>
        </w:tc>
        <w:tc>
          <w:tcPr>
            <w:tcW w:w="1060" w:type="dxa"/>
            <w:tcBorders/>
            <w:vAlign w:val="center"/>
          </w:tcPr>
          <w:p>
            <w:pPr>
              <w:jc w:val="right"/>
            </w:pPr>
            <w:r>
              <w:rPr>
                <w:rFonts w:ascii="宋体" w:eastAsia="宋体" w:hAnsi="宋体" w:cs="宋体"/>
                <w:b w:val="0"/>
                <w:i w:val="0"/>
                <w:color w:val="000000"/>
                <w:sz w:val="14"/>
              </w:rPr>
              <w:t xml:space="preserve">163.59</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123.81</w:t>
            </w:r>
          </w:p>
        </w:tc>
        <w:tc>
          <w:tcPr>
            <w:tcW w:w="1060" w:type="dxa"/>
            <w:tcBorders/>
            <w:vAlign w:val="center"/>
          </w:tcPr>
          <w:p>
            <w:pPr>
              <w:jc w:val="right"/>
            </w:pPr>
            <w:r>
              <w:rPr>
                <w:rFonts w:ascii="宋体" w:eastAsia="宋体" w:hAnsi="宋体" w:cs="宋体"/>
                <w:b w:val="0"/>
                <w:i w:val="0"/>
                <w:color w:val="000000"/>
                <w:sz w:val="14"/>
              </w:rPr>
              <w:t xml:space="preserve">123.81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23.74</w:t>
            </w:r>
          </w:p>
        </w:tc>
        <w:tc>
          <w:tcPr>
            <w:tcW w:w="1060" w:type="dxa"/>
            <w:tcBorders/>
            <w:vAlign w:val="center"/>
          </w:tcPr>
          <w:p>
            <w:pPr>
              <w:jc w:val="right"/>
            </w:pPr>
            <w:r>
              <w:rPr>
                <w:rFonts w:ascii="宋体" w:eastAsia="宋体" w:hAnsi="宋体" w:cs="宋体"/>
                <w:b w:val="0"/>
                <w:i w:val="0"/>
                <w:color w:val="000000"/>
                <w:sz w:val="14"/>
              </w:rPr>
              <w:t xml:space="preserve">23.74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54.95</w:t>
            </w:r>
          </w:p>
        </w:tc>
        <w:tc>
          <w:tcPr>
            <w:tcW w:w="1060" w:type="dxa"/>
            <w:tcBorders/>
            <w:vAlign w:val="center"/>
          </w:tcPr>
          <w:p>
            <w:pPr>
              <w:jc w:val="right"/>
            </w:pPr>
            <w:r>
              <w:rPr>
                <w:rFonts w:ascii="宋体" w:eastAsia="宋体" w:hAnsi="宋体" w:cs="宋体"/>
                <w:b w:val="0"/>
                <w:i w:val="0"/>
                <w:color w:val="000000"/>
                <w:sz w:val="14"/>
              </w:rPr>
              <w:t xml:space="preserve">54.95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45.12</w:t>
            </w:r>
          </w:p>
        </w:tc>
        <w:tc>
          <w:tcPr>
            <w:tcW w:w="1060" w:type="dxa"/>
            <w:tcBorders/>
            <w:vAlign w:val="center"/>
          </w:tcPr>
          <w:p>
            <w:pPr>
              <w:jc w:val="right"/>
            </w:pPr>
            <w:r>
              <w:rPr>
                <w:rFonts w:ascii="宋体" w:eastAsia="宋体" w:hAnsi="宋体" w:cs="宋体"/>
                <w:b w:val="0"/>
                <w:i w:val="0"/>
                <w:color w:val="000000"/>
                <w:sz w:val="14"/>
              </w:rPr>
              <w:t xml:space="preserve">45.12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72.16</w:t>
            </w:r>
          </w:p>
        </w:tc>
        <w:tc>
          <w:tcPr>
            <w:tcW w:w="1060" w:type="dxa"/>
            <w:tcBorders/>
            <w:vAlign w:val="center"/>
          </w:tcPr>
          <w:p>
            <w:pPr>
              <w:jc w:val="right"/>
            </w:pPr>
            <w:r>
              <w:rPr>
                <w:rFonts w:ascii="宋体" w:eastAsia="宋体" w:hAnsi="宋体" w:cs="宋体"/>
                <w:b w:val="0"/>
                <w:i w:val="0"/>
                <w:color w:val="000000"/>
                <w:sz w:val="14"/>
              </w:rPr>
              <w:t xml:space="preserve">39.78</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69.27</w:t>
            </w:r>
          </w:p>
        </w:tc>
        <w:tc>
          <w:tcPr>
            <w:tcW w:w="1060" w:type="dxa"/>
            <w:tcBorders/>
            <w:vAlign w:val="center"/>
          </w:tcPr>
          <w:p>
            <w:pPr>
              <w:jc w:val="right"/>
            </w:pPr>
            <w:r>
              <w:rPr>
                <w:rFonts w:ascii="宋体" w:eastAsia="宋体" w:hAnsi="宋体" w:cs="宋体"/>
                <w:b w:val="0"/>
                <w:i w:val="0"/>
                <w:color w:val="000000"/>
                <w:sz w:val="14"/>
              </w:rPr>
              <w:t xml:space="preserve">36.89</w:t>
            </w:r>
          </w:p>
        </w:tc>
        <w:tc>
          <w:tcPr>
            <w:tcW w:w="1060" w:type="dxa"/>
            <w:tcBorders/>
            <w:vAlign w:val="center"/>
          </w:tcPr>
          <w:p>
            <w:pPr>
              <w:jc w:val="right"/>
            </w:pPr>
            <w:r>
              <w:rPr>
                <w:rFonts w:ascii="宋体" w:eastAsia="宋体" w:hAnsi="宋体" w:cs="宋体"/>
                <w:b w:val="0"/>
                <w:i w:val="0"/>
                <w:color w:val="000000"/>
                <w:sz w:val="14"/>
              </w:rPr>
              <w:t xml:space="preserve">32.38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jc w:val="right"/>
            </w:pPr>
            <w:r>
              <w:rPr>
                <w:rFonts w:ascii="宋体" w:eastAsia="宋体" w:hAnsi="宋体" w:cs="宋体"/>
                <w:b w:val="0"/>
                <w:i w:val="0"/>
                <w:color w:val="000000"/>
                <w:sz w:val="14"/>
              </w:rPr>
              <w:t xml:space="preserve">22.27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587.74</w:t>
            </w:r>
          </w:p>
        </w:tc>
        <w:tc>
          <w:tcPr>
            <w:tcW w:w="1060" w:type="dxa"/>
            <w:tcBorders/>
            <w:vAlign w:val="center"/>
          </w:tcPr>
          <w:p>
            <w:pPr>
              <w:jc w:val="right"/>
            </w:pPr>
            <w:r>
              <w:rPr>
                <w:rFonts w:ascii="宋体" w:eastAsia="宋体" w:hAnsi="宋体" w:cs="宋体"/>
                <w:b w:val="0"/>
                <w:i w:val="0"/>
                <w:color w:val="000000"/>
                <w:sz w:val="14"/>
              </w:rPr>
              <w:t xml:space="preserve">427.95</w:t>
            </w:r>
          </w:p>
        </w:tc>
        <w:tc>
          <w:tcPr>
            <w:tcW w:w="1060" w:type="dxa"/>
            <w:tcBorders/>
            <w:vAlign w:val="center"/>
          </w:tcPr>
          <w:p>
            <w:pPr>
              <w:jc w:val="right"/>
            </w:pPr>
            <w:r>
              <w:rPr>
                <w:rFonts w:ascii="宋体" w:eastAsia="宋体" w:hAnsi="宋体" w:cs="宋体"/>
                <w:b w:val="0"/>
                <w:i w:val="0"/>
                <w:color w:val="000000"/>
                <w:sz w:val="14"/>
              </w:rPr>
              <w:t xml:space="preserve">159.79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587.74</w:t>
            </w:r>
          </w:p>
        </w:tc>
        <w:tc>
          <w:tcPr>
            <w:tcW w:w="1060" w:type="dxa"/>
            <w:tcBorders/>
            <w:vAlign w:val="center"/>
          </w:tcPr>
          <w:p>
            <w:pPr>
              <w:jc w:val="right"/>
            </w:pPr>
            <w:r>
              <w:rPr>
                <w:rFonts w:ascii="宋体" w:eastAsia="宋体" w:hAnsi="宋体" w:cs="宋体"/>
                <w:b w:val="0"/>
                <w:i w:val="0"/>
                <w:color w:val="000000"/>
                <w:sz w:val="14"/>
              </w:rPr>
              <w:t xml:space="preserve">427.95</w:t>
            </w:r>
          </w:p>
        </w:tc>
        <w:tc>
          <w:tcPr>
            <w:tcW w:w="1060" w:type="dxa"/>
            <w:tcBorders/>
            <w:vAlign w:val="center"/>
          </w:tcPr>
          <w:p>
            <w:pPr>
              <w:jc w:val="right"/>
            </w:pPr>
            <w:r>
              <w:rPr>
                <w:rFonts w:ascii="宋体" w:eastAsia="宋体" w:hAnsi="宋体" w:cs="宋体"/>
                <w:b w:val="0"/>
                <w:i w:val="0"/>
                <w:color w:val="000000"/>
                <w:sz w:val="14"/>
              </w:rPr>
              <w:t xml:space="preserve">159.79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2130104</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427.95</w:t>
            </w:r>
          </w:p>
        </w:tc>
        <w:tc>
          <w:tcPr>
            <w:tcW w:w="1060" w:type="dxa"/>
            <w:tcBorders/>
            <w:vAlign w:val="center"/>
          </w:tcPr>
          <w:p>
            <w:pPr>
              <w:jc w:val="right"/>
            </w:pPr>
            <w:r>
              <w:rPr>
                <w:rFonts w:ascii="宋体" w:eastAsia="宋体" w:hAnsi="宋体" w:cs="宋体"/>
                <w:b w:val="0"/>
                <w:i w:val="0"/>
                <w:color w:val="000000"/>
                <w:sz w:val="14"/>
              </w:rPr>
              <w:t xml:space="preserve">427.95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153.98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153.98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jc w:val="right"/>
            </w:pPr>
            <w:r>
              <w:rPr>
                <w:rFonts w:ascii="宋体" w:eastAsia="宋体" w:hAnsi="宋体" w:cs="宋体"/>
                <w:b w:val="0"/>
                <w:i w:val="0"/>
                <w:color w:val="000000"/>
                <w:sz w:val="14"/>
              </w:rPr>
              <w:t xml:space="preserve">57.22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195.96</w:t>
            </w:r>
          </w:p>
        </w:tc>
        <w:tc>
          <w:tcPr>
            <w:tcW w:w="1100" w:type="dxa"/>
            <w:tcBorders/>
            <w:vAlign w:val="center"/>
          </w:tcPr>
          <w:p>
            <w:pPr>
              <w:jc w:val="right"/>
            </w:pPr>
            <w:r>
              <w:rPr>
                <w:rFonts w:ascii="宋体" w:eastAsia="宋体" w:hAnsi="宋体" w:cs="宋体"/>
                <w:b w:val="0"/>
                <w:i w:val="0"/>
                <w:color w:val="000000"/>
                <w:sz w:val="14"/>
              </w:rPr>
              <w:t xml:space="preserve">195.96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22.27</w:t>
            </w:r>
          </w:p>
        </w:tc>
        <w:tc>
          <w:tcPr>
            <w:tcW w:w="1100" w:type="dxa"/>
            <w:tcBorders/>
            <w:vAlign w:val="center"/>
          </w:tcPr>
          <w:p>
            <w:pPr>
              <w:jc w:val="right"/>
            </w:pPr>
            <w:r>
              <w:rPr>
                <w:rFonts w:ascii="宋体" w:eastAsia="宋体" w:hAnsi="宋体" w:cs="宋体"/>
                <w:b w:val="0"/>
                <w:i w:val="0"/>
                <w:color w:val="000000"/>
                <w:sz w:val="14"/>
              </w:rPr>
              <w:t xml:space="preserve">22.27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587.75</w:t>
            </w:r>
          </w:p>
        </w:tc>
        <w:tc>
          <w:tcPr>
            <w:tcW w:w="1100" w:type="dxa"/>
            <w:tcBorders/>
            <w:vAlign w:val="center"/>
          </w:tcPr>
          <w:p>
            <w:pPr>
              <w:jc w:val="right"/>
            </w:pPr>
            <w:r>
              <w:rPr>
                <w:rFonts w:ascii="宋体" w:eastAsia="宋体" w:hAnsi="宋体" w:cs="宋体"/>
                <w:b w:val="0"/>
                <w:i w:val="0"/>
                <w:color w:val="000000"/>
                <w:sz w:val="14"/>
              </w:rPr>
              <w:t xml:space="preserve">587.75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57.22</w:t>
            </w:r>
          </w:p>
        </w:tc>
        <w:tc>
          <w:tcPr>
            <w:tcW w:w="1100" w:type="dxa"/>
            <w:tcBorders/>
            <w:vAlign w:val="center"/>
          </w:tcPr>
          <w:p>
            <w:pPr>
              <w:jc w:val="right"/>
            </w:pPr>
            <w:r>
              <w:rPr>
                <w:rFonts w:ascii="宋体" w:eastAsia="宋体" w:hAnsi="宋体" w:cs="宋体"/>
                <w:b w:val="0"/>
                <w:i w:val="0"/>
                <w:color w:val="000000"/>
                <w:sz w:val="14"/>
              </w:rPr>
              <w:t xml:space="preserve">57.22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1100" w:type="dxa"/>
            <w:tcBorders/>
            <w:vAlign w:val="center"/>
          </w:tcPr>
          <w:p>
            <w:pPr>
              <w:jc w:val="right"/>
            </w:pPr>
            <w:r>
              <w:rPr>
                <w:rFonts w:ascii="宋体" w:eastAsia="宋体" w:hAnsi="宋体" w:cs="宋体"/>
                <w:b w:val="0"/>
                <w:i w:val="0"/>
                <w:color w:val="000000"/>
                <w:sz w:val="14"/>
              </w:rPr>
              <w:t xml:space="preserve">863.19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863.19</w:t>
            </w:r>
          </w:p>
        </w:tc>
        <w:tc>
          <w:tcPr>
            <w:tcW w:w="1780" w:type="dxa"/>
            <w:tcBorders/>
            <w:vAlign w:val="center"/>
          </w:tcPr>
          <w:p>
            <w:pPr>
              <w:jc w:val="right"/>
            </w:pPr>
            <w:r>
              <w:rPr>
                <w:rFonts w:ascii="宋体" w:eastAsia="宋体" w:hAnsi="宋体" w:cs="宋体"/>
                <w:b/>
                <w:i w:val="0"/>
                <w:color w:val="000000"/>
                <w:sz w:val="18"/>
              </w:rPr>
              <w:t xml:space="preserve">671.02</w:t>
            </w:r>
          </w:p>
        </w:tc>
        <w:tc>
          <w:tcPr>
            <w:tcW w:w="1772" w:type="dxa"/>
            <w:tcBorders/>
            <w:vAlign w:val="center"/>
          </w:tcPr>
          <w:p>
            <w:pPr>
              <w:jc w:val="right"/>
            </w:pPr>
            <w:r>
              <w:rPr>
                <w:rFonts w:ascii="宋体" w:eastAsia="宋体" w:hAnsi="宋体" w:cs="宋体"/>
                <w:b/>
                <w:i w:val="0"/>
                <w:color w:val="000000"/>
                <w:sz w:val="18"/>
              </w:rPr>
              <w:t xml:space="preserve">192.17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195.97</w:t>
            </w:r>
          </w:p>
        </w:tc>
        <w:tc>
          <w:tcPr>
            <w:tcW w:w="1780" w:type="dxa"/>
            <w:tcBorders/>
            <w:vAlign w:val="center"/>
          </w:tcPr>
          <w:p>
            <w:pPr>
              <w:jc w:val="right"/>
            </w:pPr>
            <w:r>
              <w:rPr>
                <w:rFonts w:ascii="宋体" w:eastAsia="宋体" w:hAnsi="宋体" w:cs="宋体"/>
                <w:b w:val="0"/>
                <w:i w:val="0"/>
                <w:color w:val="000000"/>
                <w:sz w:val="18"/>
              </w:rPr>
              <w:t xml:space="preserve">163.59</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123.81</w:t>
            </w:r>
          </w:p>
        </w:tc>
        <w:tc>
          <w:tcPr>
            <w:tcW w:w="1780" w:type="dxa"/>
            <w:tcBorders/>
            <w:vAlign w:val="center"/>
          </w:tcPr>
          <w:p>
            <w:pPr>
              <w:jc w:val="right"/>
            </w:pPr>
            <w:r>
              <w:rPr>
                <w:rFonts w:ascii="宋体" w:eastAsia="宋体" w:hAnsi="宋体" w:cs="宋体"/>
                <w:b w:val="0"/>
                <w:i w:val="0"/>
                <w:color w:val="000000"/>
                <w:sz w:val="18"/>
              </w:rPr>
              <w:t xml:space="preserve">123.81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23.74</w:t>
            </w:r>
          </w:p>
        </w:tc>
        <w:tc>
          <w:tcPr>
            <w:tcW w:w="1780" w:type="dxa"/>
            <w:tcBorders/>
            <w:vAlign w:val="center"/>
          </w:tcPr>
          <w:p>
            <w:pPr>
              <w:jc w:val="right"/>
            </w:pPr>
            <w:r>
              <w:rPr>
                <w:rFonts w:ascii="宋体" w:eastAsia="宋体" w:hAnsi="宋体" w:cs="宋体"/>
                <w:b w:val="0"/>
                <w:i w:val="0"/>
                <w:color w:val="000000"/>
                <w:sz w:val="18"/>
              </w:rPr>
              <w:t xml:space="preserve">23.74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54.95</w:t>
            </w:r>
          </w:p>
        </w:tc>
        <w:tc>
          <w:tcPr>
            <w:tcW w:w="1780" w:type="dxa"/>
            <w:tcBorders/>
            <w:vAlign w:val="center"/>
          </w:tcPr>
          <w:p>
            <w:pPr>
              <w:jc w:val="right"/>
            </w:pPr>
            <w:r>
              <w:rPr>
                <w:rFonts w:ascii="宋体" w:eastAsia="宋体" w:hAnsi="宋体" w:cs="宋体"/>
                <w:b w:val="0"/>
                <w:i w:val="0"/>
                <w:color w:val="000000"/>
                <w:sz w:val="18"/>
              </w:rPr>
              <w:t xml:space="preserve">54.95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45.12</w:t>
            </w:r>
          </w:p>
        </w:tc>
        <w:tc>
          <w:tcPr>
            <w:tcW w:w="1780" w:type="dxa"/>
            <w:tcBorders/>
            <w:vAlign w:val="center"/>
          </w:tcPr>
          <w:p>
            <w:pPr>
              <w:jc w:val="right"/>
            </w:pPr>
            <w:r>
              <w:rPr>
                <w:rFonts w:ascii="宋体" w:eastAsia="宋体" w:hAnsi="宋体" w:cs="宋体"/>
                <w:b w:val="0"/>
                <w:i w:val="0"/>
                <w:color w:val="000000"/>
                <w:sz w:val="18"/>
              </w:rPr>
              <w:t xml:space="preserve">45.12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72.16</w:t>
            </w:r>
          </w:p>
        </w:tc>
        <w:tc>
          <w:tcPr>
            <w:tcW w:w="1780" w:type="dxa"/>
            <w:tcBorders/>
            <w:vAlign w:val="center"/>
          </w:tcPr>
          <w:p>
            <w:pPr>
              <w:jc w:val="right"/>
            </w:pPr>
            <w:r>
              <w:rPr>
                <w:rFonts w:ascii="宋体" w:eastAsia="宋体" w:hAnsi="宋体" w:cs="宋体"/>
                <w:b w:val="0"/>
                <w:i w:val="0"/>
                <w:color w:val="000000"/>
                <w:sz w:val="18"/>
              </w:rPr>
              <w:t xml:space="preserve">39.78</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69.27</w:t>
            </w:r>
          </w:p>
        </w:tc>
        <w:tc>
          <w:tcPr>
            <w:tcW w:w="1780" w:type="dxa"/>
            <w:tcBorders/>
            <w:vAlign w:val="center"/>
          </w:tcPr>
          <w:p>
            <w:pPr>
              <w:jc w:val="right"/>
            </w:pPr>
            <w:r>
              <w:rPr>
                <w:rFonts w:ascii="宋体" w:eastAsia="宋体" w:hAnsi="宋体" w:cs="宋体"/>
                <w:b w:val="0"/>
                <w:i w:val="0"/>
                <w:color w:val="000000"/>
                <w:sz w:val="18"/>
              </w:rPr>
              <w:t xml:space="preserve">36.89</w:t>
            </w:r>
          </w:p>
        </w:tc>
        <w:tc>
          <w:tcPr>
            <w:tcW w:w="1772" w:type="dxa"/>
            <w:tcBorders/>
            <w:vAlign w:val="center"/>
          </w:tcPr>
          <w:p>
            <w:pPr>
              <w:jc w:val="right"/>
            </w:pPr>
            <w:r>
              <w:rPr>
                <w:rFonts w:ascii="宋体" w:eastAsia="宋体" w:hAnsi="宋体" w:cs="宋体"/>
                <w:b w:val="0"/>
                <w:i w:val="0"/>
                <w:color w:val="000000"/>
                <w:sz w:val="18"/>
              </w:rPr>
              <w:t xml:space="preserve">32.38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80" w:type="dxa"/>
            <w:tcBorders/>
            <w:vAlign w:val="center"/>
          </w:tcPr>
          <w:p>
            <w:pPr>
              <w:jc w:val="right"/>
            </w:pPr>
            <w:r>
              <w:rPr>
                <w:rFonts w:ascii="宋体" w:eastAsia="宋体" w:hAnsi="宋体" w:cs="宋体"/>
                <w:b w:val="0"/>
                <w:i w:val="0"/>
                <w:color w:val="000000"/>
                <w:sz w:val="18"/>
              </w:rPr>
              <w:t xml:space="preserve">22.27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587.74</w:t>
            </w:r>
          </w:p>
        </w:tc>
        <w:tc>
          <w:tcPr>
            <w:tcW w:w="1780" w:type="dxa"/>
            <w:tcBorders/>
            <w:vAlign w:val="center"/>
          </w:tcPr>
          <w:p>
            <w:pPr>
              <w:jc w:val="right"/>
            </w:pPr>
            <w:r>
              <w:rPr>
                <w:rFonts w:ascii="宋体" w:eastAsia="宋体" w:hAnsi="宋体" w:cs="宋体"/>
                <w:b w:val="0"/>
                <w:i w:val="0"/>
                <w:color w:val="000000"/>
                <w:sz w:val="18"/>
              </w:rPr>
              <w:t xml:space="preserve">427.95</w:t>
            </w:r>
          </w:p>
        </w:tc>
        <w:tc>
          <w:tcPr>
            <w:tcW w:w="1772" w:type="dxa"/>
            <w:tcBorders/>
            <w:vAlign w:val="center"/>
          </w:tcPr>
          <w:p>
            <w:pPr>
              <w:jc w:val="right"/>
            </w:pPr>
            <w:r>
              <w:rPr>
                <w:rFonts w:ascii="宋体" w:eastAsia="宋体" w:hAnsi="宋体" w:cs="宋体"/>
                <w:b w:val="0"/>
                <w:i w:val="0"/>
                <w:color w:val="000000"/>
                <w:sz w:val="18"/>
              </w:rPr>
              <w:t xml:space="preserve">159.79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587.74</w:t>
            </w:r>
          </w:p>
        </w:tc>
        <w:tc>
          <w:tcPr>
            <w:tcW w:w="1780" w:type="dxa"/>
            <w:tcBorders/>
            <w:vAlign w:val="center"/>
          </w:tcPr>
          <w:p>
            <w:pPr>
              <w:jc w:val="right"/>
            </w:pPr>
            <w:r>
              <w:rPr>
                <w:rFonts w:ascii="宋体" w:eastAsia="宋体" w:hAnsi="宋体" w:cs="宋体"/>
                <w:b w:val="0"/>
                <w:i w:val="0"/>
                <w:color w:val="000000"/>
                <w:sz w:val="18"/>
              </w:rPr>
              <w:t xml:space="preserve">427.95</w:t>
            </w:r>
          </w:p>
        </w:tc>
        <w:tc>
          <w:tcPr>
            <w:tcW w:w="1772" w:type="dxa"/>
            <w:tcBorders/>
            <w:vAlign w:val="center"/>
          </w:tcPr>
          <w:p>
            <w:pPr>
              <w:jc w:val="right"/>
            </w:pPr>
            <w:r>
              <w:rPr>
                <w:rFonts w:ascii="宋体" w:eastAsia="宋体" w:hAnsi="宋体" w:cs="宋体"/>
                <w:b w:val="0"/>
                <w:i w:val="0"/>
                <w:color w:val="000000"/>
                <w:sz w:val="18"/>
              </w:rPr>
              <w:t xml:space="preserve">159.79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2130104</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427.95</w:t>
            </w:r>
          </w:p>
        </w:tc>
        <w:tc>
          <w:tcPr>
            <w:tcW w:w="1780" w:type="dxa"/>
            <w:tcBorders/>
            <w:vAlign w:val="center"/>
          </w:tcPr>
          <w:p>
            <w:pPr>
              <w:jc w:val="right"/>
            </w:pPr>
            <w:r>
              <w:rPr>
                <w:rFonts w:ascii="宋体" w:eastAsia="宋体" w:hAnsi="宋体" w:cs="宋体"/>
                <w:b w:val="0"/>
                <w:i w:val="0"/>
                <w:color w:val="000000"/>
                <w:sz w:val="18"/>
              </w:rPr>
              <w:t xml:space="preserve">427.95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5.81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153.98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153.98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80" w:type="dxa"/>
            <w:tcBorders/>
            <w:vAlign w:val="center"/>
          </w:tcPr>
          <w:p>
            <w:pPr>
              <w:jc w:val="right"/>
            </w:pPr>
            <w:r>
              <w:rPr>
                <w:rFonts w:ascii="宋体" w:eastAsia="宋体" w:hAnsi="宋体" w:cs="宋体"/>
                <w:b w:val="0"/>
                <w:i w:val="0"/>
                <w:color w:val="000000"/>
                <w:sz w:val="18"/>
              </w:rPr>
              <w:t xml:space="preserve">57.22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566.14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30.34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145.29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5.36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95.65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13.48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130.78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54.95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45.12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20.13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22.27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57.22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74.54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23.74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39.77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11.03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3.75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640.68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30.34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单位：辽宁省沈阳市浑南区乡村振兴发展中心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039002沈阳市浑南区乡村振兴发展中心-210112000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744.74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744.74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确保准时拨付全年单位人员经费，保障农业相关管理秩序。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已准时发放全年单位人员经费，保障农业相关管理秩序。</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生态保护受益面积</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平方公里</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保障生产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草地贪夜蛾监测、农作物病虫害测报与防治</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完成草地贪夜蛾监测、农作物病虫害测报与防治相关支付工作。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草地贪夜蛾监测、农作物病虫害测报与防治工作已完成，正在请款中。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其他:草地贪夜蛾监测、农作物病虫害测报与防治工作已完成，正在走请款请示流程，支付草地贪夜蛾监测、农作物病虫害测报与防治费用。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其他:已完成草地贪夜蛾监测、农作物病虫害测报与防治工作，正在申请请款请示流程，及时支付草地贪夜蛾监测、农作物病虫害测报与防治费用。</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其他:草地贪夜蛾监测、农作物病虫害测报与防治工作已完成，正在走请款请示流程，支付草地贪夜蛾监测、农作物病虫害测报与防治费用。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其他:已完成草地贪夜蛾监测、农作物病虫害测报与防治工作，正在申请请款请示流程，及时支付草地贪夜蛾监测、农作物病虫害测报与防治费用。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其他:草地贪夜蛾监测、农作物病虫害测报与防治工作已完成，正在走请款请示流程，支付草地贪夜蛾监测、农作物病虫害测报与防治费用。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其他:已完成草地贪夜蛾监测、农作物病虫害测报与防治工作，正在申请请款请示流程，及时支付草地贪夜蛾监测、农作物病虫害测报与防治费用。</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其他:草地贪夜蛾监测、农作物病虫害测报与防治工作已完成，正在走请款请示流程，支付草地贪夜蛾监测、农作物病虫害测报与防治费用。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其他:已完成草地贪夜蛾监测、农作物病虫害测报与防治工作，正在申请请款请示流程，及时支付草地贪夜蛾监测、农作物病虫害测报与防治费用。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第三次全国土壤普查资金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完成第三次全国土壤普查工作的资金支付。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已做第三次全国土壤普查工作，待事项完结后，进行请款申请。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其他:已做第三次全国土壤普查，但因第三次全国土壤普查工作事项未完结，故未做第三次全国土壤普查经费请款。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其他:已做第三次全国土壤普查，待第三次全国土壤普查工作事项完结后，做第三次全国土壤普查经费请款申请。</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其他:已做第三次全国土壤普查，但因第三次全国土壤普查工作事项未完结，故未做第三次全国土壤普查经费请款。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其他:已做第三次全国土壤普查，待第三次全国土壤普查工作事项完结后，做第三次全国土壤普查经费请款申请。</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其他:已做第三次全国土壤普查，但因第三次全国土壤普查工作事项未完结，故未做第三次全国土壤普查经费请款。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其他:已做第三次全国土壤普查，待第三次全国土壤普查工作事项完结后，做第三次全国土壤普查经费请款申请。</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其他:已做第三次全国土壤普查，但因第三次全国土壤普查工作事项未完结，故未做第三次全国土壤普查经费请款。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其他:已做第三次全国土壤普查，待第三次全国土壤普查工作事项完结后，做第三次全国土壤普查经费请款申请。</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其他:已做第三次全国土壤普查，但因第三次全国土壤普查工作事项未完结，故未做第三次全国土壤普查经费请款。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其他:已做第三次全国土壤普查，待第三次全国土壤普查工作事项完结后，做第三次全国土壤普查经费请款申请。</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第三次土壤普查经费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完成区县负责开展本地区土壤普查工作。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完成区县负责开展的本地区土壤普查工作。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其他:已做第三次土壤普查，但因第三次土壤普查工作事项未完结，故未做第三次土壤普查经费请款。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其他:已做第三次土壤普查，待第三次土壤普查工作事项完结后，做第三次土壤普查经费请款申请。</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其他:已做第三次土壤普查，但因第三次土壤普查工作事项未完结，故未做第三次土壤普查经费请款。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其他:已做第三次土壤普查，待第三次土壤普查工作事项完结后，做第三次土壤普查经费请款申请。</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其他:已做第三次土壤普查，但因第三次土壤普查工作事项未完结，故未做第三次土壤普查经费请款。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其他:已做第三次土壤普查，待第三次土壤普查工作事项完结后，做第三次土壤普查经费请款申请。</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其他:已做第三次土壤普查，但因第三次土壤普查工作事项未完结，故未做第三次土壤普查经费请款。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其他:已做第三次土壤普查，待第三次土壤普查工作事项完结后，做第三次土壤普查经费请款申请。</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耕地质量监测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完成土地质量监测工作。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已完成土地质量监测工作。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其他:已完成耕地质量监测工作，资金由上级资金直接支付至农户账户，故未使用预算耕地质量监测资金。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化肥减量示范项目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做好2024年化肥减量（根瘤菌剂推广应用）示范项目12000亩工作。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已完成化肥减量（根瘤菌剂推广应用）项目工作。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其他:已完成化肥减量（根瘤菌剂推广应用）项目工作，2024年中央财政继续支持实施科学施肥增效行动，故未使用预算项目资金。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其他:扎实推进化肥减量（根瘤菌剂推广应用）项目工作，争取上级财政支持实施科学施肥增效行动。</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其他:已完成化肥减量（根瘤菌剂推广应用）项目工作，2024年中央财政继续支持实施科学施肥增效行动，故未使用预算项目资金。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其他:扎实推进化肥减量（根瘤菌剂推广应用）项目工作，争取上级财政支持实施科学施肥增效行动。</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其他:已完成化肥减量（根瘤菌剂推广应用）项目工作，2024年中央财政继续支持实施科学施肥增效行动，故未使用预算项目资金。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其他:扎实推进化肥减量（根瘤菌剂推广应用）项目工作，争取上级财政支持实施科学施肥增效行动。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其他:已完成化肥减量（根瘤菌剂推广应用）项目工作，2024年中央财政继续支持实施科学施肥增效行动，故未使用预算项目资金。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其他:扎实推进化肥减量（根瘤菌剂推广应用）项目工作，争取上级财政支持实施科学施肥增效行动。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浑南区监管平台维护费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完成浑南区高标准农田监管平台维护。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2024年上级批复文件未高标准农田项目，因此不用做浑南区农田监护平台维护工作。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其他:上级未批复2024年浑南区高标准农田建设项目，因此2024年不做浑南区高标准农田平台维护工作。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其他:上级未批复2024年浑南区高标准农田建设项目，因此2024年不做浑南区高标准农田平台维护工作。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其他:上级未批复2024年浑南区高标准农田建设项目，因此2024年不做浑南区高标准农田平台维护工作。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完成残疾人就业保障金缴纳工作。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已完成残疾人就业保障金缴纳。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金碧新能源法律案件款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支付金碧新能源法律案件判决付款。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已支付金碧能源法律案件判决款。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历史遗留问题退休工资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实现2024年历史遗留问题退休工资的发放。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已完成2024年历史遗留问题退休工资的发放工作。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粮库改造升级经费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完成祝家粮库改造升级为祝家“百年大集”。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祝家粮库升级改造工作进行中。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其他:祝家粮库升级改造工作正在进行中，但因事项未完结，故未支付祝家街道粮库改造升级经费。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其他:祝家街道粮库升级改造工作正在进行中，待事项完结后，支付祝家街道粮库改造升级经费。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其他:祝家粮库升级改造工作正在进行中，但因事项未完结，故未支付祝家街道粮库改造升级经费。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其他:祝家街道粮库升级改造工作正在进行中，待事项完结后，支付祝家街道粮库改造升级经费。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其他:祝家粮库升级改造工作正在进行中，但因事项未完结，故未支付祝家街道粮库改造升级经费。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其他:祝家街道粮库升级改造工作正在进行中，待事项完结后，支付祝家街道粮库改造升级经费。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其他:祝家粮库升级改造工作正在进行中，但因事项未完结，故未支付祝家街道粮库改造升级经费。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其他:祝家街道粮库升级改造工作正在进行中，待事项完结后，支付祝家街道粮库改造升级经费。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粮库粮仓维修工程经费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完成沈阳市祝家街道粮库粮仓维修工程。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沈阳市祝家街道粮库粮仓维修工程正在进行中。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其他:粮库粮仓维修工程工作正在进行中，但因事项未完结，故未支付祝家街道粮库粮仓维修工程经费。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其他:粮库粮仓维修工程工作事项未完结，待工程竣工后，做祝家街道粮库粮仓维修工程经费支付。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其他:粮库粮仓维修工程工作正在进行中，但因事项未完结，故未支付祝家街道粮库粮仓维修工程经费。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其他:粮库粮仓维修工程工作事项未完结，待工程竣工后，做祝家街道粮库粮仓维修工程经费支付。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其他:粮库粮仓维修工程工作正在进行中，但因事项未完结，故未支付祝家街道粮库粮仓维修工程经费。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其他:粮库粮仓维修工程工作事项未完结，待工程竣工后，做祝家街道粮库粮仓维修工程经费支付。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其他:粮库粮仓维修工程工作正在进行中，但因事项未完结，故未支付祝家街道粮库粮仓维修工程经费。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其他:粮库粮仓维修工程工作事项未完结，待工程竣工后，做祝家街道粮库粮仓维修工程经费支付。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粮库人员经费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实现2024年粮库职工人员经费发放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已完成2024年粮库职工人员经费发放。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8.96533219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粮油检测站检验检测经费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完成2024年粮油检测站检验检测经费支付。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已做2024年粮油监测站检测工作，但款项未支付。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其他:已做2024年粮油检测站检验检测工作，但因事项未完结，故未支付2024年粮油检测站检测检验。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其他:待2024年粮油检测站检验检测工作事项完结后，做2024年粮油检测站检测检验支付。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其他:已做2024年粮油检测站检验检测工作，但因事项未完结，故未支付2024年粮油检测站检测检验经费。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其他:待2024年粮油检测站检验检测工作事项完结后，做2024年粮油检测站检测检验支付。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其他:已做2024年粮油检测站检验检测工作，但因事项未完结，故未支付2024年粮油检测站检测检验经费。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其他:待2024年粮油检测站检验检测工作事项完结后，做2024年粮油检测站检测检验请款。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其他:已做2024年粮油检测站检验检测工作，但因事项未完结，故未支付2024年粮油检测站检测检验。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其他:待2024年粮油检测站检验检测工作事项完结后，做2024年粮油检测站检测检验请款。</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农产品检验检测经费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完成农产品检验检测经费（2024年玉米转基因检测费、2024年街道农产品质量安全监管站工作经费）支付工作。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已完成农产品检验检测经费，但与财政沟通统一支付该资金。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其他:农产品检验检测经费包含三个乡级监管站雇用检测人员工资，以及玉米种子检测费用，与相关部门沟通统一支付。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其他:加强食用农产品质量安全监管工作，统一支付三个乡级监管站雇用检测人员工资，以及玉米种子检测费用。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其他:农产品检验检测经费包含三个乡级监管站雇用检测人员工资，以及玉米种子检测费用，与相关部门沟通统一支付。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其他:加强食用农产品质量安全监管工作，统一支付三个乡级监管站雇用检测人员工资，以及玉米种子检测费用。</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其他:农产品检验检测经费包含三个乡级监管站雇用检测人员工资，以及玉米种子检测费用，与相关部门沟通统一支付。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其他:加强食用农产品质量安全监管工作，统一支付三个乡级监管站雇用检测人员工资，以及玉米种子检测费用。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其他:农产品检验检测经费包含三个乡级监管站雇用检测人员工资，以及玉米种子检测费用，与相关部门沟通统一支付。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其他:加强食用农产品质量安全监管工作，统一支付三个乡级监管站雇用检测人员工资，以及玉米种子检测费用。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农机公司人员经费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实现2024年农机公司人员经费发放。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已完成2024年农机公司人员经费发放工作。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26.81267672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农民培训经费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完成2024年农民培训工作。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已完成2024年农民培训工作。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其他:2024年完成农民培训任务，因2024年农民培训项目未专门请培训老师进行培训，未使用农民培训经费。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其他:扎实推进高素质农民培育工作，合理利用农民培训经费，聘请专业培训老师授课，发展高素质农民队伍。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其他:2024年完成农民培训任务，因2024年农民培训项目未专门请培训老师进行培训，未使用农民培训经费。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其他:扎实推进高素质农民培育工作，合理利用农民培训经费，聘请专业培训老师授课，发展高素质农民队伍。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其他:2024年完成农民培训任务，因2024年农民培训项目未专门请培训老师进行培训，未使用农民培训经费。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其他:扎实推进高素质农民培育工作，合理利用农民培训经费，聘请专业培训老师授课，发展高素质农民队伍。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其他:2024年完成农民培训任务，因2024年农民培训项目未专门请培训老师进行培训，未使用农民培训经费。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其他:扎实推进高素质农民培育工作，合理利用农民培训经费，聘请专业培训老师授课，发展高素质农民队伍。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完成2024年派遣人员工资发放。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已完成2024年派遣人员工资发放工作。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支付2024年派遣人员的伙食费及办公费。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完成2024年派遣人员伙食费及办公费的支付工作。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17.30398374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退休死亡人员丧葬费及抚恤金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支付2024年上半年退休死亡人员白多金、石金元2人丧葬费、一次性抚恤金323766元。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已支付2024年上半年退休人员白多金、石金元等人的丧葬费、一次性抚恤金。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乡村振兴发展中心审计专项业务经费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支付农业发展服务中心审计专项业务经费。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农业发展服务中心审计专项业务正在进行中。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其他:乡村振兴中心审计专项业务正在进行中，但因事项未完结，故未支付该审计专项业务经费。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其他:乡村振兴中心审计专项业务正在进行中，待该事项完结后，申请支付该审计专项业务经费。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2023-2032年度浑南区高标准农田十年设计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完成2023-2032年度浑南区高标准农田十年设计工作。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已完成2023-2032年浑南区高标准农田十年设计工作。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其他:已完成浑南区高标准农田十年设计工作，因上级未批复2024年高标准农田建设项目，故未支付高标准农田建设十年设计工作费用。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支付2023年中央财政化肥减量增效项目资金。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已支付2023年中央财政化肥减量增效资金。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顺利完成2024年高标准农田建设项目。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上级未批复2024年高标准农田建设项目，因此2024年未在涉农街道建设高标准农田。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其他:上级未批复2024年高标准农田建设项目，因此2024年未在涉农街道建设高标准农田。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2024年高标准农田建设资金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2024年高标准农田建设资金支付。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上级未批复2024年高标准农田建设项目，将该指标收回。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其他:上级未批复2024年 浑南区高标准农田建设项目，虽下达资金指标，但因没有新建项目，将该资金指标收回。</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其他:积极申请新一年浑南区高标准农田建设项目，及时储备高标准农田建设项目，等待上级批复。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2024年农产品定性（快检）检测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2024年农产品定性（快检）检测资金支付。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已完成2024年农产品定性（快检）检测工作，与财政沟通统一支付。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其他:已完成2024年农产品定性（快检）检测工作，与相关部门沟通，该项资金后续统一支付。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其他:加强农产品定性（快检）检测工作，统一支付该项资金，保障农产品定性（快检）工作的持续推进。</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2024年中央财政化肥减量增效资金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沈阳市浑南区农业农村局-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沈阳市浑南区乡村振兴发展中心-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支付2024年中央财政化肥减量增效资金。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已完成2024年中央财政化肥减量增效工作，正在申请请款中。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其他:已完成2024年中央财政化肥减量增效工作，请款流程已申报中，同时期年底封账，资金未支付完成。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其他:积极申请2024年中央财政化肥减量增效资金，推进该项资金的请款进度，争取资金的及时支付。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