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辽宁省沈阳市浑南区劳动保障监察大队</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辽宁省沈阳市浑南区劳动保障监察大队</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辽宁省沈阳市浑南区劳动保障监察大队</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辽宁省沈阳市浑南区劳动保障监察大队</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辽宁省沈阳市浑南区劳动保障监察大队</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辽宁省沈阳市浑南区劳动保障监察大队概况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（一）负责全区劳动和社会保障监察服务保障工作。</w:t>
        <w:br/>
        <w:t xml:space="preserve">    （二）负责全区根治拖欠农民工工资等工作。</w:t>
        <w:br/>
        <w:t xml:space="preserve">    （三）负责农民工工资保证金、政府应急周转金、救助金等资金管理工作。</w:t>
        <w:br/>
        <w:t xml:space="preserve">    （四）完成区委、区政府及人社局交办的其他任务。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辽宁省沈阳市浑南区劳动保障监察大队</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浑南区劳动保障监察大队本级，本部门无下设机构。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282.63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282.63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282.63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减少92.37万元，降低24.63%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部分人员转出</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282.63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238.63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84.43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工资福利支出225.20万元；商品和服务支出12.60万元；资本性支出0.83万元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44.00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15.57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主要包括雇员、派遣人员、大学生基层岗、公益性岗位经费、农民工应急救助金、残疾人就业保障金等业务支出。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减少92.37万元，降低24.63%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部分人员转出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本单位无结转结余资金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282.63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238.63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44.00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减少92.37万元，降低24.63%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部分人员转出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91.79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85.03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161.29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2024年度一般公共预算财政拨款支出282.63万元。按支出功能分类科目分，包括：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1.一般公共服务支出14.99万元，具体包括：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（1）一般公共服务支出（类）信访事务（款）其他信访事务支出（项）14.99万元,主要是信访控访等支出，完成年初预算的99.93%，决算数与年初预算数存在差异的主要原因是根据实际情况支出。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2.社会保障和就业支出236.42万元，具体包括：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人力资源和社会保障管理事务（款）劳动保障监察（项）29.01万元,主要是商品和服务、社会福利和救助等支出，完成年初预算的116.6%，决算数与年初预算数存在差异的主要原因是根据实际情况追加救助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人力资源和社会保障管理事务（款）事业运行（项）184.83万元,主要是工资和福利、商品和服务、资本性资金等支出，完成年初预算的86.3%，决算数与年初预算数存在差异的主要原因是按实际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22.58万元,主要是养老保险等支出，完成年初预算的97.5%，决算数与年初预算数存在差异的主要原因是按实际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3.卫生健康支出10.51万元，具体包括：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（1）卫生健康支出（类）行政事业单位医疗（款）事业单位医疗（项）10.51万元,主要是医疗保险等支出，完成年初预算的90.29%，决算数与年初预算数存在差异的主要原因是按实际支出。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4.住房保障支出20.71万元，具体包括：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（1）住房保障支出（类）住房改革支出（款）住房公积金（项）20.71万元,主要是住房公积金等支出，完成年初预算的57.53%，决算数与年初预算数存在差异的主要原因是按实际支出。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238.63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225.20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13.43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0.55</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0.55</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32.33万元。其中，一般公共预算资金32.33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0个；得分在60分以下、等级为“差”的项目有0个。各项目自评发现，部分项目存在预算执行进度缓慢问题，如：农民工维权日项目效益指标未能完全达成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重点项目为信访控访补助经费，涉及资金14.99万元，评价平均分为90分，评级情况为优。同时，评价也发现农民工维权日项目存在问题，如：资金使用效益有待进一步提升。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重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282.63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14.99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236.42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10.51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20.71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282.63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282.63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282.63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282.63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282.63</w:t>
            </w:r>
          </w:p>
        </w:tc>
        <w:tc>
          <w:tcPr>
            <w:tcW w:w="960" w:type="dxa"/>
            <w:tcBorders/>
            <w:vAlign w:val="center"/>
          </w:tcPr>
          <w:p>
            <w:pPr>
              <w:jc w:val="right"/>
            </w:pPr>
            <w:r>
              <w:rPr>
                <w:rFonts w:ascii="宋体" w:eastAsia="宋体" w:hAnsi="宋体" w:cs="宋体"/>
                <w:b/>
                <w:i w:val="0"/>
                <w:color w:val="000000"/>
                <w:sz w:val="13"/>
              </w:rPr>
              <w:t xml:space="preserve">282.63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2014099</w:t>
            </w:r>
          </w:p>
        </w:tc>
        <w:tc>
          <w:tcPr>
            <w:tcW w:w="3200" w:type="dxa"/>
            <w:tcBorders/>
            <w:vAlign w:val="center"/>
          </w:tcPr>
          <w:p>
            <w:pPr>
              <w:jc w:val="left"/>
            </w:pPr>
            <w:r>
              <w:rPr>
                <w:rFonts w:ascii="宋体" w:eastAsia="宋体" w:hAnsi="宋体" w:cs="宋体"/>
                <w:b w:val="0"/>
                <w:i w:val="0"/>
                <w:color w:val="000000"/>
                <w:sz w:val="13"/>
              </w:rPr>
              <w:t xml:space="preserve">其他信访事务支出</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jc w:val="right"/>
            </w:pPr>
            <w:r>
              <w:rPr>
                <w:rFonts w:ascii="宋体" w:eastAsia="宋体" w:hAnsi="宋体" w:cs="宋体"/>
                <w:b w:val="0"/>
                <w:i w:val="0"/>
                <w:color w:val="000000"/>
                <w:sz w:val="13"/>
              </w:rPr>
              <w:t xml:space="preserve">14.99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236.42</w:t>
            </w:r>
          </w:p>
        </w:tc>
        <w:tc>
          <w:tcPr>
            <w:tcW w:w="960" w:type="dxa"/>
            <w:tcBorders/>
            <w:vAlign w:val="center"/>
          </w:tcPr>
          <w:p>
            <w:pPr>
              <w:jc w:val="right"/>
            </w:pPr>
            <w:r>
              <w:rPr>
                <w:rFonts w:ascii="宋体" w:eastAsia="宋体" w:hAnsi="宋体" w:cs="宋体"/>
                <w:b w:val="0"/>
                <w:i w:val="0"/>
                <w:color w:val="000000"/>
                <w:sz w:val="13"/>
              </w:rPr>
              <w:t xml:space="preserve">236.42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w:t>
            </w:r>
          </w:p>
        </w:tc>
        <w:tc>
          <w:tcPr>
            <w:tcW w:w="3200" w:type="dxa"/>
            <w:tcBorders/>
            <w:vAlign w:val="center"/>
          </w:tcPr>
          <w:p>
            <w:pPr>
              <w:jc w:val="left"/>
            </w:pPr>
            <w:r>
              <w:rPr>
                <w:rFonts w:ascii="宋体" w:eastAsia="宋体" w:hAnsi="宋体" w:cs="宋体"/>
                <w:b w:val="0"/>
                <w:i w:val="0"/>
                <w:color w:val="000000"/>
                <w:sz w:val="13"/>
              </w:rPr>
              <w:t xml:space="preserve">人力资源和社会保障管理事务</w:t>
            </w:r>
          </w:p>
        </w:tc>
        <w:tc>
          <w:tcPr>
            <w:tcW w:w="960" w:type="dxa"/>
            <w:tcBorders/>
            <w:vAlign w:val="center"/>
          </w:tcPr>
          <w:p>
            <w:pPr>
              <w:jc w:val="right"/>
            </w:pPr>
            <w:r>
              <w:rPr>
                <w:rFonts w:ascii="宋体" w:eastAsia="宋体" w:hAnsi="宋体" w:cs="宋体"/>
                <w:b w:val="0"/>
                <w:i w:val="0"/>
                <w:color w:val="000000"/>
                <w:sz w:val="13"/>
              </w:rPr>
              <w:t xml:space="preserve">213.84</w:t>
            </w:r>
          </w:p>
        </w:tc>
        <w:tc>
          <w:tcPr>
            <w:tcW w:w="960" w:type="dxa"/>
            <w:tcBorders/>
            <w:vAlign w:val="center"/>
          </w:tcPr>
          <w:p>
            <w:pPr>
              <w:jc w:val="right"/>
            </w:pPr>
            <w:r>
              <w:rPr>
                <w:rFonts w:ascii="宋体" w:eastAsia="宋体" w:hAnsi="宋体" w:cs="宋体"/>
                <w:b w:val="0"/>
                <w:i w:val="0"/>
                <w:color w:val="000000"/>
                <w:sz w:val="13"/>
              </w:rPr>
              <w:t xml:space="preserve">213.84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2080105</w:t>
            </w:r>
          </w:p>
        </w:tc>
        <w:tc>
          <w:tcPr>
            <w:tcW w:w="3200" w:type="dxa"/>
            <w:tcBorders/>
            <w:vAlign w:val="center"/>
          </w:tcPr>
          <w:p>
            <w:pPr>
              <w:jc w:val="left"/>
            </w:pPr>
            <w:r>
              <w:rPr>
                <w:rFonts w:ascii="宋体" w:eastAsia="宋体" w:hAnsi="宋体" w:cs="宋体"/>
                <w:b w:val="0"/>
                <w:i w:val="0"/>
                <w:color w:val="000000"/>
                <w:sz w:val="13"/>
              </w:rPr>
              <w:t xml:space="preserve">劳动保障监察</w:t>
            </w:r>
          </w:p>
        </w:tc>
        <w:tc>
          <w:tcPr>
            <w:tcW w:w="960" w:type="dxa"/>
            <w:tcBorders/>
            <w:vAlign w:val="center"/>
          </w:tcPr>
          <w:p>
            <w:pPr>
              <w:jc w:val="right"/>
            </w:pPr>
            <w:r>
              <w:rPr>
                <w:rFonts w:ascii="宋体" w:eastAsia="宋体" w:hAnsi="宋体" w:cs="宋体"/>
                <w:b w:val="0"/>
                <w:i w:val="0"/>
                <w:color w:val="000000"/>
                <w:sz w:val="13"/>
              </w:rPr>
              <w:t xml:space="preserve">29.01</w:t>
            </w:r>
          </w:p>
        </w:tc>
        <w:tc>
          <w:tcPr>
            <w:tcW w:w="960" w:type="dxa"/>
            <w:tcBorders/>
            <w:vAlign w:val="center"/>
          </w:tcPr>
          <w:p>
            <w:pPr>
              <w:jc w:val="right"/>
            </w:pPr>
            <w:r>
              <w:rPr>
                <w:rFonts w:ascii="宋体" w:eastAsia="宋体" w:hAnsi="宋体" w:cs="宋体"/>
                <w:b w:val="0"/>
                <w:i w:val="0"/>
                <w:color w:val="000000"/>
                <w:sz w:val="13"/>
              </w:rPr>
              <w:t xml:space="preserve">29.01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184.83</w:t>
            </w:r>
          </w:p>
        </w:tc>
        <w:tc>
          <w:tcPr>
            <w:tcW w:w="960" w:type="dxa"/>
            <w:tcBorders/>
            <w:vAlign w:val="center"/>
          </w:tcPr>
          <w:p>
            <w:pPr>
              <w:jc w:val="right"/>
            </w:pPr>
            <w:r>
              <w:rPr>
                <w:rFonts w:ascii="宋体" w:eastAsia="宋体" w:hAnsi="宋体" w:cs="宋体"/>
                <w:b w:val="0"/>
                <w:i w:val="0"/>
                <w:color w:val="000000"/>
                <w:sz w:val="13"/>
              </w:rPr>
              <w:t xml:space="preserve">184.83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22.58</w:t>
            </w:r>
          </w:p>
        </w:tc>
        <w:tc>
          <w:tcPr>
            <w:tcW w:w="960" w:type="dxa"/>
            <w:tcBorders/>
            <w:vAlign w:val="center"/>
          </w:tcPr>
          <w:p>
            <w:pPr>
              <w:jc w:val="right"/>
            </w:pPr>
            <w:r>
              <w:rPr>
                <w:rFonts w:ascii="宋体" w:eastAsia="宋体" w:hAnsi="宋体" w:cs="宋体"/>
                <w:b w:val="0"/>
                <w:i w:val="0"/>
                <w:color w:val="000000"/>
                <w:sz w:val="13"/>
              </w:rPr>
              <w:t xml:space="preserve">22.58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22.58</w:t>
            </w:r>
          </w:p>
        </w:tc>
        <w:tc>
          <w:tcPr>
            <w:tcW w:w="960" w:type="dxa"/>
            <w:tcBorders/>
            <w:vAlign w:val="center"/>
          </w:tcPr>
          <w:p>
            <w:pPr>
              <w:jc w:val="right"/>
            </w:pPr>
            <w:r>
              <w:rPr>
                <w:rFonts w:ascii="宋体" w:eastAsia="宋体" w:hAnsi="宋体" w:cs="宋体"/>
                <w:b w:val="0"/>
                <w:i w:val="0"/>
                <w:color w:val="000000"/>
                <w:sz w:val="13"/>
              </w:rPr>
              <w:t xml:space="preserve">22.58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10.51</w:t>
            </w:r>
          </w:p>
        </w:tc>
        <w:tc>
          <w:tcPr>
            <w:tcW w:w="960" w:type="dxa"/>
            <w:tcBorders/>
            <w:vAlign w:val="center"/>
          </w:tcPr>
          <w:p>
            <w:pPr>
              <w:jc w:val="right"/>
            </w:pPr>
            <w:r>
              <w:rPr>
                <w:rFonts w:ascii="宋体" w:eastAsia="宋体" w:hAnsi="宋体" w:cs="宋体"/>
                <w:b w:val="0"/>
                <w:i w:val="0"/>
                <w:color w:val="000000"/>
                <w:sz w:val="13"/>
              </w:rPr>
              <w:t xml:space="preserve">10.51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10.51</w:t>
            </w:r>
          </w:p>
        </w:tc>
        <w:tc>
          <w:tcPr>
            <w:tcW w:w="960" w:type="dxa"/>
            <w:tcBorders/>
            <w:vAlign w:val="center"/>
          </w:tcPr>
          <w:p>
            <w:pPr>
              <w:jc w:val="right"/>
            </w:pPr>
            <w:r>
              <w:rPr>
                <w:rFonts w:ascii="宋体" w:eastAsia="宋体" w:hAnsi="宋体" w:cs="宋体"/>
                <w:b w:val="0"/>
                <w:i w:val="0"/>
                <w:color w:val="000000"/>
                <w:sz w:val="13"/>
              </w:rPr>
              <w:t xml:space="preserve">10.51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10.51</w:t>
            </w:r>
          </w:p>
        </w:tc>
        <w:tc>
          <w:tcPr>
            <w:tcW w:w="960" w:type="dxa"/>
            <w:tcBorders/>
            <w:vAlign w:val="center"/>
          </w:tcPr>
          <w:p>
            <w:pPr>
              <w:jc w:val="right"/>
            </w:pPr>
            <w:r>
              <w:rPr>
                <w:rFonts w:ascii="宋体" w:eastAsia="宋体" w:hAnsi="宋体" w:cs="宋体"/>
                <w:b w:val="0"/>
                <w:i w:val="0"/>
                <w:color w:val="000000"/>
                <w:sz w:val="13"/>
              </w:rPr>
              <w:t xml:space="preserve">10.51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jc w:val="right"/>
            </w:pPr>
            <w:r>
              <w:rPr>
                <w:rFonts w:ascii="宋体" w:eastAsia="宋体" w:hAnsi="宋体" w:cs="宋体"/>
                <w:b w:val="0"/>
                <w:i w:val="0"/>
                <w:color w:val="000000"/>
                <w:sz w:val="13"/>
              </w:rPr>
              <w:t xml:space="preserve">20.71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282.63</w:t>
            </w:r>
          </w:p>
        </w:tc>
        <w:tc>
          <w:tcPr>
            <w:tcW w:w="1060" w:type="dxa"/>
            <w:tcBorders/>
            <w:vAlign w:val="center"/>
          </w:tcPr>
          <w:p>
            <w:pPr>
              <w:jc w:val="right"/>
            </w:pPr>
            <w:r>
              <w:rPr>
                <w:rFonts w:ascii="宋体" w:eastAsia="宋体" w:hAnsi="宋体" w:cs="宋体"/>
                <w:b/>
                <w:i w:val="0"/>
                <w:color w:val="000000"/>
                <w:sz w:val="14"/>
              </w:rPr>
              <w:t xml:space="preserve">238.63</w:t>
            </w:r>
          </w:p>
        </w:tc>
        <w:tc>
          <w:tcPr>
            <w:tcW w:w="1060" w:type="dxa"/>
            <w:tcBorders/>
            <w:vAlign w:val="center"/>
          </w:tcPr>
          <w:p>
            <w:pPr>
              <w:jc w:val="right"/>
            </w:pPr>
            <w:r>
              <w:rPr>
                <w:rFonts w:ascii="宋体" w:eastAsia="宋体" w:hAnsi="宋体" w:cs="宋体"/>
                <w:b/>
                <w:i w:val="0"/>
                <w:color w:val="000000"/>
                <w:sz w:val="14"/>
              </w:rPr>
              <w:t xml:space="preserve">44.00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2014099</w:t>
            </w:r>
          </w:p>
        </w:tc>
        <w:tc>
          <w:tcPr>
            <w:tcW w:w="3440" w:type="dxa"/>
            <w:tcBorders/>
            <w:vAlign w:val="center"/>
          </w:tcPr>
          <w:p>
            <w:pPr>
              <w:jc w:val="left"/>
            </w:pPr>
            <w:r>
              <w:rPr>
                <w:rFonts w:ascii="宋体" w:eastAsia="宋体" w:hAnsi="宋体" w:cs="宋体"/>
                <w:b w:val="0"/>
                <w:i w:val="0"/>
                <w:color w:val="000000"/>
                <w:sz w:val="14"/>
              </w:rPr>
              <w:t xml:space="preserve">其他信访事务支出</w:t>
            </w: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236.42</w:t>
            </w:r>
          </w:p>
        </w:tc>
        <w:tc>
          <w:tcPr>
            <w:tcW w:w="1060" w:type="dxa"/>
            <w:tcBorders/>
            <w:vAlign w:val="center"/>
          </w:tcPr>
          <w:p>
            <w:pPr>
              <w:jc w:val="right"/>
            </w:pPr>
            <w:r>
              <w:rPr>
                <w:rFonts w:ascii="宋体" w:eastAsia="宋体" w:hAnsi="宋体" w:cs="宋体"/>
                <w:b w:val="0"/>
                <w:i w:val="0"/>
                <w:color w:val="000000"/>
                <w:sz w:val="14"/>
              </w:rPr>
              <w:t xml:space="preserve">207.41</w:t>
            </w: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w:t>
            </w:r>
          </w:p>
        </w:tc>
        <w:tc>
          <w:tcPr>
            <w:tcW w:w="3440" w:type="dxa"/>
            <w:tcBorders/>
            <w:vAlign w:val="center"/>
          </w:tcPr>
          <w:p>
            <w:pPr>
              <w:jc w:val="left"/>
            </w:pPr>
            <w:r>
              <w:rPr>
                <w:rFonts w:ascii="宋体" w:eastAsia="宋体" w:hAnsi="宋体" w:cs="宋体"/>
                <w:b w:val="0"/>
                <w:i w:val="0"/>
                <w:color w:val="000000"/>
                <w:sz w:val="14"/>
              </w:rPr>
              <w:t xml:space="preserve">人力资源和社会保障管理事务</w:t>
            </w:r>
          </w:p>
        </w:tc>
        <w:tc>
          <w:tcPr>
            <w:tcW w:w="1060" w:type="dxa"/>
            <w:tcBorders/>
            <w:vAlign w:val="center"/>
          </w:tcPr>
          <w:p>
            <w:pPr>
              <w:jc w:val="right"/>
            </w:pPr>
            <w:r>
              <w:rPr>
                <w:rFonts w:ascii="宋体" w:eastAsia="宋体" w:hAnsi="宋体" w:cs="宋体"/>
                <w:b w:val="0"/>
                <w:i w:val="0"/>
                <w:color w:val="000000"/>
                <w:sz w:val="14"/>
              </w:rPr>
              <w:t xml:space="preserve">213.84</w:t>
            </w:r>
          </w:p>
        </w:tc>
        <w:tc>
          <w:tcPr>
            <w:tcW w:w="1060" w:type="dxa"/>
            <w:tcBorders/>
            <w:vAlign w:val="center"/>
          </w:tcPr>
          <w:p>
            <w:pPr>
              <w:jc w:val="right"/>
            </w:pPr>
            <w:r>
              <w:rPr>
                <w:rFonts w:ascii="宋体" w:eastAsia="宋体" w:hAnsi="宋体" w:cs="宋体"/>
                <w:b w:val="0"/>
                <w:i w:val="0"/>
                <w:color w:val="000000"/>
                <w:sz w:val="14"/>
              </w:rPr>
              <w:t xml:space="preserve">184.83</w:t>
            </w: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2080105</w:t>
            </w:r>
          </w:p>
        </w:tc>
        <w:tc>
          <w:tcPr>
            <w:tcW w:w="3440" w:type="dxa"/>
            <w:tcBorders/>
            <w:vAlign w:val="center"/>
          </w:tcPr>
          <w:p>
            <w:pPr>
              <w:jc w:val="left"/>
            </w:pPr>
            <w:r>
              <w:rPr>
                <w:rFonts w:ascii="宋体" w:eastAsia="宋体" w:hAnsi="宋体" w:cs="宋体"/>
                <w:b w:val="0"/>
                <w:i w:val="0"/>
                <w:color w:val="000000"/>
                <w:sz w:val="14"/>
              </w:rPr>
              <w:t xml:space="preserve">劳动保障监察</w:t>
            </w: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29.01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184.83</w:t>
            </w:r>
          </w:p>
        </w:tc>
        <w:tc>
          <w:tcPr>
            <w:tcW w:w="1060" w:type="dxa"/>
            <w:tcBorders/>
            <w:vAlign w:val="center"/>
          </w:tcPr>
          <w:p>
            <w:pPr>
              <w:jc w:val="right"/>
            </w:pPr>
            <w:r>
              <w:rPr>
                <w:rFonts w:ascii="宋体" w:eastAsia="宋体" w:hAnsi="宋体" w:cs="宋体"/>
                <w:b w:val="0"/>
                <w:i w:val="0"/>
                <w:color w:val="000000"/>
                <w:sz w:val="14"/>
              </w:rPr>
              <w:t xml:space="preserve">184.83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22.58</w:t>
            </w:r>
          </w:p>
        </w:tc>
        <w:tc>
          <w:tcPr>
            <w:tcW w:w="1060" w:type="dxa"/>
            <w:tcBorders/>
            <w:vAlign w:val="center"/>
          </w:tcPr>
          <w:p>
            <w:pPr>
              <w:jc w:val="right"/>
            </w:pPr>
            <w:r>
              <w:rPr>
                <w:rFonts w:ascii="宋体" w:eastAsia="宋体" w:hAnsi="宋体" w:cs="宋体"/>
                <w:b w:val="0"/>
                <w:i w:val="0"/>
                <w:color w:val="000000"/>
                <w:sz w:val="14"/>
              </w:rPr>
              <w:t xml:space="preserve">22.58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22.58</w:t>
            </w:r>
          </w:p>
        </w:tc>
        <w:tc>
          <w:tcPr>
            <w:tcW w:w="1060" w:type="dxa"/>
            <w:tcBorders/>
            <w:vAlign w:val="center"/>
          </w:tcPr>
          <w:p>
            <w:pPr>
              <w:jc w:val="right"/>
            </w:pPr>
            <w:r>
              <w:rPr>
                <w:rFonts w:ascii="宋体" w:eastAsia="宋体" w:hAnsi="宋体" w:cs="宋体"/>
                <w:b w:val="0"/>
                <w:i w:val="0"/>
                <w:color w:val="000000"/>
                <w:sz w:val="14"/>
              </w:rPr>
              <w:t xml:space="preserve">22.58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10.51</w:t>
            </w:r>
          </w:p>
        </w:tc>
        <w:tc>
          <w:tcPr>
            <w:tcW w:w="1060" w:type="dxa"/>
            <w:tcBorders/>
            <w:vAlign w:val="center"/>
          </w:tcPr>
          <w:p>
            <w:pPr>
              <w:jc w:val="right"/>
            </w:pPr>
            <w:r>
              <w:rPr>
                <w:rFonts w:ascii="宋体" w:eastAsia="宋体" w:hAnsi="宋体" w:cs="宋体"/>
                <w:b w:val="0"/>
                <w:i w:val="0"/>
                <w:color w:val="000000"/>
                <w:sz w:val="14"/>
              </w:rPr>
              <w:t xml:space="preserve">10.51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10.51</w:t>
            </w:r>
          </w:p>
        </w:tc>
        <w:tc>
          <w:tcPr>
            <w:tcW w:w="1060" w:type="dxa"/>
            <w:tcBorders/>
            <w:vAlign w:val="center"/>
          </w:tcPr>
          <w:p>
            <w:pPr>
              <w:jc w:val="right"/>
            </w:pPr>
            <w:r>
              <w:rPr>
                <w:rFonts w:ascii="宋体" w:eastAsia="宋体" w:hAnsi="宋体" w:cs="宋体"/>
                <w:b w:val="0"/>
                <w:i w:val="0"/>
                <w:color w:val="000000"/>
                <w:sz w:val="14"/>
              </w:rPr>
              <w:t xml:space="preserve">10.51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10.51</w:t>
            </w:r>
          </w:p>
        </w:tc>
        <w:tc>
          <w:tcPr>
            <w:tcW w:w="1060" w:type="dxa"/>
            <w:tcBorders/>
            <w:vAlign w:val="center"/>
          </w:tcPr>
          <w:p>
            <w:pPr>
              <w:jc w:val="right"/>
            </w:pPr>
            <w:r>
              <w:rPr>
                <w:rFonts w:ascii="宋体" w:eastAsia="宋体" w:hAnsi="宋体" w:cs="宋体"/>
                <w:b w:val="0"/>
                <w:i w:val="0"/>
                <w:color w:val="000000"/>
                <w:sz w:val="14"/>
              </w:rPr>
              <w:t xml:space="preserve">10.51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jc w:val="right"/>
            </w:pPr>
            <w:r>
              <w:rPr>
                <w:rFonts w:ascii="宋体" w:eastAsia="宋体" w:hAnsi="宋体" w:cs="宋体"/>
                <w:b w:val="0"/>
                <w:i w:val="0"/>
                <w:color w:val="000000"/>
                <w:sz w:val="14"/>
              </w:rPr>
              <w:t xml:space="preserve">20.71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282.63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14.99</w:t>
            </w:r>
          </w:p>
        </w:tc>
        <w:tc>
          <w:tcPr>
            <w:tcW w:w="1100" w:type="dxa"/>
            <w:tcBorders/>
            <w:vAlign w:val="center"/>
          </w:tcPr>
          <w:p>
            <w:pPr>
              <w:jc w:val="right"/>
            </w:pPr>
            <w:r>
              <w:rPr>
                <w:rFonts w:ascii="宋体" w:eastAsia="宋体" w:hAnsi="宋体" w:cs="宋体"/>
                <w:b w:val="0"/>
                <w:i w:val="0"/>
                <w:color w:val="000000"/>
                <w:sz w:val="14"/>
              </w:rPr>
              <w:t xml:space="preserve">14.99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236.42</w:t>
            </w:r>
          </w:p>
        </w:tc>
        <w:tc>
          <w:tcPr>
            <w:tcW w:w="1100" w:type="dxa"/>
            <w:tcBorders/>
            <w:vAlign w:val="center"/>
          </w:tcPr>
          <w:p>
            <w:pPr>
              <w:jc w:val="right"/>
            </w:pPr>
            <w:r>
              <w:rPr>
                <w:rFonts w:ascii="宋体" w:eastAsia="宋体" w:hAnsi="宋体" w:cs="宋体"/>
                <w:b w:val="0"/>
                <w:i w:val="0"/>
                <w:color w:val="000000"/>
                <w:sz w:val="14"/>
              </w:rPr>
              <w:t xml:space="preserve">236.42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10.51</w:t>
            </w:r>
          </w:p>
        </w:tc>
        <w:tc>
          <w:tcPr>
            <w:tcW w:w="1100" w:type="dxa"/>
            <w:tcBorders/>
            <w:vAlign w:val="center"/>
          </w:tcPr>
          <w:p>
            <w:pPr>
              <w:jc w:val="right"/>
            </w:pPr>
            <w:r>
              <w:rPr>
                <w:rFonts w:ascii="宋体" w:eastAsia="宋体" w:hAnsi="宋体" w:cs="宋体"/>
                <w:b w:val="0"/>
                <w:i w:val="0"/>
                <w:color w:val="000000"/>
                <w:sz w:val="14"/>
              </w:rPr>
              <w:t xml:space="preserve">10.51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20.71</w:t>
            </w:r>
          </w:p>
        </w:tc>
        <w:tc>
          <w:tcPr>
            <w:tcW w:w="1100" w:type="dxa"/>
            <w:tcBorders/>
            <w:vAlign w:val="center"/>
          </w:tcPr>
          <w:p>
            <w:pPr>
              <w:jc w:val="right"/>
            </w:pPr>
            <w:r>
              <w:rPr>
                <w:rFonts w:ascii="宋体" w:eastAsia="宋体" w:hAnsi="宋体" w:cs="宋体"/>
                <w:b w:val="0"/>
                <w:i w:val="0"/>
                <w:color w:val="000000"/>
                <w:sz w:val="14"/>
              </w:rPr>
              <w:t xml:space="preserve">20.71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282.63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282.63</w:t>
            </w:r>
          </w:p>
        </w:tc>
        <w:tc>
          <w:tcPr>
            <w:tcW w:w="1100" w:type="dxa"/>
            <w:tcBorders/>
            <w:vAlign w:val="center"/>
          </w:tcPr>
          <w:p>
            <w:pPr>
              <w:jc w:val="right"/>
            </w:pPr>
            <w:r>
              <w:rPr>
                <w:rFonts w:ascii="宋体" w:eastAsia="宋体" w:hAnsi="宋体" w:cs="宋体"/>
                <w:b w:val="0"/>
                <w:i w:val="0"/>
                <w:color w:val="000000"/>
                <w:sz w:val="14"/>
              </w:rPr>
              <w:t xml:space="preserve">282.63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282.63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282.63</w:t>
            </w:r>
          </w:p>
        </w:tc>
        <w:tc>
          <w:tcPr>
            <w:tcW w:w="1100" w:type="dxa"/>
            <w:tcBorders/>
            <w:vAlign w:val="center"/>
          </w:tcPr>
          <w:p>
            <w:pPr>
              <w:jc w:val="right"/>
            </w:pPr>
            <w:r>
              <w:rPr>
                <w:rFonts w:ascii="宋体" w:eastAsia="宋体" w:hAnsi="宋体" w:cs="宋体"/>
                <w:b w:val="0"/>
                <w:i w:val="0"/>
                <w:color w:val="000000"/>
                <w:sz w:val="14"/>
              </w:rPr>
              <w:t xml:space="preserve">282.63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282.63</w:t>
            </w:r>
          </w:p>
        </w:tc>
        <w:tc>
          <w:tcPr>
            <w:tcW w:w="1780" w:type="dxa"/>
            <w:tcBorders/>
            <w:vAlign w:val="center"/>
          </w:tcPr>
          <w:p>
            <w:pPr>
              <w:jc w:val="right"/>
            </w:pPr>
            <w:r>
              <w:rPr>
                <w:rFonts w:ascii="宋体" w:eastAsia="宋体" w:hAnsi="宋体" w:cs="宋体"/>
                <w:b/>
                <w:i w:val="0"/>
                <w:color w:val="000000"/>
                <w:sz w:val="18"/>
              </w:rPr>
              <w:t xml:space="preserve">238.63</w:t>
            </w:r>
          </w:p>
        </w:tc>
        <w:tc>
          <w:tcPr>
            <w:tcW w:w="1772" w:type="dxa"/>
            <w:tcBorders/>
            <w:vAlign w:val="center"/>
          </w:tcPr>
          <w:p>
            <w:pPr>
              <w:jc w:val="right"/>
            </w:pPr>
            <w:r>
              <w:rPr>
                <w:rFonts w:ascii="宋体" w:eastAsia="宋体" w:hAnsi="宋体" w:cs="宋体"/>
                <w:b/>
                <w:i w:val="0"/>
                <w:color w:val="000000"/>
                <w:sz w:val="18"/>
              </w:rPr>
              <w:t xml:space="preserve">44.00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2014099</w:t>
            </w:r>
          </w:p>
        </w:tc>
        <w:tc>
          <w:tcPr>
            <w:tcW w:w="4300" w:type="dxa"/>
            <w:tcBorders/>
            <w:vAlign w:val="center"/>
          </w:tcPr>
          <w:p>
            <w:pPr>
              <w:jc w:val="left"/>
            </w:pPr>
            <w:r>
              <w:rPr>
                <w:rFonts w:ascii="宋体" w:eastAsia="宋体" w:hAnsi="宋体" w:cs="宋体"/>
                <w:b w:val="0"/>
                <w:i w:val="0"/>
                <w:color w:val="000000"/>
                <w:sz w:val="18"/>
              </w:rPr>
              <w:t xml:space="preserve">其他信访事务支出</w:t>
            </w:r>
          </w:p>
        </w:tc>
        <w:tc>
          <w:tcPr>
            <w:tcW w:w="1780" w:type="dxa"/>
            <w:tcBorders/>
            <w:vAlign w:val="center"/>
          </w:tcPr>
          <w:p>
            <w:pPr>
              <w:jc w:val="right"/>
            </w:pPr>
            <w:r>
              <w:rPr>
                <w:rFonts w:ascii="宋体" w:eastAsia="宋体" w:hAnsi="宋体" w:cs="宋体"/>
                <w:b w:val="0"/>
                <w:i w:val="0"/>
                <w:color w:val="000000"/>
                <w:sz w:val="18"/>
              </w:rPr>
              <w:t xml:space="preserve">14.99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236.42</w:t>
            </w:r>
          </w:p>
        </w:tc>
        <w:tc>
          <w:tcPr>
            <w:tcW w:w="1780" w:type="dxa"/>
            <w:tcBorders/>
            <w:vAlign w:val="center"/>
          </w:tcPr>
          <w:p>
            <w:pPr>
              <w:jc w:val="right"/>
            </w:pPr>
            <w:r>
              <w:rPr>
                <w:rFonts w:ascii="宋体" w:eastAsia="宋体" w:hAnsi="宋体" w:cs="宋体"/>
                <w:b w:val="0"/>
                <w:i w:val="0"/>
                <w:color w:val="000000"/>
                <w:sz w:val="18"/>
              </w:rPr>
              <w:t xml:space="preserve">207.41</w:t>
            </w:r>
          </w:p>
        </w:tc>
        <w:tc>
          <w:tcPr>
            <w:tcW w:w="1772" w:type="dxa"/>
            <w:tcBorders/>
            <w:vAlign w:val="center"/>
          </w:tcPr>
          <w:p>
            <w:pPr>
              <w:jc w:val="right"/>
            </w:pPr>
            <w:r>
              <w:rPr>
                <w:rFonts w:ascii="宋体" w:eastAsia="宋体" w:hAnsi="宋体" w:cs="宋体"/>
                <w:b w:val="0"/>
                <w:i w:val="0"/>
                <w:color w:val="000000"/>
                <w:sz w:val="18"/>
              </w:rPr>
              <w:t xml:space="preserve">29.01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w:t>
            </w:r>
          </w:p>
        </w:tc>
        <w:tc>
          <w:tcPr>
            <w:tcW w:w="4300" w:type="dxa"/>
            <w:tcBorders/>
            <w:vAlign w:val="center"/>
          </w:tcPr>
          <w:p>
            <w:pPr>
              <w:jc w:val="left"/>
            </w:pPr>
            <w:r>
              <w:rPr>
                <w:rFonts w:ascii="宋体" w:eastAsia="宋体" w:hAnsi="宋体" w:cs="宋体"/>
                <w:b w:val="0"/>
                <w:i w:val="0"/>
                <w:color w:val="000000"/>
                <w:sz w:val="18"/>
              </w:rPr>
              <w:t xml:space="preserve">人力资源和社会保障管理事务</w:t>
            </w:r>
          </w:p>
        </w:tc>
        <w:tc>
          <w:tcPr>
            <w:tcW w:w="1780" w:type="dxa"/>
            <w:tcBorders/>
            <w:vAlign w:val="center"/>
          </w:tcPr>
          <w:p>
            <w:pPr>
              <w:jc w:val="right"/>
            </w:pPr>
            <w:r>
              <w:rPr>
                <w:rFonts w:ascii="宋体" w:eastAsia="宋体" w:hAnsi="宋体" w:cs="宋体"/>
                <w:b w:val="0"/>
                <w:i w:val="0"/>
                <w:color w:val="000000"/>
                <w:sz w:val="18"/>
              </w:rPr>
              <w:t xml:space="preserve">213.84</w:t>
            </w:r>
          </w:p>
        </w:tc>
        <w:tc>
          <w:tcPr>
            <w:tcW w:w="1780" w:type="dxa"/>
            <w:tcBorders/>
            <w:vAlign w:val="center"/>
          </w:tcPr>
          <w:p>
            <w:pPr>
              <w:jc w:val="right"/>
            </w:pPr>
            <w:r>
              <w:rPr>
                <w:rFonts w:ascii="宋体" w:eastAsia="宋体" w:hAnsi="宋体" w:cs="宋体"/>
                <w:b w:val="0"/>
                <w:i w:val="0"/>
                <w:color w:val="000000"/>
                <w:sz w:val="18"/>
              </w:rPr>
              <w:t xml:space="preserve">184.83</w:t>
            </w:r>
          </w:p>
        </w:tc>
        <w:tc>
          <w:tcPr>
            <w:tcW w:w="1772" w:type="dxa"/>
            <w:tcBorders/>
            <w:vAlign w:val="center"/>
          </w:tcPr>
          <w:p>
            <w:pPr>
              <w:jc w:val="right"/>
            </w:pPr>
            <w:r>
              <w:rPr>
                <w:rFonts w:ascii="宋体" w:eastAsia="宋体" w:hAnsi="宋体" w:cs="宋体"/>
                <w:b w:val="0"/>
                <w:i w:val="0"/>
                <w:color w:val="000000"/>
                <w:sz w:val="18"/>
              </w:rPr>
              <w:t xml:space="preserve">29.01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2080105</w:t>
            </w:r>
          </w:p>
        </w:tc>
        <w:tc>
          <w:tcPr>
            <w:tcW w:w="4300" w:type="dxa"/>
            <w:tcBorders/>
            <w:vAlign w:val="center"/>
          </w:tcPr>
          <w:p>
            <w:pPr>
              <w:jc w:val="left"/>
            </w:pPr>
            <w:r>
              <w:rPr>
                <w:rFonts w:ascii="宋体" w:eastAsia="宋体" w:hAnsi="宋体" w:cs="宋体"/>
                <w:b w:val="0"/>
                <w:i w:val="0"/>
                <w:color w:val="000000"/>
                <w:sz w:val="18"/>
              </w:rPr>
              <w:t xml:space="preserve">劳动保障监察</w:t>
            </w:r>
          </w:p>
        </w:tc>
        <w:tc>
          <w:tcPr>
            <w:tcW w:w="1780" w:type="dxa"/>
            <w:tcBorders/>
            <w:vAlign w:val="center"/>
          </w:tcPr>
          <w:p>
            <w:pPr>
              <w:jc w:val="right"/>
            </w:pPr>
            <w:r>
              <w:rPr>
                <w:rFonts w:ascii="宋体" w:eastAsia="宋体" w:hAnsi="宋体" w:cs="宋体"/>
                <w:b w:val="0"/>
                <w:i w:val="0"/>
                <w:color w:val="000000"/>
                <w:sz w:val="18"/>
              </w:rPr>
              <w:t xml:space="preserve">29.01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29.01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184.83</w:t>
            </w:r>
          </w:p>
        </w:tc>
        <w:tc>
          <w:tcPr>
            <w:tcW w:w="1780" w:type="dxa"/>
            <w:tcBorders/>
            <w:vAlign w:val="center"/>
          </w:tcPr>
          <w:p>
            <w:pPr>
              <w:jc w:val="right"/>
            </w:pPr>
            <w:r>
              <w:rPr>
                <w:rFonts w:ascii="宋体" w:eastAsia="宋体" w:hAnsi="宋体" w:cs="宋体"/>
                <w:b w:val="0"/>
                <w:i w:val="0"/>
                <w:color w:val="000000"/>
                <w:sz w:val="18"/>
              </w:rPr>
              <w:t xml:space="preserve">184.83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22.58</w:t>
            </w:r>
          </w:p>
        </w:tc>
        <w:tc>
          <w:tcPr>
            <w:tcW w:w="1780" w:type="dxa"/>
            <w:tcBorders/>
            <w:vAlign w:val="center"/>
          </w:tcPr>
          <w:p>
            <w:pPr>
              <w:jc w:val="right"/>
            </w:pPr>
            <w:r>
              <w:rPr>
                <w:rFonts w:ascii="宋体" w:eastAsia="宋体" w:hAnsi="宋体" w:cs="宋体"/>
                <w:b w:val="0"/>
                <w:i w:val="0"/>
                <w:color w:val="000000"/>
                <w:sz w:val="18"/>
              </w:rPr>
              <w:t xml:space="preserve">22.58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22.58</w:t>
            </w:r>
          </w:p>
        </w:tc>
        <w:tc>
          <w:tcPr>
            <w:tcW w:w="1780" w:type="dxa"/>
            <w:tcBorders/>
            <w:vAlign w:val="center"/>
          </w:tcPr>
          <w:p>
            <w:pPr>
              <w:jc w:val="right"/>
            </w:pPr>
            <w:r>
              <w:rPr>
                <w:rFonts w:ascii="宋体" w:eastAsia="宋体" w:hAnsi="宋体" w:cs="宋体"/>
                <w:b w:val="0"/>
                <w:i w:val="0"/>
                <w:color w:val="000000"/>
                <w:sz w:val="18"/>
              </w:rPr>
              <w:t xml:space="preserve">22.58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10.51</w:t>
            </w:r>
          </w:p>
        </w:tc>
        <w:tc>
          <w:tcPr>
            <w:tcW w:w="1780" w:type="dxa"/>
            <w:tcBorders/>
            <w:vAlign w:val="center"/>
          </w:tcPr>
          <w:p>
            <w:pPr>
              <w:jc w:val="right"/>
            </w:pPr>
            <w:r>
              <w:rPr>
                <w:rFonts w:ascii="宋体" w:eastAsia="宋体" w:hAnsi="宋体" w:cs="宋体"/>
                <w:b w:val="0"/>
                <w:i w:val="0"/>
                <w:color w:val="000000"/>
                <w:sz w:val="18"/>
              </w:rPr>
              <w:t xml:space="preserve">10.51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10.51</w:t>
            </w:r>
          </w:p>
        </w:tc>
        <w:tc>
          <w:tcPr>
            <w:tcW w:w="1780" w:type="dxa"/>
            <w:tcBorders/>
            <w:vAlign w:val="center"/>
          </w:tcPr>
          <w:p>
            <w:pPr>
              <w:jc w:val="right"/>
            </w:pPr>
            <w:r>
              <w:rPr>
                <w:rFonts w:ascii="宋体" w:eastAsia="宋体" w:hAnsi="宋体" w:cs="宋体"/>
                <w:b w:val="0"/>
                <w:i w:val="0"/>
                <w:color w:val="000000"/>
                <w:sz w:val="18"/>
              </w:rPr>
              <w:t xml:space="preserve">10.51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10.51</w:t>
            </w:r>
          </w:p>
        </w:tc>
        <w:tc>
          <w:tcPr>
            <w:tcW w:w="1780" w:type="dxa"/>
            <w:tcBorders/>
            <w:vAlign w:val="center"/>
          </w:tcPr>
          <w:p>
            <w:pPr>
              <w:jc w:val="right"/>
            </w:pPr>
            <w:r>
              <w:rPr>
                <w:rFonts w:ascii="宋体" w:eastAsia="宋体" w:hAnsi="宋体" w:cs="宋体"/>
                <w:b w:val="0"/>
                <w:i w:val="0"/>
                <w:color w:val="000000"/>
                <w:sz w:val="18"/>
              </w:rPr>
              <w:t xml:space="preserve">10.51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80" w:type="dxa"/>
            <w:tcBorders/>
            <w:vAlign w:val="center"/>
          </w:tcPr>
          <w:p>
            <w:pPr>
              <w:jc w:val="right"/>
            </w:pPr>
            <w:r>
              <w:rPr>
                <w:rFonts w:ascii="宋体" w:eastAsia="宋体" w:hAnsi="宋体" w:cs="宋体"/>
                <w:b w:val="0"/>
                <w:i w:val="0"/>
                <w:color w:val="000000"/>
                <w:sz w:val="18"/>
              </w:rPr>
              <w:t xml:space="preserve">20.71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225.20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12.60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60.62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3.70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4.43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0.83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5.72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95.95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0.83</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22.58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8.86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10.51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0.99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0.14</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20.71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0.17</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0.69</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225.20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13.43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单位：辽宁省沈阳市浑南区劳动保障监察大队</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038002沈阳市浑南区劳动保障监察大队-210112000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280.63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280.63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160.02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65.17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按时发放工资、绩效及各项奖金、津贴；按时缴纳五险一金及各项税费；及时报销各项经费等。</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按时发放工资、绩效及各项奖金、津贴；按时缴纳五险一金及各项税费；及时报销各项经费等。</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促进地区发展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接待对象满意度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保障雇员经费的使用与发放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保障雇员经费的使用与发放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保障残疾人就业保障金的缴纳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劳动监察大队基层岗经费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保障大学生基层岗经费的使用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保障大学生基层岗经费的使用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8.48125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劳动监察大队农名工维权日经费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落实农民工维权宣传工作，按照维权工作需要，加强法律、法规普及，安排宣传、慰问等活动，保障农民工维权过程中知法懂法；对街道、社区维权工作人员培训；天气炎热时对农民工进行慰问；对涉及外地农民工工资欠薪案的处理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落实农民工维权宣传工作，按照维权工作需要，加强法律、法规普及，安排宣传、慰问等活动，保障农民工维权过程中知法懂法；对街道、社区维权工作人员培训；天气炎热时对农民工进行慰问；对涉及外地农民工工资欠薪案的处理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印发宣传品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宣传印发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持续宣传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保障派遣人员经费的使用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保障派遣人员经费的使用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8.11002627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信访控访补助经费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沈阳市浑南区劳动保障监察大队-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为及时处理群众上访问题，解决突发状况，疏导上访群众情绪，维护社会稳定。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为及时处理群众上访问题，解决突发状况，疏导上访群众情绪，维护社会稳定。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制度有效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