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辽宁省沈阳市浑南区审计局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辽宁省沈阳市浑南区审计局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辽宁省沈阳市浑南区审计局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辽宁省沈阳市浑南区审计局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辽宁省沈阳市浑南区审计局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辽宁省沈阳市浑南区审计局概况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主管全区审计工作。负责对区级财政收支和法律法规规定属于审计监督范围的财务收支的真实、合法和效益进行审计监督；对公共资金、国有资产、国有资源和领导干部履行经济责任情况实行审计监督全覆盖；对领导干部实行自然资源资产离任审计；对国家和省、市有关重大政策措施落实情况进行跟踪审计；负责重大项目稽查；对审计、专项审计调查和核查社会审计机构相关审计报告的结果承担责任，并负有督促检查被审计单位整改的责任。</w:t>
        <w:br/>
        <w:t xml:space="preserve">    （二）制定本区审计规范性文件并监督执行；参与起草本区财政经济及其相关的规范性文件；制定全区审计工作发展规划、专业领域审计工作规划、年度审计计划并组织实施。对直接审计、调查和核查的事项依法进行审计评价，做出审计决定或提出审计建议。</w:t>
        <w:br/>
        <w:t xml:space="preserve">    （三）向区委审计委员会提出年度区级预算执行和其他财政收支情况审计报告；向区长提出年度区级预算执行和其他财政收支情况的审计结果报告；向区委和区政府报告对其他事项的审计和专项审计调查情况及结果；受区政府委托向区人大常委会提交区级预算执行和其他财政收支情况的审计工作报告、审计查出问题整改情况报告；向区委和区政府有关部门和街道办事处通报审计情况和审计结果；依法向社会公布审计结果。</w:t>
        <w:br/>
        <w:t xml:space="preserve">    （四）直接审计下列事项，出具审计报告，在法定职权范围内做出审计决定或向有关主管机关提出处理处罚的建议：区级财政预算执行和其他财政财务收支情况，区直各部门（含所属单位）预算执行、决算和其他财政财务收支情况；街道办事处的预算执行情况、决算和其他财政财务收支；使用区级财政资金的事业单位和社会团体的财政财务收支情况；区政府投资和以区政府投资为主的建设项目的预算执行和决算、资金管理使用和建设运营等情况；区属国有企业、区国有资本占控股或主导地位的企业和金融机构的资产、负债和损益情况；组织审计区驻外非经营性机构的财务收支，依法通过适当方式组织审计区国有企业和金融机构的境外资产、负债和损益；区直部门，街道办事处和其他单位受区政府及其部门委托管理的社会保障基金、社会捐赠资金及其他有关基金、资金的财务收支情况；根据上级审计机关授权，审计国际组织和外国政府援助、贷款项目的财务收支及项目执行情况；法律、行政法规、地方性法规和规章规定应由区审计局审计的其他事项。</w:t>
        <w:br/>
        <w:t xml:space="preserve">    （五）按规定和程序组织实施对区委管理的党政主要领导干部及依法属于区审计局审计监督对象的其他单位主要领导人的经济责任审计和自然资源资产离任审计。</w:t>
        <w:br/>
        <w:t xml:space="preserve">    （六）组织实施对财经法律、法规、规章、政策和宏观调控措施执行情况、财政预算管理或国有资产管理使用情况等与国家、省、市和区财政收支有关的特定事项的专项审计调查。</w:t>
        <w:br/>
        <w:t xml:space="preserve">    （七）依法检查审计决定执行情况，督促整改计查出的问题，依法办理被审计单位对审计决定提请行政复议、行政诉讼或区政府裁决中的有关事项，协助配合有关部门查处相关重大案件。</w:t>
        <w:br/>
        <w:t xml:space="preserve">    （八）指导和监督内部审计工作，核查社会审计机构对依法属于审计监督对象的单位出具的相关审计报告。</w:t>
        <w:br/>
        <w:t xml:space="preserve">    （九）负责区委审计委员会的日常工作。</w:t>
        <w:br/>
        <w:t xml:space="preserve">    （十）负责本单位安全生产工作。</w:t>
        <w:br/>
        <w:t xml:space="preserve">    （十一）完成区委、区政府交办的其他任务。</w:t>
        <w:br/>
        <w:t xml:space="preserve">    （十二）职能转变。进一步完善审计管理体制，加强全区审计工作统筹，明晰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br/>
        <w:t xml:space="preserve">    审计委员会办公室主要职责：</w:t>
        <w:br/>
        <w:t xml:space="preserve">    研究提出在审计领域坚持党的领导、加强党的建设的措施建议，组织研究落实审计工作战略、规划、重大政策和改革方案，协调推进和督促落实党中央、中央审计委员会决策部署，以及省委、省委审计委员会、市委、市委审计委员会、区委、区委审计委员会有关要求和决定，研究提出年度审计项目计划，组织协调军地审计协作有关事项等。</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辽宁省沈阳市浑南区审计局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纳入本部门2024年决算编制范围的是辽宁省沈阳市浑南区审计局本级，本单位无下设机构。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324.46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323.13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99.59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323.13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1.33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主要是市局拨付差旅费等收入。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减少157.53万元，降低32.68%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项目减少导致收入减少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324.46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311.31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95.95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工资福利支出279.90万元；商品和服务支出27.99万元；对个人和家庭的补助3.22万元；资本性支出0.19万元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13.15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主要包括聘请专业人员中介审计费、档案工作经费、雇员经费、审计专项业务经费、专项印刷及订阅资料费、残疾人就业保障金等业务支出。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减少157.53万元，降低32.68%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项目减少导致经费减少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年末未形成结余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323.13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311.31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11.82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减少158.87万元，降低32.96%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项目减少导致经费减少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61.97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92.78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6.36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2024年度一般公共预算财政拨款支出323.13万元。按支出功能分类科目分，包括：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1.一般公共服务支出229.19万元，具体包括：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审计事务（款）行政运行（项）220.13万元,主要是基本工资、津贴补贴、奖金、伙食补助、办公费、邮电费、工会经费和其他交通费用等支出，完成年初预算的86.92%，决算数与年初预算数存在差异的主要原因是严格管控资金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（2）一般公共服务支出（类）审计事务（款）一般行政管理事务（项）9.06万元,主要是劳务费和其他商品服务等支出，完成年初预算的21.61%，决算数与年初预算数存在差异的主要原因是严格管控资金拨付。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2.社会保障和就业支出49.71万元，具体包括：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（1）社会保障和就业支出（类）行政事业单位养老支出（款）行政单位离退休（项）3.22万元,主要是退休费等支出，完成年初预算的83.85%，决算数与年初预算数存在差异的主要原因是严格管控资金拨付。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27.74万元,主要是机关事业单位基本养老保险缴费等支出，完成年初预算的100.22%，决算数与年初预算数存在差异的主要原因是养老保险调标导致的养老保险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18.75万元,主要是职业年金缴费等支出，完成年初预算的100%，决算数与年初预算数存在差异的主要原因是退休人员缴纳职业年金，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3.卫生健康支出10.91万元，具体包括：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10.91万元,主要是职工基本医疗保险缴费等支出，完成年初预算的89.5%，决算数与年初预算数存在差异的主要原因是人员退休导致的医疗保险缴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4.住房保障支出30.55万元，具体包括：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（1）住房保障支出（类）住房改革支出（款）住房公积金（项）30.55万元,主要是住房公积金等支出，完成年初预算的79.21%，决算数与年初预算数存在差异的主要原因是人员退休导致的住房公积金减少。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5.其他支出2.76万元，具体包括：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（1）其他支出（类）其他支出（款）其他支出（项）2.76万元,主要是办公费和办公设备购置等支出，完成年初预算的100%，决算数与年初预算数存在差异的主要原因是办公用品需求增加导致追加预算。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311.30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283.12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28.18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28.18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比上年增加2.47万元，增长9.61%</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增加了办公设备购置</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185.92万元。其中，一般公共预算资金185.92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1个；得分在60分（含）至80分、等级为“中”的项目有0个；得分在60分以下、等级为“差”的项目有4个。各项目自评发现，部分项目存在未执行问题，如：预算执行进度未能完全达成，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雇员经费，涉及资金9.15万元，评价平均分为82.84分，评级情况为良。同时，评价也发现雇员经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323.13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230.52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1.33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49.71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30.55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2.76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324.46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324.46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324.46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324.46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324.46</w:t>
            </w:r>
          </w:p>
        </w:tc>
        <w:tc>
          <w:tcPr>
            <w:tcW w:w="960" w:type="dxa"/>
            <w:tcBorders/>
            <w:vAlign w:val="center"/>
          </w:tcPr>
          <w:p>
            <w:pPr>
              <w:jc w:val="right"/>
            </w:pPr>
            <w:r>
              <w:rPr>
                <w:rFonts w:ascii="宋体" w:eastAsia="宋体" w:hAnsi="宋体" w:cs="宋体"/>
                <w:b/>
                <w:i w:val="0"/>
                <w:color w:val="000000"/>
                <w:sz w:val="13"/>
              </w:rPr>
              <w:t xml:space="preserve">323.13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230.52</w:t>
            </w:r>
          </w:p>
        </w:tc>
        <w:tc>
          <w:tcPr>
            <w:tcW w:w="960" w:type="dxa"/>
            <w:tcBorders/>
            <w:vAlign w:val="center"/>
          </w:tcPr>
          <w:p>
            <w:pPr>
              <w:jc w:val="right"/>
            </w:pPr>
            <w:r>
              <w:rPr>
                <w:rFonts w:ascii="宋体" w:eastAsia="宋体" w:hAnsi="宋体" w:cs="宋体"/>
                <w:b w:val="0"/>
                <w:i w:val="0"/>
                <w:color w:val="000000"/>
                <w:sz w:val="13"/>
              </w:rPr>
              <w:t xml:space="preserve">229.19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20108</w:t>
            </w:r>
          </w:p>
        </w:tc>
        <w:tc>
          <w:tcPr>
            <w:tcW w:w="3200" w:type="dxa"/>
            <w:tcBorders/>
            <w:vAlign w:val="center"/>
          </w:tcPr>
          <w:p>
            <w:pPr>
              <w:jc w:val="left"/>
            </w:pPr>
            <w:r>
              <w:rPr>
                <w:rFonts w:ascii="宋体" w:eastAsia="宋体" w:hAnsi="宋体" w:cs="宋体"/>
                <w:b w:val="0"/>
                <w:i w:val="0"/>
                <w:color w:val="000000"/>
                <w:sz w:val="13"/>
              </w:rPr>
              <w:t xml:space="preserve">审计事务</w:t>
            </w:r>
          </w:p>
        </w:tc>
        <w:tc>
          <w:tcPr>
            <w:tcW w:w="960" w:type="dxa"/>
            <w:tcBorders/>
            <w:vAlign w:val="center"/>
          </w:tcPr>
          <w:p>
            <w:pPr>
              <w:jc w:val="right"/>
            </w:pPr>
            <w:r>
              <w:rPr>
                <w:rFonts w:ascii="宋体" w:eastAsia="宋体" w:hAnsi="宋体" w:cs="宋体"/>
                <w:b w:val="0"/>
                <w:i w:val="0"/>
                <w:color w:val="000000"/>
                <w:sz w:val="13"/>
              </w:rPr>
              <w:t xml:space="preserve">230.52</w:t>
            </w:r>
          </w:p>
        </w:tc>
        <w:tc>
          <w:tcPr>
            <w:tcW w:w="960" w:type="dxa"/>
            <w:tcBorders/>
            <w:vAlign w:val="center"/>
          </w:tcPr>
          <w:p>
            <w:pPr>
              <w:jc w:val="right"/>
            </w:pPr>
            <w:r>
              <w:rPr>
                <w:rFonts w:ascii="宋体" w:eastAsia="宋体" w:hAnsi="宋体" w:cs="宋体"/>
                <w:b w:val="0"/>
                <w:i w:val="0"/>
                <w:color w:val="000000"/>
                <w:sz w:val="13"/>
              </w:rPr>
              <w:t xml:space="preserve">229.19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2010801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220.13</w:t>
            </w:r>
          </w:p>
        </w:tc>
        <w:tc>
          <w:tcPr>
            <w:tcW w:w="960" w:type="dxa"/>
            <w:tcBorders/>
            <w:vAlign w:val="center"/>
          </w:tcPr>
          <w:p>
            <w:pPr>
              <w:jc w:val="right"/>
            </w:pPr>
            <w:r>
              <w:rPr>
                <w:rFonts w:ascii="宋体" w:eastAsia="宋体" w:hAnsi="宋体" w:cs="宋体"/>
                <w:b w:val="0"/>
                <w:i w:val="0"/>
                <w:color w:val="000000"/>
                <w:sz w:val="13"/>
              </w:rPr>
              <w:t xml:space="preserve">220.13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2010802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10.39</w:t>
            </w:r>
          </w:p>
        </w:tc>
        <w:tc>
          <w:tcPr>
            <w:tcW w:w="960" w:type="dxa"/>
            <w:tcBorders/>
            <w:vAlign w:val="center"/>
          </w:tcPr>
          <w:p>
            <w:pPr>
              <w:jc w:val="right"/>
            </w:pPr>
            <w:r>
              <w:rPr>
                <w:rFonts w:ascii="宋体" w:eastAsia="宋体" w:hAnsi="宋体" w:cs="宋体"/>
                <w:b w:val="0"/>
                <w:i w:val="0"/>
                <w:color w:val="000000"/>
                <w:sz w:val="13"/>
              </w:rPr>
              <w:t xml:space="preserve">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49.71</w:t>
            </w:r>
          </w:p>
        </w:tc>
        <w:tc>
          <w:tcPr>
            <w:tcW w:w="960" w:type="dxa"/>
            <w:tcBorders/>
            <w:vAlign w:val="center"/>
          </w:tcPr>
          <w:p>
            <w:pPr>
              <w:jc w:val="right"/>
            </w:pPr>
            <w:r>
              <w:rPr>
                <w:rFonts w:ascii="宋体" w:eastAsia="宋体" w:hAnsi="宋体" w:cs="宋体"/>
                <w:b w:val="0"/>
                <w:i w:val="0"/>
                <w:color w:val="000000"/>
                <w:sz w:val="13"/>
              </w:rPr>
              <w:t xml:space="preserve">49.71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49.71</w:t>
            </w:r>
          </w:p>
        </w:tc>
        <w:tc>
          <w:tcPr>
            <w:tcW w:w="960" w:type="dxa"/>
            <w:tcBorders/>
            <w:vAlign w:val="center"/>
          </w:tcPr>
          <w:p>
            <w:pPr>
              <w:jc w:val="right"/>
            </w:pPr>
            <w:r>
              <w:rPr>
                <w:rFonts w:ascii="宋体" w:eastAsia="宋体" w:hAnsi="宋体" w:cs="宋体"/>
                <w:b w:val="0"/>
                <w:i w:val="0"/>
                <w:color w:val="000000"/>
                <w:sz w:val="13"/>
              </w:rPr>
              <w:t xml:space="preserve">49.71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3.22</w:t>
            </w:r>
          </w:p>
        </w:tc>
        <w:tc>
          <w:tcPr>
            <w:tcW w:w="960" w:type="dxa"/>
            <w:tcBorders/>
            <w:vAlign w:val="center"/>
          </w:tcPr>
          <w:p>
            <w:pPr>
              <w:jc w:val="right"/>
            </w:pPr>
            <w:r>
              <w:rPr>
                <w:rFonts w:ascii="宋体" w:eastAsia="宋体" w:hAnsi="宋体" w:cs="宋体"/>
                <w:b w:val="0"/>
                <w:i w:val="0"/>
                <w:color w:val="000000"/>
                <w:sz w:val="13"/>
              </w:rPr>
              <w:t xml:space="preserve">3.22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27.74</w:t>
            </w:r>
          </w:p>
        </w:tc>
        <w:tc>
          <w:tcPr>
            <w:tcW w:w="960" w:type="dxa"/>
            <w:tcBorders/>
            <w:vAlign w:val="center"/>
          </w:tcPr>
          <w:p>
            <w:pPr>
              <w:jc w:val="right"/>
            </w:pPr>
            <w:r>
              <w:rPr>
                <w:rFonts w:ascii="宋体" w:eastAsia="宋体" w:hAnsi="宋体" w:cs="宋体"/>
                <w:b w:val="0"/>
                <w:i w:val="0"/>
                <w:color w:val="000000"/>
                <w:sz w:val="13"/>
              </w:rPr>
              <w:t xml:space="preserve">27.74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18.75</w:t>
            </w:r>
          </w:p>
        </w:tc>
        <w:tc>
          <w:tcPr>
            <w:tcW w:w="960" w:type="dxa"/>
            <w:tcBorders/>
            <w:vAlign w:val="center"/>
          </w:tcPr>
          <w:p>
            <w:pPr>
              <w:jc w:val="right"/>
            </w:pPr>
            <w:r>
              <w:rPr>
                <w:rFonts w:ascii="宋体" w:eastAsia="宋体" w:hAnsi="宋体" w:cs="宋体"/>
                <w:b w:val="0"/>
                <w:i w:val="0"/>
                <w:color w:val="000000"/>
                <w:sz w:val="13"/>
              </w:rPr>
              <w:t xml:space="preserve">18.75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jc w:val="right"/>
            </w:pPr>
            <w:r>
              <w:rPr>
                <w:rFonts w:ascii="宋体" w:eastAsia="宋体" w:hAnsi="宋体" w:cs="宋体"/>
                <w:b w:val="0"/>
                <w:i w:val="0"/>
                <w:color w:val="000000"/>
                <w:sz w:val="13"/>
              </w:rPr>
              <w:t xml:space="preserve">10.91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jc w:val="right"/>
            </w:pPr>
            <w:r>
              <w:rPr>
                <w:rFonts w:ascii="宋体" w:eastAsia="宋体" w:hAnsi="宋体" w:cs="宋体"/>
                <w:b w:val="0"/>
                <w:i w:val="0"/>
                <w:color w:val="000000"/>
                <w:sz w:val="13"/>
              </w:rPr>
              <w:t xml:space="preserve">30.55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jc w:val="right"/>
            </w:pPr>
            <w:r>
              <w:rPr>
                <w:rFonts w:ascii="宋体" w:eastAsia="宋体" w:hAnsi="宋体" w:cs="宋体"/>
                <w:b w:val="0"/>
                <w:i w:val="0"/>
                <w:color w:val="000000"/>
                <w:sz w:val="13"/>
              </w:rPr>
              <w:t xml:space="preserve">2.76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324.46</w:t>
            </w:r>
          </w:p>
        </w:tc>
        <w:tc>
          <w:tcPr>
            <w:tcW w:w="1060" w:type="dxa"/>
            <w:tcBorders/>
            <w:vAlign w:val="center"/>
          </w:tcPr>
          <w:p>
            <w:pPr>
              <w:jc w:val="right"/>
            </w:pPr>
            <w:r>
              <w:rPr>
                <w:rFonts w:ascii="宋体" w:eastAsia="宋体" w:hAnsi="宋体" w:cs="宋体"/>
                <w:b/>
                <w:i w:val="0"/>
                <w:color w:val="000000"/>
                <w:sz w:val="14"/>
              </w:rPr>
              <w:t xml:space="preserve">311.31</w:t>
            </w:r>
          </w:p>
        </w:tc>
        <w:tc>
          <w:tcPr>
            <w:tcW w:w="1060" w:type="dxa"/>
            <w:tcBorders/>
            <w:vAlign w:val="center"/>
          </w:tcPr>
          <w:p>
            <w:pPr>
              <w:jc w:val="right"/>
            </w:pPr>
            <w:r>
              <w:rPr>
                <w:rFonts w:ascii="宋体" w:eastAsia="宋体" w:hAnsi="宋体" w:cs="宋体"/>
                <w:b/>
                <w:i w:val="0"/>
                <w:color w:val="000000"/>
                <w:sz w:val="14"/>
              </w:rPr>
              <w:t xml:space="preserve">13.15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230.52</w:t>
            </w:r>
          </w:p>
        </w:tc>
        <w:tc>
          <w:tcPr>
            <w:tcW w:w="1060" w:type="dxa"/>
            <w:tcBorders/>
            <w:vAlign w:val="center"/>
          </w:tcPr>
          <w:p>
            <w:pPr>
              <w:jc w:val="right"/>
            </w:pPr>
            <w:r>
              <w:rPr>
                <w:rFonts w:ascii="宋体" w:eastAsia="宋体" w:hAnsi="宋体" w:cs="宋体"/>
                <w:b w:val="0"/>
                <w:i w:val="0"/>
                <w:color w:val="000000"/>
                <w:sz w:val="14"/>
              </w:rPr>
              <w:t xml:space="preserve">220.13</w:t>
            </w:r>
          </w:p>
        </w:tc>
        <w:tc>
          <w:tcPr>
            <w:tcW w:w="1060" w:type="dxa"/>
            <w:tcBorders/>
            <w:vAlign w:val="center"/>
          </w:tcPr>
          <w:p>
            <w:pPr>
              <w:jc w:val="right"/>
            </w:pPr>
            <w:r>
              <w:rPr>
                <w:rFonts w:ascii="宋体" w:eastAsia="宋体" w:hAnsi="宋体" w:cs="宋体"/>
                <w:b w:val="0"/>
                <w:i w:val="0"/>
                <w:color w:val="000000"/>
                <w:sz w:val="14"/>
              </w:rPr>
              <w:t xml:space="preserve">10.39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20108</w:t>
            </w:r>
          </w:p>
        </w:tc>
        <w:tc>
          <w:tcPr>
            <w:tcW w:w="3440" w:type="dxa"/>
            <w:tcBorders/>
            <w:vAlign w:val="center"/>
          </w:tcPr>
          <w:p>
            <w:pPr>
              <w:jc w:val="left"/>
            </w:pPr>
            <w:r>
              <w:rPr>
                <w:rFonts w:ascii="宋体" w:eastAsia="宋体" w:hAnsi="宋体" w:cs="宋体"/>
                <w:b w:val="0"/>
                <w:i w:val="0"/>
                <w:color w:val="000000"/>
                <w:sz w:val="14"/>
              </w:rPr>
              <w:t xml:space="preserve">审计事务</w:t>
            </w:r>
          </w:p>
        </w:tc>
        <w:tc>
          <w:tcPr>
            <w:tcW w:w="1060" w:type="dxa"/>
            <w:tcBorders/>
            <w:vAlign w:val="center"/>
          </w:tcPr>
          <w:p>
            <w:pPr>
              <w:jc w:val="right"/>
            </w:pPr>
            <w:r>
              <w:rPr>
                <w:rFonts w:ascii="宋体" w:eastAsia="宋体" w:hAnsi="宋体" w:cs="宋体"/>
                <w:b w:val="0"/>
                <w:i w:val="0"/>
                <w:color w:val="000000"/>
                <w:sz w:val="14"/>
              </w:rPr>
              <w:t xml:space="preserve">230.52</w:t>
            </w:r>
          </w:p>
        </w:tc>
        <w:tc>
          <w:tcPr>
            <w:tcW w:w="1060" w:type="dxa"/>
            <w:tcBorders/>
            <w:vAlign w:val="center"/>
          </w:tcPr>
          <w:p>
            <w:pPr>
              <w:jc w:val="right"/>
            </w:pPr>
            <w:r>
              <w:rPr>
                <w:rFonts w:ascii="宋体" w:eastAsia="宋体" w:hAnsi="宋体" w:cs="宋体"/>
                <w:b w:val="0"/>
                <w:i w:val="0"/>
                <w:color w:val="000000"/>
                <w:sz w:val="14"/>
              </w:rPr>
              <w:t xml:space="preserve">220.13</w:t>
            </w:r>
          </w:p>
        </w:tc>
        <w:tc>
          <w:tcPr>
            <w:tcW w:w="1060" w:type="dxa"/>
            <w:tcBorders/>
            <w:vAlign w:val="center"/>
          </w:tcPr>
          <w:p>
            <w:pPr>
              <w:jc w:val="right"/>
            </w:pPr>
            <w:r>
              <w:rPr>
                <w:rFonts w:ascii="宋体" w:eastAsia="宋体" w:hAnsi="宋体" w:cs="宋体"/>
                <w:b w:val="0"/>
                <w:i w:val="0"/>
                <w:color w:val="000000"/>
                <w:sz w:val="14"/>
              </w:rPr>
              <w:t xml:space="preserve">10.39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2010801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220.13</w:t>
            </w:r>
          </w:p>
        </w:tc>
        <w:tc>
          <w:tcPr>
            <w:tcW w:w="1060" w:type="dxa"/>
            <w:tcBorders/>
            <w:vAlign w:val="center"/>
          </w:tcPr>
          <w:p>
            <w:pPr>
              <w:jc w:val="right"/>
            </w:pPr>
            <w:r>
              <w:rPr>
                <w:rFonts w:ascii="宋体" w:eastAsia="宋体" w:hAnsi="宋体" w:cs="宋体"/>
                <w:b w:val="0"/>
                <w:i w:val="0"/>
                <w:color w:val="000000"/>
                <w:sz w:val="14"/>
              </w:rPr>
              <w:t xml:space="preserve">220.13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2010802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49.71</w:t>
            </w:r>
          </w:p>
        </w:tc>
        <w:tc>
          <w:tcPr>
            <w:tcW w:w="1060" w:type="dxa"/>
            <w:tcBorders/>
            <w:vAlign w:val="center"/>
          </w:tcPr>
          <w:p>
            <w:pPr>
              <w:jc w:val="right"/>
            </w:pPr>
            <w:r>
              <w:rPr>
                <w:rFonts w:ascii="宋体" w:eastAsia="宋体" w:hAnsi="宋体" w:cs="宋体"/>
                <w:b w:val="0"/>
                <w:i w:val="0"/>
                <w:color w:val="000000"/>
                <w:sz w:val="14"/>
              </w:rPr>
              <w:t xml:space="preserve">49.71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49.71</w:t>
            </w:r>
          </w:p>
        </w:tc>
        <w:tc>
          <w:tcPr>
            <w:tcW w:w="1060" w:type="dxa"/>
            <w:tcBorders/>
            <w:vAlign w:val="center"/>
          </w:tcPr>
          <w:p>
            <w:pPr>
              <w:jc w:val="right"/>
            </w:pPr>
            <w:r>
              <w:rPr>
                <w:rFonts w:ascii="宋体" w:eastAsia="宋体" w:hAnsi="宋体" w:cs="宋体"/>
                <w:b w:val="0"/>
                <w:i w:val="0"/>
                <w:color w:val="000000"/>
                <w:sz w:val="14"/>
              </w:rPr>
              <w:t xml:space="preserve">49.71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3.22</w:t>
            </w:r>
          </w:p>
        </w:tc>
        <w:tc>
          <w:tcPr>
            <w:tcW w:w="1060" w:type="dxa"/>
            <w:tcBorders/>
            <w:vAlign w:val="center"/>
          </w:tcPr>
          <w:p>
            <w:pPr>
              <w:jc w:val="right"/>
            </w:pPr>
            <w:r>
              <w:rPr>
                <w:rFonts w:ascii="宋体" w:eastAsia="宋体" w:hAnsi="宋体" w:cs="宋体"/>
                <w:b w:val="0"/>
                <w:i w:val="0"/>
                <w:color w:val="000000"/>
                <w:sz w:val="14"/>
              </w:rPr>
              <w:t xml:space="preserve">3.22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27.74</w:t>
            </w:r>
          </w:p>
        </w:tc>
        <w:tc>
          <w:tcPr>
            <w:tcW w:w="1060" w:type="dxa"/>
            <w:tcBorders/>
            <w:vAlign w:val="center"/>
          </w:tcPr>
          <w:p>
            <w:pPr>
              <w:jc w:val="right"/>
            </w:pPr>
            <w:r>
              <w:rPr>
                <w:rFonts w:ascii="宋体" w:eastAsia="宋体" w:hAnsi="宋体" w:cs="宋体"/>
                <w:b w:val="0"/>
                <w:i w:val="0"/>
                <w:color w:val="000000"/>
                <w:sz w:val="14"/>
              </w:rPr>
              <w:t xml:space="preserve">27.74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18.75</w:t>
            </w:r>
          </w:p>
        </w:tc>
        <w:tc>
          <w:tcPr>
            <w:tcW w:w="1060" w:type="dxa"/>
            <w:tcBorders/>
            <w:vAlign w:val="center"/>
          </w:tcPr>
          <w:p>
            <w:pPr>
              <w:jc w:val="right"/>
            </w:pPr>
            <w:r>
              <w:rPr>
                <w:rFonts w:ascii="宋体" w:eastAsia="宋体" w:hAnsi="宋体" w:cs="宋体"/>
                <w:b w:val="0"/>
                <w:i w:val="0"/>
                <w:color w:val="000000"/>
                <w:sz w:val="14"/>
              </w:rPr>
              <w:t xml:space="preserve">18.75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jc w:val="right"/>
            </w:pPr>
            <w:r>
              <w:rPr>
                <w:rFonts w:ascii="宋体" w:eastAsia="宋体" w:hAnsi="宋体" w:cs="宋体"/>
                <w:b w:val="0"/>
                <w:i w:val="0"/>
                <w:color w:val="000000"/>
                <w:sz w:val="14"/>
              </w:rPr>
              <w:t xml:space="preserve">30.55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229.19</w:t>
            </w:r>
          </w:p>
        </w:tc>
        <w:tc>
          <w:tcPr>
            <w:tcW w:w="1100" w:type="dxa"/>
            <w:tcBorders/>
            <w:vAlign w:val="center"/>
          </w:tcPr>
          <w:p>
            <w:pPr>
              <w:jc w:val="right"/>
            </w:pPr>
            <w:r>
              <w:rPr>
                <w:rFonts w:ascii="宋体" w:eastAsia="宋体" w:hAnsi="宋体" w:cs="宋体"/>
                <w:b w:val="0"/>
                <w:i w:val="0"/>
                <w:color w:val="000000"/>
                <w:sz w:val="14"/>
              </w:rPr>
              <w:t xml:space="preserve">229.19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49.71</w:t>
            </w:r>
          </w:p>
        </w:tc>
        <w:tc>
          <w:tcPr>
            <w:tcW w:w="1100" w:type="dxa"/>
            <w:tcBorders/>
            <w:vAlign w:val="center"/>
          </w:tcPr>
          <w:p>
            <w:pPr>
              <w:jc w:val="right"/>
            </w:pPr>
            <w:r>
              <w:rPr>
                <w:rFonts w:ascii="宋体" w:eastAsia="宋体" w:hAnsi="宋体" w:cs="宋体"/>
                <w:b w:val="0"/>
                <w:i w:val="0"/>
                <w:color w:val="000000"/>
                <w:sz w:val="14"/>
              </w:rPr>
              <w:t xml:space="preserve">49.71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10.91</w:t>
            </w:r>
          </w:p>
        </w:tc>
        <w:tc>
          <w:tcPr>
            <w:tcW w:w="1100" w:type="dxa"/>
            <w:tcBorders/>
            <w:vAlign w:val="center"/>
          </w:tcPr>
          <w:p>
            <w:pPr>
              <w:jc w:val="right"/>
            </w:pPr>
            <w:r>
              <w:rPr>
                <w:rFonts w:ascii="宋体" w:eastAsia="宋体" w:hAnsi="宋体" w:cs="宋体"/>
                <w:b w:val="0"/>
                <w:i w:val="0"/>
                <w:color w:val="000000"/>
                <w:sz w:val="14"/>
              </w:rPr>
              <w:t xml:space="preserve">10.91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30.55</w:t>
            </w:r>
          </w:p>
        </w:tc>
        <w:tc>
          <w:tcPr>
            <w:tcW w:w="1100" w:type="dxa"/>
            <w:tcBorders/>
            <w:vAlign w:val="center"/>
          </w:tcPr>
          <w:p>
            <w:pPr>
              <w:jc w:val="right"/>
            </w:pPr>
            <w:r>
              <w:rPr>
                <w:rFonts w:ascii="宋体" w:eastAsia="宋体" w:hAnsi="宋体" w:cs="宋体"/>
                <w:b w:val="0"/>
                <w:i w:val="0"/>
                <w:color w:val="000000"/>
                <w:sz w:val="14"/>
              </w:rPr>
              <w:t xml:space="preserve">30.55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2.76</w:t>
            </w:r>
          </w:p>
        </w:tc>
        <w:tc>
          <w:tcPr>
            <w:tcW w:w="1100" w:type="dxa"/>
            <w:tcBorders/>
            <w:vAlign w:val="center"/>
          </w:tcPr>
          <w:p>
            <w:pPr>
              <w:jc w:val="right"/>
            </w:pPr>
            <w:r>
              <w:rPr>
                <w:rFonts w:ascii="宋体" w:eastAsia="宋体" w:hAnsi="宋体" w:cs="宋体"/>
                <w:b w:val="0"/>
                <w:i w:val="0"/>
                <w:color w:val="000000"/>
                <w:sz w:val="14"/>
              </w:rPr>
              <w:t xml:space="preserve">2.76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1100" w:type="dxa"/>
            <w:tcBorders/>
            <w:vAlign w:val="center"/>
          </w:tcPr>
          <w:p>
            <w:pPr>
              <w:jc w:val="right"/>
            </w:pPr>
            <w:r>
              <w:rPr>
                <w:rFonts w:ascii="宋体" w:eastAsia="宋体" w:hAnsi="宋体" w:cs="宋体"/>
                <w:b w:val="0"/>
                <w:i w:val="0"/>
                <w:color w:val="000000"/>
                <w:sz w:val="14"/>
              </w:rPr>
              <w:t xml:space="preserve">323.13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323.13</w:t>
            </w:r>
          </w:p>
        </w:tc>
        <w:tc>
          <w:tcPr>
            <w:tcW w:w="1780" w:type="dxa"/>
            <w:tcBorders/>
            <w:vAlign w:val="center"/>
          </w:tcPr>
          <w:p>
            <w:pPr>
              <w:jc w:val="right"/>
            </w:pPr>
            <w:r>
              <w:rPr>
                <w:rFonts w:ascii="宋体" w:eastAsia="宋体" w:hAnsi="宋体" w:cs="宋体"/>
                <w:b/>
                <w:i w:val="0"/>
                <w:color w:val="000000"/>
                <w:sz w:val="18"/>
              </w:rPr>
              <w:t xml:space="preserve">311.31</w:t>
            </w:r>
          </w:p>
        </w:tc>
        <w:tc>
          <w:tcPr>
            <w:tcW w:w="1772" w:type="dxa"/>
            <w:tcBorders/>
            <w:vAlign w:val="center"/>
          </w:tcPr>
          <w:p>
            <w:pPr>
              <w:jc w:val="right"/>
            </w:pPr>
            <w:r>
              <w:rPr>
                <w:rFonts w:ascii="宋体" w:eastAsia="宋体" w:hAnsi="宋体" w:cs="宋体"/>
                <w:b/>
                <w:i w:val="0"/>
                <w:color w:val="000000"/>
                <w:sz w:val="18"/>
              </w:rPr>
              <w:t xml:space="preserve">11.82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229.19</w:t>
            </w:r>
          </w:p>
        </w:tc>
        <w:tc>
          <w:tcPr>
            <w:tcW w:w="1780" w:type="dxa"/>
            <w:tcBorders/>
            <w:vAlign w:val="center"/>
          </w:tcPr>
          <w:p>
            <w:pPr>
              <w:jc w:val="right"/>
            </w:pPr>
            <w:r>
              <w:rPr>
                <w:rFonts w:ascii="宋体" w:eastAsia="宋体" w:hAnsi="宋体" w:cs="宋体"/>
                <w:b w:val="0"/>
                <w:i w:val="0"/>
                <w:color w:val="000000"/>
                <w:sz w:val="18"/>
              </w:rPr>
              <w:t xml:space="preserve">220.13</w:t>
            </w:r>
          </w:p>
        </w:tc>
        <w:tc>
          <w:tcPr>
            <w:tcW w:w="1772" w:type="dxa"/>
            <w:tcBorders/>
            <w:vAlign w:val="center"/>
          </w:tcPr>
          <w:p>
            <w:pPr>
              <w:jc w:val="right"/>
            </w:pPr>
            <w:r>
              <w:rPr>
                <w:rFonts w:ascii="宋体" w:eastAsia="宋体" w:hAnsi="宋体" w:cs="宋体"/>
                <w:b w:val="0"/>
                <w:i w:val="0"/>
                <w:color w:val="000000"/>
                <w:sz w:val="18"/>
              </w:rPr>
              <w:t xml:space="preserve">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20108</w:t>
            </w:r>
          </w:p>
        </w:tc>
        <w:tc>
          <w:tcPr>
            <w:tcW w:w="4300" w:type="dxa"/>
            <w:tcBorders/>
            <w:vAlign w:val="center"/>
          </w:tcPr>
          <w:p>
            <w:pPr>
              <w:jc w:val="left"/>
            </w:pPr>
            <w:r>
              <w:rPr>
                <w:rFonts w:ascii="宋体" w:eastAsia="宋体" w:hAnsi="宋体" w:cs="宋体"/>
                <w:b w:val="0"/>
                <w:i w:val="0"/>
                <w:color w:val="000000"/>
                <w:sz w:val="18"/>
              </w:rPr>
              <w:t xml:space="preserve">审计事务</w:t>
            </w:r>
          </w:p>
        </w:tc>
        <w:tc>
          <w:tcPr>
            <w:tcW w:w="1780" w:type="dxa"/>
            <w:tcBorders/>
            <w:vAlign w:val="center"/>
          </w:tcPr>
          <w:p>
            <w:pPr>
              <w:jc w:val="right"/>
            </w:pPr>
            <w:r>
              <w:rPr>
                <w:rFonts w:ascii="宋体" w:eastAsia="宋体" w:hAnsi="宋体" w:cs="宋体"/>
                <w:b w:val="0"/>
                <w:i w:val="0"/>
                <w:color w:val="000000"/>
                <w:sz w:val="18"/>
              </w:rPr>
              <w:t xml:space="preserve">229.19</w:t>
            </w:r>
          </w:p>
        </w:tc>
        <w:tc>
          <w:tcPr>
            <w:tcW w:w="1780" w:type="dxa"/>
            <w:tcBorders/>
            <w:vAlign w:val="center"/>
          </w:tcPr>
          <w:p>
            <w:pPr>
              <w:jc w:val="right"/>
            </w:pPr>
            <w:r>
              <w:rPr>
                <w:rFonts w:ascii="宋体" w:eastAsia="宋体" w:hAnsi="宋体" w:cs="宋体"/>
                <w:b w:val="0"/>
                <w:i w:val="0"/>
                <w:color w:val="000000"/>
                <w:sz w:val="18"/>
              </w:rPr>
              <w:t xml:space="preserve">220.13</w:t>
            </w:r>
          </w:p>
        </w:tc>
        <w:tc>
          <w:tcPr>
            <w:tcW w:w="1772" w:type="dxa"/>
            <w:tcBorders/>
            <w:vAlign w:val="center"/>
          </w:tcPr>
          <w:p>
            <w:pPr>
              <w:jc w:val="right"/>
            </w:pPr>
            <w:r>
              <w:rPr>
                <w:rFonts w:ascii="宋体" w:eastAsia="宋体" w:hAnsi="宋体" w:cs="宋体"/>
                <w:b w:val="0"/>
                <w:i w:val="0"/>
                <w:color w:val="000000"/>
                <w:sz w:val="18"/>
              </w:rPr>
              <w:t xml:space="preserve">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2010801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220.13</w:t>
            </w:r>
          </w:p>
        </w:tc>
        <w:tc>
          <w:tcPr>
            <w:tcW w:w="1780" w:type="dxa"/>
            <w:tcBorders/>
            <w:vAlign w:val="center"/>
          </w:tcPr>
          <w:p>
            <w:pPr>
              <w:jc w:val="right"/>
            </w:pPr>
            <w:r>
              <w:rPr>
                <w:rFonts w:ascii="宋体" w:eastAsia="宋体" w:hAnsi="宋体" w:cs="宋体"/>
                <w:b w:val="0"/>
                <w:i w:val="0"/>
                <w:color w:val="000000"/>
                <w:sz w:val="18"/>
              </w:rPr>
              <w:t xml:space="preserve">220.13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2010802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49.71</w:t>
            </w:r>
          </w:p>
        </w:tc>
        <w:tc>
          <w:tcPr>
            <w:tcW w:w="1780" w:type="dxa"/>
            <w:tcBorders/>
            <w:vAlign w:val="center"/>
          </w:tcPr>
          <w:p>
            <w:pPr>
              <w:jc w:val="right"/>
            </w:pPr>
            <w:r>
              <w:rPr>
                <w:rFonts w:ascii="宋体" w:eastAsia="宋体" w:hAnsi="宋体" w:cs="宋体"/>
                <w:b w:val="0"/>
                <w:i w:val="0"/>
                <w:color w:val="000000"/>
                <w:sz w:val="18"/>
              </w:rPr>
              <w:t xml:space="preserve">49.71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49.71</w:t>
            </w:r>
          </w:p>
        </w:tc>
        <w:tc>
          <w:tcPr>
            <w:tcW w:w="1780" w:type="dxa"/>
            <w:tcBorders/>
            <w:vAlign w:val="center"/>
          </w:tcPr>
          <w:p>
            <w:pPr>
              <w:jc w:val="right"/>
            </w:pPr>
            <w:r>
              <w:rPr>
                <w:rFonts w:ascii="宋体" w:eastAsia="宋体" w:hAnsi="宋体" w:cs="宋体"/>
                <w:b w:val="0"/>
                <w:i w:val="0"/>
                <w:color w:val="000000"/>
                <w:sz w:val="18"/>
              </w:rPr>
              <w:t xml:space="preserve">49.71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3.22</w:t>
            </w:r>
          </w:p>
        </w:tc>
        <w:tc>
          <w:tcPr>
            <w:tcW w:w="1780" w:type="dxa"/>
            <w:tcBorders/>
            <w:vAlign w:val="center"/>
          </w:tcPr>
          <w:p>
            <w:pPr>
              <w:jc w:val="right"/>
            </w:pPr>
            <w:r>
              <w:rPr>
                <w:rFonts w:ascii="宋体" w:eastAsia="宋体" w:hAnsi="宋体" w:cs="宋体"/>
                <w:b w:val="0"/>
                <w:i w:val="0"/>
                <w:color w:val="000000"/>
                <w:sz w:val="18"/>
              </w:rPr>
              <w:t xml:space="preserve">3.22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27.74</w:t>
            </w:r>
          </w:p>
        </w:tc>
        <w:tc>
          <w:tcPr>
            <w:tcW w:w="1780" w:type="dxa"/>
            <w:tcBorders/>
            <w:vAlign w:val="center"/>
          </w:tcPr>
          <w:p>
            <w:pPr>
              <w:jc w:val="right"/>
            </w:pPr>
            <w:r>
              <w:rPr>
                <w:rFonts w:ascii="宋体" w:eastAsia="宋体" w:hAnsi="宋体" w:cs="宋体"/>
                <w:b w:val="0"/>
                <w:i w:val="0"/>
                <w:color w:val="000000"/>
                <w:sz w:val="18"/>
              </w:rPr>
              <w:t xml:space="preserve">27.74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18.75</w:t>
            </w:r>
          </w:p>
        </w:tc>
        <w:tc>
          <w:tcPr>
            <w:tcW w:w="1780" w:type="dxa"/>
            <w:tcBorders/>
            <w:vAlign w:val="center"/>
          </w:tcPr>
          <w:p>
            <w:pPr>
              <w:jc w:val="right"/>
            </w:pPr>
            <w:r>
              <w:rPr>
                <w:rFonts w:ascii="宋体" w:eastAsia="宋体" w:hAnsi="宋体" w:cs="宋体"/>
                <w:b w:val="0"/>
                <w:i w:val="0"/>
                <w:color w:val="000000"/>
                <w:sz w:val="18"/>
              </w:rPr>
              <w:t xml:space="preserve">18.75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80" w:type="dxa"/>
            <w:tcBorders/>
            <w:vAlign w:val="center"/>
          </w:tcPr>
          <w:p>
            <w:pPr>
              <w:jc w:val="right"/>
            </w:pPr>
            <w:r>
              <w:rPr>
                <w:rFonts w:ascii="宋体" w:eastAsia="宋体" w:hAnsi="宋体" w:cs="宋体"/>
                <w:b w:val="0"/>
                <w:i w:val="0"/>
                <w:color w:val="000000"/>
                <w:sz w:val="18"/>
              </w:rPr>
              <w:t xml:space="preserve">10.91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80" w:type="dxa"/>
            <w:tcBorders/>
            <w:vAlign w:val="center"/>
          </w:tcPr>
          <w:p>
            <w:pPr>
              <w:jc w:val="right"/>
            </w:pPr>
            <w:r>
              <w:rPr>
                <w:rFonts w:ascii="宋体" w:eastAsia="宋体" w:hAnsi="宋体" w:cs="宋体"/>
                <w:b w:val="0"/>
                <w:i w:val="0"/>
                <w:color w:val="000000"/>
                <w:sz w:val="18"/>
              </w:rPr>
              <w:t xml:space="preserve">30.55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2.76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2.76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2.76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2.76</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279.90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27.99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71.11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2.56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55.85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58.38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5.92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27.74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18.75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9.83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10.91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30.55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3.22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3.22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13.64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283.12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28.18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部门：辽宁省沈阳市浑南区审计局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019001沈阳市浑南区审计局本级-210112000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335.54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335.54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保障审计工作平稳运行，充分发挥审计监督服务保障作用</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2024年审计计划，圆满完成财政收支审计、部门预算执行审计、领导干部经济责任审计、专项审计调查和领导交办的审计事项。推动党中央、国务院各方面决策部署的贯彻实施，保障资金安全，促进提高资金使用效益，规范工程建设，揭示重大违纪违法、经济犯罪和腐败问题，促进反腐倡廉。</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54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部分固定资产因为老旧年久失修导致固定资产的闲置，例如比较老旧的电脑，影响工作效率暂未启用</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硬件条件保障:整理出部分老旧固定资产，进行修理或替换</w:t>
            </w: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169"/>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计算机中级培训考试合格率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计算机中级本年度共报名2人，其中1人通过审计计算机中级考试，拿到证书，后续新入职人员将继续组织计算机中级考试</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人员保障:本年度参与计算机中级考试的人共有2人，后续新入职人员将继续组织残疾计算机中级考试</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对审计信息平台运行的评价和满意度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96.54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财政资金紧张导致的相关经费的发放不到位，档案整理款项拨付不够及时</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经费保障:由于财政资金紧张导致的相关经费的发放不到位，聘请专业公司整理档案等款项拨付不够及时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确保雇员经费及时准确发放到位，保障单位正常运转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经费保障:财政资金紧张导致的相关经费的发放不够到位，办公费、工会经费等相关款项拨付不够及时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经费保障:在做预算时充分考虑到财政资金紧张等相关因素，结合实际情况，压缩项目资金，响应过紧日子要求</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经费保障:财政资金紧张导致的相关经费的发放不够到位，办公费、工会经费等相关款项拨付不够及时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经费保障:在做预算时充分考虑到财政资金紧张等相关因素，结合实际情况，压缩项目资金，响应过紧日子要求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经费保障:财政资金紧张导致的相关经费的发放不够到位，办公费、工会经费等相关款项拨付不够及时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经费保障:在做预算时充分考虑到财政资金紧张等相关因素，结合实际情况，压缩项目资金，响应过紧日子要求</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1.26927104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确保机关单位平稳运行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按上级通知要求及时缴纳残疾人就业保障金，确保单位平稳运行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聘请专业人员中介审计费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依法完成上三级审计机关授权及区本级政府交办的审计业务，聘用第三方审计机构完成审计项目1项，提高审计的专业监督和管理水平。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经费保障:财政资金紧张导致的相关经费的发放不到位，聘请审计事务所等专项业务款项拨付不够及时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按照2024年审计计划，圆满完成财政收支审计、部门预算执行审计、领导干部经济责任审计、专项审计调查和领导交办的审计事项。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经费保障:由于财政资金紧张导致的相关经费的发放不到位，在审计过程中产生的相关审计业务专项经费等款项拨付不够及时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沈阳市浑南区审计局本级-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按上级审计机关要求，为区审计委员会及区经济责任联席会议成员单位订阅《中国审计报》等五种审计专业期刊，但由于财政资金紧张，本年度未订阅相关期刊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经费保障:按上级审计机关要求，为区审计委员会及区经济责任联席会议成员单位订阅《中国审计报》等五种审计专业期刊，但由于财政资金紧张，本年度未订阅相关期刊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经费保障:在年初预算时充分考虑财政资金情况和实际审计需求，响应政府过紧日子号召，节省相关开支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