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辽宁省沈阳市浑南区统计局（本级）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辽宁省沈阳市浑南区统计局（本级）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辽宁省沈阳市浑南区统计局（本级）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辽宁省沈阳市浑南区统计局（本级）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辽宁省沈阳市浑南区统计局（本级）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辽宁省沈阳市浑南区统计局（本级）概况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承担组织领导和协调全区统计工作、确保统计数据真实准确的责任，贯彻执行国家基本统计制度、统计标准及省、市有关要求，建立完善新经济统计调查制度，依法开展统计执法检查，查处统计违法行为，加强统计系统诚信体系建设。 </w:t>
        <w:br/>
        <w:t xml:space="preserve">    （二）建立健全全区国民经济核算体系，组织实施全区国民经济核算制度和全区投入产出调查制度，预核算全区生产总值，汇编提供国民经济核算资料，监督、管理和指导全区国民经济核算工作，检查评估全区国民经济核算数据质量。 </w:t>
        <w:br/>
        <w:t xml:space="preserve">    （三）会同有关部门拟订重大国情国力普查计划，组织实施全区人口、经济、农业等国情国力普查和重大专项调查，统一组织全区各街道和各部门的社会经济调查，汇总、整理全区的基本统计资料。 </w:t>
        <w:br/>
        <w:t xml:space="preserve">    （四）组织实施国民经济和社会发展各行业统计调查，收集、汇总、整理和提供有关调查的统计数据，综合整理和提供旅游、交通运输、邮政、教育、卫生、社会保障、公用事业等全区性基本统计数据。 </w:t>
        <w:br/>
        <w:t xml:space="preserve">    （五）组织实施能源、投资、消费、科技、人口、劳动力、社会发展基本情况、环境基本状况、新经济情况等统计调查，收集、汇总、整理和提供有关统计数据。综合整理和</w:t>
        <w:br/>
        <w:t xml:space="preserve">    提供资源、房屋、对外贸易、对外经济等全区性基本统计数据，统一核定、管理、公布全区性基本统计资料，定期发布全区国民经济和社会发展情况的统计信息，对全区国民经济、社会发展、科技进步和资源环境情况进行统计分析、统计监测和统计监督，向区委、区政府及有关部门提供统计信息和咨询建议。 </w:t>
        <w:br/>
        <w:t xml:space="preserve">    （六）管理全区各部门的统计调查项目，监督检查统计制度、统计标准的贯彻执行情况，建立健全统计数据质量审核、监控和评估制度并组织实施，组织和协调全区基层统计业务基础建设。 </w:t>
        <w:br/>
        <w:t xml:space="preserve">    （七）建立并管理全区统计数据库系统，制定全区统计信息化建设规划并组织实施，建立统计信息系统运行规则及管理制度，负责全区统计信息系统的运行维护及信息安全，指导大数据在全区统计工作中的运用。负责统计经费相关监督管理工作。 </w:t>
        <w:br/>
        <w:t xml:space="preserve">    （八）协助市局做好统计专业资格和统计继续教育的报名、 培训、考试；组织、指导统计干部（人员）业务培训。 </w:t>
        <w:br/>
        <w:t xml:space="preserve">    （九）负责本单位安全生产工作。 </w:t>
        <w:br/>
        <w:t xml:space="preserve">    （十）配合区委组织部组织实施全区人才专项统计调查，汇总、整理和提供有关调查的统计数据，支持人才信息平台建设。 </w:t>
        <w:br/>
        <w:t xml:space="preserve">    （十一）本部门权责清单和政务服务事项清单在区政府门户网站上公布。 </w:t>
        <w:br/>
        <w:t xml:space="preserve">    （十二）完成区委、区政府交办的其他任务。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辽宁省沈阳市浑南区统计局（本级）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辽宁省沈阳市浑南区统计局本级，本单位无下设机构。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442.45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407.78</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92.16</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407.78</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6.00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1.36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主要是市统计局拨付“五经普”购买第三方服务经费6万元等收入。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28.67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6.48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主要是自贸区两员补助28.67万元等。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增加76.69万元，增长20.97%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五经普经费增加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442.45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203.11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45.91</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工资福利支出180.45万元；商品和服务支出20.25万元；对个人和家庭的补助2.42万元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239.33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54.09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五经普省级两员补助77.39万元、专项普查活动经费76.97万元、五经普两员补助市级30.1万元、普查员补助（自贸区管委会拨入）28.67万元、统计局雇员经费9.93万元、统计局网络服务费6万元、委托业务费统计局6万元、统计局宽带网费2.77万元、残疾人就业保障金1.5万元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增加105.36万元，增长31.26%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五经普两员补助支出增加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减少28.67万元，降低100.00%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上年结余普查员补助（自贸区管委会拨入）28.67万元已全部支付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407.78</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203.11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204.67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增加83.45万元，增长25.73%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五经普两员补助支出增加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57.31</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83.36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43.74</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2024年度一般公共预算财政拨款支出407.78万元。按支出功能分类科目分，包括：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1.一般公共服务支出357.22万元，具体包括：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统计信息事务（款）行政运行（项）152.56万元,主要是工资福利支出132.31万元、商品和服务支出20.25万元等支出，完成年初预算的83.11%，决算数与年初预算数存在差异的主要原因是根据实际情况，工资福利支出和商品和服务支出均有所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统计信息事务（款）一般行政管理事务（项）11.43万元,主要是统计局雇员经费9.93万元、残疾人就业保障金1.5万元等支出，完成年初预算的69.19%，决算数与年初预算数存在差异的主要原因是根据实际情况，统计局雇员经费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统计信息事务（款）专项统计业务（项）8.77万元,主要是统计局网络服务费6万元、统计局宽带网费2.77万元等支出，完成年初预算的82.12%，决算数与年初预算数存在差异的主要原因是厉行节约，统计局宽带网费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统计信息事务（款）专项普查活动（项）184.46万元,主要是五经普省级两员补助77.39万元、专项普查活动经费76.97万元、五经普两员补助市级30.1万元等支出，完成年初预算的42.84%，决算数与年初预算数存在差异的主要原因是五经普费用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2.社会保障和就业支出21.96万元，具体包括：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2.42万元,主要是退休人员采暖费等支出，完成年初预算的89.3%，决算数与年初预算数存在差异的主要原因是退休人员活动费未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19.54万元,主要是机关事业单位基本养老保险缴费支出等支出，完成年初预算的99.95%，决算数与年初预算数存在差异的主要原因是预算数四舍五入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3.卫生健康支出7.46万元，具体包括：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（1）卫生健康支出（类）行政事业单位医疗（款）行政单位医疗（项）7.46万元,主要是职工基本医疗保险缴费等支出，完成年初预算的84.39%，决算数与年初预算数存在差异的主要原因是公务员医疗补助未支出。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4.住房保障支出21.13万元，具体包括：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（1）住房保障支出（类）住房改革支出（款）住房公积金（项）21.13万元,主要是住房公积金等支出，完成年初预算的73.88%，决算数与年初预算数存在差异的主要原因是住房公积金高比列部分未支付。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未发生该项费用支出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未发生该项费用支出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未发生该项费用支出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未发生该项费用支出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未发生该项费用支出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未发生该项费用支出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未发生该项费用支出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203.12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182.87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20.25</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20.25</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比上年增加5.23万元，增长34.82%</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办公经费增加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具体而言，本年度我部门共组织对11个项目实施了绩效评价。从预算资金来源看，涉及一般公共预算的项目11个，涉及政府性基金预算的项目0个，涉及国有资本经营预算的项目0个。</w:t>
        <w:br/>
        <w:t xml:space="preserve">    上述评价工作共涉及财政资金417.79万元。其中，一般公共预算资金417.79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0个；得分在60分（含）至80分、等级为“中”的项目有1个；得分在60分以下、等级为“差”的项目有6个。各项目自评发现，部分项目存在预算执行进度偏慢、个别效益指标未能完全达成等问题，已要求相关项目单位分析原因并制定改进措施。</w:t>
        <w:br/>
        <w:t xml:space="preserve">    3.部门重点评价情况及结果。</w:t>
        <w:br/>
        <w:t xml:space="preserve">    在全面自评的基础上，本部门选取了3个资金量大、社会关注度高、具有代表性的重点项目实施了部门重点评价。评价工作通过数据采集分析方式进行，确保了评价结果的客观性和公正性。</w:t>
        <w:br/>
        <w:t xml:space="preserve">    我部门组织对3个项目重点评价，结果显示，被评价项目整体绩效情况良好。其中：第一个重点项目为五经普省级两元补助，涉及资金77.39万元，评价平均分为99.63分，评级情况为优；第二个重点项目为专项普查活动经费，涉及资金76.97万元，评价平均分为59分，评级情况为差；第三个重点项目为五经普两元补助市级，涉及资金30.1万元，评价平均分为100分，评级情况为优。同时，评价也发现绩效指标设置不够细化的问题。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单位：辽宁省沈阳市浑南区统计局（本级）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407.78</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391.89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6.00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21.96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7.46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21.13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413.78</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442.45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28.67</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442.45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442.45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单位：辽宁省沈阳市浑南区统计局（本级）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413.78</w:t>
            </w:r>
          </w:p>
        </w:tc>
        <w:tc>
          <w:tcPr>
            <w:tcW w:w="960" w:type="dxa"/>
            <w:tcBorders/>
            <w:vAlign w:val="center"/>
          </w:tcPr>
          <w:p>
            <w:pPr>
              <w:jc w:val="right"/>
            </w:pPr>
            <w:r>
              <w:rPr>
                <w:rFonts w:ascii="宋体" w:eastAsia="宋体" w:hAnsi="宋体" w:cs="宋体"/>
                <w:b/>
                <w:i w:val="0"/>
                <w:color w:val="000000"/>
                <w:sz w:val="13"/>
              </w:rPr>
              <w:t xml:space="preserve">407.78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6.00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363.22</w:t>
            </w:r>
          </w:p>
        </w:tc>
        <w:tc>
          <w:tcPr>
            <w:tcW w:w="960" w:type="dxa"/>
            <w:tcBorders/>
            <w:vAlign w:val="center"/>
          </w:tcPr>
          <w:p>
            <w:pPr>
              <w:jc w:val="right"/>
            </w:pPr>
            <w:r>
              <w:rPr>
                <w:rFonts w:ascii="宋体" w:eastAsia="宋体" w:hAnsi="宋体" w:cs="宋体"/>
                <w:b w:val="0"/>
                <w:i w:val="0"/>
                <w:color w:val="000000"/>
                <w:sz w:val="13"/>
              </w:rPr>
              <w:t xml:space="preserve">357.22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6.00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w:t>
            </w:r>
          </w:p>
        </w:tc>
        <w:tc>
          <w:tcPr>
            <w:tcW w:w="3200" w:type="dxa"/>
            <w:tcBorders/>
            <w:vAlign w:val="center"/>
          </w:tcPr>
          <w:p>
            <w:pPr>
              <w:jc w:val="left"/>
            </w:pPr>
            <w:r>
              <w:rPr>
                <w:rFonts w:ascii="宋体" w:eastAsia="宋体" w:hAnsi="宋体" w:cs="宋体"/>
                <w:b w:val="0"/>
                <w:i w:val="0"/>
                <w:color w:val="000000"/>
                <w:sz w:val="13"/>
              </w:rPr>
              <w:t xml:space="preserve">统计信息事务</w:t>
            </w:r>
          </w:p>
        </w:tc>
        <w:tc>
          <w:tcPr>
            <w:tcW w:w="960" w:type="dxa"/>
            <w:tcBorders/>
            <w:vAlign w:val="center"/>
          </w:tcPr>
          <w:p>
            <w:pPr>
              <w:jc w:val="right"/>
            </w:pPr>
            <w:r>
              <w:rPr>
                <w:rFonts w:ascii="宋体" w:eastAsia="宋体" w:hAnsi="宋体" w:cs="宋体"/>
                <w:b w:val="0"/>
                <w:i w:val="0"/>
                <w:color w:val="000000"/>
                <w:sz w:val="13"/>
              </w:rPr>
              <w:t xml:space="preserve">363.22</w:t>
            </w:r>
          </w:p>
        </w:tc>
        <w:tc>
          <w:tcPr>
            <w:tcW w:w="960" w:type="dxa"/>
            <w:tcBorders/>
            <w:vAlign w:val="center"/>
          </w:tcPr>
          <w:p>
            <w:pPr>
              <w:jc w:val="right"/>
            </w:pPr>
            <w:r>
              <w:rPr>
                <w:rFonts w:ascii="宋体" w:eastAsia="宋体" w:hAnsi="宋体" w:cs="宋体"/>
                <w:b w:val="0"/>
                <w:i w:val="0"/>
                <w:color w:val="000000"/>
                <w:sz w:val="13"/>
              </w:rPr>
              <w:t xml:space="preserve">357.22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6.00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152.56</w:t>
            </w:r>
          </w:p>
        </w:tc>
        <w:tc>
          <w:tcPr>
            <w:tcW w:w="960" w:type="dxa"/>
            <w:tcBorders/>
            <w:vAlign w:val="center"/>
          </w:tcPr>
          <w:p>
            <w:pPr>
              <w:jc w:val="right"/>
            </w:pPr>
            <w:r>
              <w:rPr>
                <w:rFonts w:ascii="宋体" w:eastAsia="宋体" w:hAnsi="宋体" w:cs="宋体"/>
                <w:b w:val="0"/>
                <w:i w:val="0"/>
                <w:color w:val="000000"/>
                <w:sz w:val="13"/>
              </w:rPr>
              <w:t xml:space="preserve">152.56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11.43</w:t>
            </w:r>
          </w:p>
        </w:tc>
        <w:tc>
          <w:tcPr>
            <w:tcW w:w="960" w:type="dxa"/>
            <w:tcBorders/>
            <w:vAlign w:val="center"/>
          </w:tcPr>
          <w:p>
            <w:pPr>
              <w:jc w:val="right"/>
            </w:pPr>
            <w:r>
              <w:rPr>
                <w:rFonts w:ascii="宋体" w:eastAsia="宋体" w:hAnsi="宋体" w:cs="宋体"/>
                <w:b w:val="0"/>
                <w:i w:val="0"/>
                <w:color w:val="000000"/>
                <w:sz w:val="13"/>
              </w:rPr>
              <w:t xml:space="preserve">11.43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2010505</w:t>
            </w:r>
          </w:p>
        </w:tc>
        <w:tc>
          <w:tcPr>
            <w:tcW w:w="3200" w:type="dxa"/>
            <w:tcBorders/>
            <w:vAlign w:val="center"/>
          </w:tcPr>
          <w:p>
            <w:pPr>
              <w:jc w:val="left"/>
            </w:pPr>
            <w:r>
              <w:rPr>
                <w:rFonts w:ascii="宋体" w:eastAsia="宋体" w:hAnsi="宋体" w:cs="宋体"/>
                <w:b w:val="0"/>
                <w:i w:val="0"/>
                <w:color w:val="000000"/>
                <w:sz w:val="13"/>
              </w:rPr>
              <w:t xml:space="preserve">专项统计业务</w:t>
            </w:r>
          </w:p>
        </w:tc>
        <w:tc>
          <w:tcPr>
            <w:tcW w:w="960" w:type="dxa"/>
            <w:tcBorders/>
            <w:vAlign w:val="center"/>
          </w:tcPr>
          <w:p>
            <w:pPr>
              <w:jc w:val="right"/>
            </w:pPr>
            <w:r>
              <w:rPr>
                <w:rFonts w:ascii="宋体" w:eastAsia="宋体" w:hAnsi="宋体" w:cs="宋体"/>
                <w:b w:val="0"/>
                <w:i w:val="0"/>
                <w:color w:val="000000"/>
                <w:sz w:val="13"/>
              </w:rPr>
              <w:t xml:space="preserve">8.77</w:t>
            </w:r>
          </w:p>
        </w:tc>
        <w:tc>
          <w:tcPr>
            <w:tcW w:w="960" w:type="dxa"/>
            <w:tcBorders/>
            <w:vAlign w:val="center"/>
          </w:tcPr>
          <w:p>
            <w:pPr>
              <w:jc w:val="right"/>
            </w:pPr>
            <w:r>
              <w:rPr>
                <w:rFonts w:ascii="宋体" w:eastAsia="宋体" w:hAnsi="宋体" w:cs="宋体"/>
                <w:b w:val="0"/>
                <w:i w:val="0"/>
                <w:color w:val="000000"/>
                <w:sz w:val="13"/>
              </w:rPr>
              <w:t xml:space="preserve">8.77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2010507</w:t>
            </w:r>
          </w:p>
        </w:tc>
        <w:tc>
          <w:tcPr>
            <w:tcW w:w="3200" w:type="dxa"/>
            <w:tcBorders/>
            <w:vAlign w:val="center"/>
          </w:tcPr>
          <w:p>
            <w:pPr>
              <w:jc w:val="left"/>
            </w:pPr>
            <w:r>
              <w:rPr>
                <w:rFonts w:ascii="宋体" w:eastAsia="宋体" w:hAnsi="宋体" w:cs="宋体"/>
                <w:b w:val="0"/>
                <w:i w:val="0"/>
                <w:color w:val="000000"/>
                <w:sz w:val="13"/>
              </w:rPr>
              <w:t xml:space="preserve">专项普查活动</w:t>
            </w:r>
          </w:p>
        </w:tc>
        <w:tc>
          <w:tcPr>
            <w:tcW w:w="960" w:type="dxa"/>
            <w:tcBorders/>
            <w:vAlign w:val="center"/>
          </w:tcPr>
          <w:p>
            <w:pPr>
              <w:jc w:val="right"/>
            </w:pPr>
            <w:r>
              <w:rPr>
                <w:rFonts w:ascii="宋体" w:eastAsia="宋体" w:hAnsi="宋体" w:cs="宋体"/>
                <w:b w:val="0"/>
                <w:i w:val="0"/>
                <w:color w:val="000000"/>
                <w:sz w:val="13"/>
              </w:rPr>
              <w:t xml:space="preserve">190.46</w:t>
            </w:r>
          </w:p>
        </w:tc>
        <w:tc>
          <w:tcPr>
            <w:tcW w:w="960" w:type="dxa"/>
            <w:tcBorders/>
            <w:vAlign w:val="center"/>
          </w:tcPr>
          <w:p>
            <w:pPr>
              <w:jc w:val="right"/>
            </w:pPr>
            <w:r>
              <w:rPr>
                <w:rFonts w:ascii="宋体" w:eastAsia="宋体" w:hAnsi="宋体" w:cs="宋体"/>
                <w:b w:val="0"/>
                <w:i w:val="0"/>
                <w:color w:val="000000"/>
                <w:sz w:val="13"/>
              </w:rPr>
              <w:t xml:space="preserve">184.46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6.00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21.96</w:t>
            </w:r>
          </w:p>
        </w:tc>
        <w:tc>
          <w:tcPr>
            <w:tcW w:w="960" w:type="dxa"/>
            <w:tcBorders/>
            <w:vAlign w:val="center"/>
          </w:tcPr>
          <w:p>
            <w:pPr>
              <w:jc w:val="right"/>
            </w:pPr>
            <w:r>
              <w:rPr>
                <w:rFonts w:ascii="宋体" w:eastAsia="宋体" w:hAnsi="宋体" w:cs="宋体"/>
                <w:b w:val="0"/>
                <w:i w:val="0"/>
                <w:color w:val="000000"/>
                <w:sz w:val="13"/>
              </w:rPr>
              <w:t xml:space="preserve">21.96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21.96</w:t>
            </w:r>
          </w:p>
        </w:tc>
        <w:tc>
          <w:tcPr>
            <w:tcW w:w="960" w:type="dxa"/>
            <w:tcBorders/>
            <w:vAlign w:val="center"/>
          </w:tcPr>
          <w:p>
            <w:pPr>
              <w:jc w:val="right"/>
            </w:pPr>
            <w:r>
              <w:rPr>
                <w:rFonts w:ascii="宋体" w:eastAsia="宋体" w:hAnsi="宋体" w:cs="宋体"/>
                <w:b w:val="0"/>
                <w:i w:val="0"/>
                <w:color w:val="000000"/>
                <w:sz w:val="13"/>
              </w:rPr>
              <w:t xml:space="preserve">21.96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2.42</w:t>
            </w:r>
          </w:p>
        </w:tc>
        <w:tc>
          <w:tcPr>
            <w:tcW w:w="960" w:type="dxa"/>
            <w:tcBorders/>
            <w:vAlign w:val="center"/>
          </w:tcPr>
          <w:p>
            <w:pPr>
              <w:jc w:val="right"/>
            </w:pPr>
            <w:r>
              <w:rPr>
                <w:rFonts w:ascii="宋体" w:eastAsia="宋体" w:hAnsi="宋体" w:cs="宋体"/>
                <w:b w:val="0"/>
                <w:i w:val="0"/>
                <w:color w:val="000000"/>
                <w:sz w:val="13"/>
              </w:rPr>
              <w:t xml:space="preserve">2.42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19.54</w:t>
            </w:r>
          </w:p>
        </w:tc>
        <w:tc>
          <w:tcPr>
            <w:tcW w:w="960" w:type="dxa"/>
            <w:tcBorders/>
            <w:vAlign w:val="center"/>
          </w:tcPr>
          <w:p>
            <w:pPr>
              <w:jc w:val="right"/>
            </w:pPr>
            <w:r>
              <w:rPr>
                <w:rFonts w:ascii="宋体" w:eastAsia="宋体" w:hAnsi="宋体" w:cs="宋体"/>
                <w:b w:val="0"/>
                <w:i w:val="0"/>
                <w:color w:val="000000"/>
                <w:sz w:val="13"/>
              </w:rPr>
              <w:t xml:space="preserve">19.54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7.46</w:t>
            </w:r>
          </w:p>
        </w:tc>
        <w:tc>
          <w:tcPr>
            <w:tcW w:w="960" w:type="dxa"/>
            <w:tcBorders/>
            <w:vAlign w:val="center"/>
          </w:tcPr>
          <w:p>
            <w:pPr>
              <w:jc w:val="right"/>
            </w:pPr>
            <w:r>
              <w:rPr>
                <w:rFonts w:ascii="宋体" w:eastAsia="宋体" w:hAnsi="宋体" w:cs="宋体"/>
                <w:b w:val="0"/>
                <w:i w:val="0"/>
                <w:color w:val="000000"/>
                <w:sz w:val="13"/>
              </w:rPr>
              <w:t xml:space="preserve">7.46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7.46</w:t>
            </w:r>
          </w:p>
        </w:tc>
        <w:tc>
          <w:tcPr>
            <w:tcW w:w="960" w:type="dxa"/>
            <w:tcBorders/>
            <w:vAlign w:val="center"/>
          </w:tcPr>
          <w:p>
            <w:pPr>
              <w:jc w:val="right"/>
            </w:pPr>
            <w:r>
              <w:rPr>
                <w:rFonts w:ascii="宋体" w:eastAsia="宋体" w:hAnsi="宋体" w:cs="宋体"/>
                <w:b w:val="0"/>
                <w:i w:val="0"/>
                <w:color w:val="000000"/>
                <w:sz w:val="13"/>
              </w:rPr>
              <w:t xml:space="preserve">7.46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7.46</w:t>
            </w:r>
          </w:p>
        </w:tc>
        <w:tc>
          <w:tcPr>
            <w:tcW w:w="960" w:type="dxa"/>
            <w:tcBorders/>
            <w:vAlign w:val="center"/>
          </w:tcPr>
          <w:p>
            <w:pPr>
              <w:jc w:val="right"/>
            </w:pPr>
            <w:r>
              <w:rPr>
                <w:rFonts w:ascii="宋体" w:eastAsia="宋体" w:hAnsi="宋体" w:cs="宋体"/>
                <w:b w:val="0"/>
                <w:i w:val="0"/>
                <w:color w:val="000000"/>
                <w:sz w:val="13"/>
              </w:rPr>
              <w:t xml:space="preserve">7.46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21.13</w:t>
            </w:r>
          </w:p>
        </w:tc>
        <w:tc>
          <w:tcPr>
            <w:tcW w:w="960" w:type="dxa"/>
            <w:tcBorders/>
            <w:vAlign w:val="center"/>
          </w:tcPr>
          <w:p>
            <w:pPr>
              <w:jc w:val="right"/>
            </w:pPr>
            <w:r>
              <w:rPr>
                <w:rFonts w:ascii="宋体" w:eastAsia="宋体" w:hAnsi="宋体" w:cs="宋体"/>
                <w:b w:val="0"/>
                <w:i w:val="0"/>
                <w:color w:val="000000"/>
                <w:sz w:val="13"/>
              </w:rPr>
              <w:t xml:space="preserve">21.13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21.13</w:t>
            </w:r>
          </w:p>
        </w:tc>
        <w:tc>
          <w:tcPr>
            <w:tcW w:w="960" w:type="dxa"/>
            <w:tcBorders/>
            <w:vAlign w:val="center"/>
          </w:tcPr>
          <w:p>
            <w:pPr>
              <w:jc w:val="right"/>
            </w:pPr>
            <w:r>
              <w:rPr>
                <w:rFonts w:ascii="宋体" w:eastAsia="宋体" w:hAnsi="宋体" w:cs="宋体"/>
                <w:b w:val="0"/>
                <w:i w:val="0"/>
                <w:color w:val="000000"/>
                <w:sz w:val="13"/>
              </w:rPr>
              <w:t xml:space="preserve">21.13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21.13</w:t>
            </w:r>
          </w:p>
        </w:tc>
        <w:tc>
          <w:tcPr>
            <w:tcW w:w="960" w:type="dxa"/>
            <w:tcBorders/>
            <w:vAlign w:val="center"/>
          </w:tcPr>
          <w:p>
            <w:pPr>
              <w:jc w:val="right"/>
            </w:pPr>
            <w:r>
              <w:rPr>
                <w:rFonts w:ascii="宋体" w:eastAsia="宋体" w:hAnsi="宋体" w:cs="宋体"/>
                <w:b w:val="0"/>
                <w:i w:val="0"/>
                <w:color w:val="000000"/>
                <w:sz w:val="13"/>
              </w:rPr>
              <w:t xml:space="preserve">21.13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单位：辽宁省沈阳市浑南区统计局（本级）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442.45</w:t>
            </w:r>
          </w:p>
        </w:tc>
        <w:tc>
          <w:tcPr>
            <w:tcW w:w="1060" w:type="dxa"/>
            <w:tcBorders/>
            <w:vAlign w:val="center"/>
          </w:tcPr>
          <w:p>
            <w:pPr>
              <w:jc w:val="right"/>
            </w:pPr>
            <w:r>
              <w:rPr>
                <w:rFonts w:ascii="宋体" w:eastAsia="宋体" w:hAnsi="宋体" w:cs="宋体"/>
                <w:b/>
                <w:i w:val="0"/>
                <w:color w:val="000000"/>
                <w:sz w:val="14"/>
              </w:rPr>
              <w:t xml:space="preserve">203.11</w:t>
            </w:r>
          </w:p>
        </w:tc>
        <w:tc>
          <w:tcPr>
            <w:tcW w:w="1060" w:type="dxa"/>
            <w:tcBorders/>
            <w:vAlign w:val="center"/>
          </w:tcPr>
          <w:p>
            <w:pPr>
              <w:jc w:val="right"/>
            </w:pPr>
            <w:r>
              <w:rPr>
                <w:rFonts w:ascii="宋体" w:eastAsia="宋体" w:hAnsi="宋体" w:cs="宋体"/>
                <w:b/>
                <w:i w:val="0"/>
                <w:color w:val="000000"/>
                <w:sz w:val="14"/>
              </w:rPr>
              <w:t xml:space="preserve">239.33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391.89</w:t>
            </w:r>
          </w:p>
        </w:tc>
        <w:tc>
          <w:tcPr>
            <w:tcW w:w="1060" w:type="dxa"/>
            <w:tcBorders/>
            <w:vAlign w:val="center"/>
          </w:tcPr>
          <w:p>
            <w:pPr>
              <w:jc w:val="right"/>
            </w:pPr>
            <w:r>
              <w:rPr>
                <w:rFonts w:ascii="宋体" w:eastAsia="宋体" w:hAnsi="宋体" w:cs="宋体"/>
                <w:b w:val="0"/>
                <w:i w:val="0"/>
                <w:color w:val="000000"/>
                <w:sz w:val="14"/>
              </w:rPr>
              <w:t xml:space="preserve">152.56</w:t>
            </w:r>
          </w:p>
        </w:tc>
        <w:tc>
          <w:tcPr>
            <w:tcW w:w="1060" w:type="dxa"/>
            <w:tcBorders/>
            <w:vAlign w:val="center"/>
          </w:tcPr>
          <w:p>
            <w:pPr>
              <w:jc w:val="right"/>
            </w:pPr>
            <w:r>
              <w:rPr>
                <w:rFonts w:ascii="宋体" w:eastAsia="宋体" w:hAnsi="宋体" w:cs="宋体"/>
                <w:b w:val="0"/>
                <w:i w:val="0"/>
                <w:color w:val="000000"/>
                <w:sz w:val="14"/>
              </w:rPr>
              <w:t xml:space="preserve">239.33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w:t>
            </w:r>
          </w:p>
        </w:tc>
        <w:tc>
          <w:tcPr>
            <w:tcW w:w="3440" w:type="dxa"/>
            <w:tcBorders/>
            <w:vAlign w:val="center"/>
          </w:tcPr>
          <w:p>
            <w:pPr>
              <w:jc w:val="left"/>
            </w:pPr>
            <w:r>
              <w:rPr>
                <w:rFonts w:ascii="宋体" w:eastAsia="宋体" w:hAnsi="宋体" w:cs="宋体"/>
                <w:b w:val="0"/>
                <w:i w:val="0"/>
                <w:color w:val="000000"/>
                <w:sz w:val="14"/>
              </w:rPr>
              <w:t xml:space="preserve">统计信息事务</w:t>
            </w:r>
          </w:p>
        </w:tc>
        <w:tc>
          <w:tcPr>
            <w:tcW w:w="1060" w:type="dxa"/>
            <w:tcBorders/>
            <w:vAlign w:val="center"/>
          </w:tcPr>
          <w:p>
            <w:pPr>
              <w:jc w:val="right"/>
            </w:pPr>
            <w:r>
              <w:rPr>
                <w:rFonts w:ascii="宋体" w:eastAsia="宋体" w:hAnsi="宋体" w:cs="宋体"/>
                <w:b w:val="0"/>
                <w:i w:val="0"/>
                <w:color w:val="000000"/>
                <w:sz w:val="14"/>
              </w:rPr>
              <w:t xml:space="preserve">391.89</w:t>
            </w:r>
          </w:p>
        </w:tc>
        <w:tc>
          <w:tcPr>
            <w:tcW w:w="1060" w:type="dxa"/>
            <w:tcBorders/>
            <w:vAlign w:val="center"/>
          </w:tcPr>
          <w:p>
            <w:pPr>
              <w:jc w:val="right"/>
            </w:pPr>
            <w:r>
              <w:rPr>
                <w:rFonts w:ascii="宋体" w:eastAsia="宋体" w:hAnsi="宋体" w:cs="宋体"/>
                <w:b w:val="0"/>
                <w:i w:val="0"/>
                <w:color w:val="000000"/>
                <w:sz w:val="14"/>
              </w:rPr>
              <w:t xml:space="preserve">152.56</w:t>
            </w:r>
          </w:p>
        </w:tc>
        <w:tc>
          <w:tcPr>
            <w:tcW w:w="1060" w:type="dxa"/>
            <w:tcBorders/>
            <w:vAlign w:val="center"/>
          </w:tcPr>
          <w:p>
            <w:pPr>
              <w:jc w:val="right"/>
            </w:pPr>
            <w:r>
              <w:rPr>
                <w:rFonts w:ascii="宋体" w:eastAsia="宋体" w:hAnsi="宋体" w:cs="宋体"/>
                <w:b w:val="0"/>
                <w:i w:val="0"/>
                <w:color w:val="000000"/>
                <w:sz w:val="14"/>
              </w:rPr>
              <w:t xml:space="preserve">239.33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152.56</w:t>
            </w:r>
          </w:p>
        </w:tc>
        <w:tc>
          <w:tcPr>
            <w:tcW w:w="1060" w:type="dxa"/>
            <w:tcBorders/>
            <w:vAlign w:val="center"/>
          </w:tcPr>
          <w:p>
            <w:pPr>
              <w:jc w:val="right"/>
            </w:pPr>
            <w:r>
              <w:rPr>
                <w:rFonts w:ascii="宋体" w:eastAsia="宋体" w:hAnsi="宋体" w:cs="宋体"/>
                <w:b w:val="0"/>
                <w:i w:val="0"/>
                <w:color w:val="000000"/>
                <w:sz w:val="14"/>
              </w:rPr>
              <w:t xml:space="preserve">152.56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11.43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2010505</w:t>
            </w:r>
          </w:p>
        </w:tc>
        <w:tc>
          <w:tcPr>
            <w:tcW w:w="3440" w:type="dxa"/>
            <w:tcBorders/>
            <w:vAlign w:val="center"/>
          </w:tcPr>
          <w:p>
            <w:pPr>
              <w:jc w:val="left"/>
            </w:pPr>
            <w:r>
              <w:rPr>
                <w:rFonts w:ascii="宋体" w:eastAsia="宋体" w:hAnsi="宋体" w:cs="宋体"/>
                <w:b w:val="0"/>
                <w:i w:val="0"/>
                <w:color w:val="000000"/>
                <w:sz w:val="14"/>
              </w:rPr>
              <w:t xml:space="preserve">专项统计业务</w:t>
            </w:r>
          </w:p>
        </w:tc>
        <w:tc>
          <w:tcPr>
            <w:tcW w:w="1060" w:type="dxa"/>
            <w:tcBorders/>
            <w:vAlign w:val="center"/>
          </w:tcPr>
          <w:p>
            <w:pPr>
              <w:jc w:val="right"/>
            </w:pPr>
            <w:r>
              <w:rPr>
                <w:rFonts w:ascii="宋体" w:eastAsia="宋体" w:hAnsi="宋体" w:cs="宋体"/>
                <w:b w:val="0"/>
                <w:i w:val="0"/>
                <w:color w:val="000000"/>
                <w:sz w:val="14"/>
              </w:rPr>
              <w:t xml:space="preserve">8.77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2010507</w:t>
            </w:r>
          </w:p>
        </w:tc>
        <w:tc>
          <w:tcPr>
            <w:tcW w:w="3440" w:type="dxa"/>
            <w:tcBorders/>
            <w:vAlign w:val="center"/>
          </w:tcPr>
          <w:p>
            <w:pPr>
              <w:jc w:val="left"/>
            </w:pPr>
            <w:r>
              <w:rPr>
                <w:rFonts w:ascii="宋体" w:eastAsia="宋体" w:hAnsi="宋体" w:cs="宋体"/>
                <w:b w:val="0"/>
                <w:i w:val="0"/>
                <w:color w:val="000000"/>
                <w:sz w:val="14"/>
              </w:rPr>
              <w:t xml:space="preserve">专项普查活动</w:t>
            </w:r>
          </w:p>
        </w:tc>
        <w:tc>
          <w:tcPr>
            <w:tcW w:w="1060" w:type="dxa"/>
            <w:tcBorders/>
            <w:vAlign w:val="center"/>
          </w:tcPr>
          <w:p>
            <w:pPr>
              <w:jc w:val="right"/>
            </w:pPr>
            <w:r>
              <w:rPr>
                <w:rFonts w:ascii="宋体" w:eastAsia="宋体" w:hAnsi="宋体" w:cs="宋体"/>
                <w:b w:val="0"/>
                <w:i w:val="0"/>
                <w:color w:val="000000"/>
                <w:sz w:val="14"/>
              </w:rPr>
              <w:t xml:space="preserve">219.13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219.13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21.96</w:t>
            </w:r>
          </w:p>
        </w:tc>
        <w:tc>
          <w:tcPr>
            <w:tcW w:w="1060" w:type="dxa"/>
            <w:tcBorders/>
            <w:vAlign w:val="center"/>
          </w:tcPr>
          <w:p>
            <w:pPr>
              <w:jc w:val="right"/>
            </w:pPr>
            <w:r>
              <w:rPr>
                <w:rFonts w:ascii="宋体" w:eastAsia="宋体" w:hAnsi="宋体" w:cs="宋体"/>
                <w:b w:val="0"/>
                <w:i w:val="0"/>
                <w:color w:val="000000"/>
                <w:sz w:val="14"/>
              </w:rPr>
              <w:t xml:space="preserve">21.96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21.96</w:t>
            </w:r>
          </w:p>
        </w:tc>
        <w:tc>
          <w:tcPr>
            <w:tcW w:w="1060" w:type="dxa"/>
            <w:tcBorders/>
            <w:vAlign w:val="center"/>
          </w:tcPr>
          <w:p>
            <w:pPr>
              <w:jc w:val="right"/>
            </w:pPr>
            <w:r>
              <w:rPr>
                <w:rFonts w:ascii="宋体" w:eastAsia="宋体" w:hAnsi="宋体" w:cs="宋体"/>
                <w:b w:val="0"/>
                <w:i w:val="0"/>
                <w:color w:val="000000"/>
                <w:sz w:val="14"/>
              </w:rPr>
              <w:t xml:space="preserve">21.96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2.42</w:t>
            </w:r>
          </w:p>
        </w:tc>
        <w:tc>
          <w:tcPr>
            <w:tcW w:w="1060" w:type="dxa"/>
            <w:tcBorders/>
            <w:vAlign w:val="center"/>
          </w:tcPr>
          <w:p>
            <w:pPr>
              <w:jc w:val="right"/>
            </w:pPr>
            <w:r>
              <w:rPr>
                <w:rFonts w:ascii="宋体" w:eastAsia="宋体" w:hAnsi="宋体" w:cs="宋体"/>
                <w:b w:val="0"/>
                <w:i w:val="0"/>
                <w:color w:val="000000"/>
                <w:sz w:val="14"/>
              </w:rPr>
              <w:t xml:space="preserve">2.42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19.54</w:t>
            </w:r>
          </w:p>
        </w:tc>
        <w:tc>
          <w:tcPr>
            <w:tcW w:w="1060" w:type="dxa"/>
            <w:tcBorders/>
            <w:vAlign w:val="center"/>
          </w:tcPr>
          <w:p>
            <w:pPr>
              <w:jc w:val="right"/>
            </w:pPr>
            <w:r>
              <w:rPr>
                <w:rFonts w:ascii="宋体" w:eastAsia="宋体" w:hAnsi="宋体" w:cs="宋体"/>
                <w:b w:val="0"/>
                <w:i w:val="0"/>
                <w:color w:val="000000"/>
                <w:sz w:val="14"/>
              </w:rPr>
              <w:t xml:space="preserve">19.54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7.46</w:t>
            </w:r>
          </w:p>
        </w:tc>
        <w:tc>
          <w:tcPr>
            <w:tcW w:w="1060" w:type="dxa"/>
            <w:tcBorders/>
            <w:vAlign w:val="center"/>
          </w:tcPr>
          <w:p>
            <w:pPr>
              <w:jc w:val="right"/>
            </w:pPr>
            <w:r>
              <w:rPr>
                <w:rFonts w:ascii="宋体" w:eastAsia="宋体" w:hAnsi="宋体" w:cs="宋体"/>
                <w:b w:val="0"/>
                <w:i w:val="0"/>
                <w:color w:val="000000"/>
                <w:sz w:val="14"/>
              </w:rPr>
              <w:t xml:space="preserve">7.46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7.46</w:t>
            </w:r>
          </w:p>
        </w:tc>
        <w:tc>
          <w:tcPr>
            <w:tcW w:w="1060" w:type="dxa"/>
            <w:tcBorders/>
            <w:vAlign w:val="center"/>
          </w:tcPr>
          <w:p>
            <w:pPr>
              <w:jc w:val="right"/>
            </w:pPr>
            <w:r>
              <w:rPr>
                <w:rFonts w:ascii="宋体" w:eastAsia="宋体" w:hAnsi="宋体" w:cs="宋体"/>
                <w:b w:val="0"/>
                <w:i w:val="0"/>
                <w:color w:val="000000"/>
                <w:sz w:val="14"/>
              </w:rPr>
              <w:t xml:space="preserve">7.46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7.46</w:t>
            </w:r>
          </w:p>
        </w:tc>
        <w:tc>
          <w:tcPr>
            <w:tcW w:w="1060" w:type="dxa"/>
            <w:tcBorders/>
            <w:vAlign w:val="center"/>
          </w:tcPr>
          <w:p>
            <w:pPr>
              <w:jc w:val="right"/>
            </w:pPr>
            <w:r>
              <w:rPr>
                <w:rFonts w:ascii="宋体" w:eastAsia="宋体" w:hAnsi="宋体" w:cs="宋体"/>
                <w:b w:val="0"/>
                <w:i w:val="0"/>
                <w:color w:val="000000"/>
                <w:sz w:val="14"/>
              </w:rPr>
              <w:t xml:space="preserve">7.46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21.13</w:t>
            </w:r>
          </w:p>
        </w:tc>
        <w:tc>
          <w:tcPr>
            <w:tcW w:w="1060" w:type="dxa"/>
            <w:tcBorders/>
            <w:vAlign w:val="center"/>
          </w:tcPr>
          <w:p>
            <w:pPr>
              <w:jc w:val="right"/>
            </w:pPr>
            <w:r>
              <w:rPr>
                <w:rFonts w:ascii="宋体" w:eastAsia="宋体" w:hAnsi="宋体" w:cs="宋体"/>
                <w:b w:val="0"/>
                <w:i w:val="0"/>
                <w:color w:val="000000"/>
                <w:sz w:val="14"/>
              </w:rPr>
              <w:t xml:space="preserve">21.13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21.13</w:t>
            </w:r>
          </w:p>
        </w:tc>
        <w:tc>
          <w:tcPr>
            <w:tcW w:w="1060" w:type="dxa"/>
            <w:tcBorders/>
            <w:vAlign w:val="center"/>
          </w:tcPr>
          <w:p>
            <w:pPr>
              <w:jc w:val="right"/>
            </w:pPr>
            <w:r>
              <w:rPr>
                <w:rFonts w:ascii="宋体" w:eastAsia="宋体" w:hAnsi="宋体" w:cs="宋体"/>
                <w:b w:val="0"/>
                <w:i w:val="0"/>
                <w:color w:val="000000"/>
                <w:sz w:val="14"/>
              </w:rPr>
              <w:t xml:space="preserve">21.13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21.13</w:t>
            </w:r>
          </w:p>
        </w:tc>
        <w:tc>
          <w:tcPr>
            <w:tcW w:w="1060" w:type="dxa"/>
            <w:tcBorders/>
            <w:vAlign w:val="center"/>
          </w:tcPr>
          <w:p>
            <w:pPr>
              <w:jc w:val="right"/>
            </w:pPr>
            <w:r>
              <w:rPr>
                <w:rFonts w:ascii="宋体" w:eastAsia="宋体" w:hAnsi="宋体" w:cs="宋体"/>
                <w:b w:val="0"/>
                <w:i w:val="0"/>
                <w:color w:val="000000"/>
                <w:sz w:val="14"/>
              </w:rPr>
              <w:t xml:space="preserve">21.13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单位：辽宁省沈阳市浑南区统计局（本级）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407.78</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357.23</w:t>
            </w:r>
          </w:p>
        </w:tc>
        <w:tc>
          <w:tcPr>
            <w:tcW w:w="1100" w:type="dxa"/>
            <w:tcBorders/>
            <w:vAlign w:val="center"/>
          </w:tcPr>
          <w:p>
            <w:pPr>
              <w:jc w:val="right"/>
            </w:pPr>
            <w:r>
              <w:rPr>
                <w:rFonts w:ascii="宋体" w:eastAsia="宋体" w:hAnsi="宋体" w:cs="宋体"/>
                <w:b w:val="0"/>
                <w:i w:val="0"/>
                <w:color w:val="000000"/>
                <w:sz w:val="14"/>
              </w:rPr>
              <w:t xml:space="preserve">357.23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21.96</w:t>
            </w:r>
          </w:p>
        </w:tc>
        <w:tc>
          <w:tcPr>
            <w:tcW w:w="1100" w:type="dxa"/>
            <w:tcBorders/>
            <w:vAlign w:val="center"/>
          </w:tcPr>
          <w:p>
            <w:pPr>
              <w:jc w:val="right"/>
            </w:pPr>
            <w:r>
              <w:rPr>
                <w:rFonts w:ascii="宋体" w:eastAsia="宋体" w:hAnsi="宋体" w:cs="宋体"/>
                <w:b w:val="0"/>
                <w:i w:val="0"/>
                <w:color w:val="000000"/>
                <w:sz w:val="14"/>
              </w:rPr>
              <w:t xml:space="preserve">21.96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7.46</w:t>
            </w:r>
          </w:p>
        </w:tc>
        <w:tc>
          <w:tcPr>
            <w:tcW w:w="1100" w:type="dxa"/>
            <w:tcBorders/>
            <w:vAlign w:val="center"/>
          </w:tcPr>
          <w:p>
            <w:pPr>
              <w:jc w:val="right"/>
            </w:pPr>
            <w:r>
              <w:rPr>
                <w:rFonts w:ascii="宋体" w:eastAsia="宋体" w:hAnsi="宋体" w:cs="宋体"/>
                <w:b w:val="0"/>
                <w:i w:val="0"/>
                <w:color w:val="000000"/>
                <w:sz w:val="14"/>
              </w:rPr>
              <w:t xml:space="preserve">7.46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21.13</w:t>
            </w:r>
          </w:p>
        </w:tc>
        <w:tc>
          <w:tcPr>
            <w:tcW w:w="1100" w:type="dxa"/>
            <w:tcBorders/>
            <w:vAlign w:val="center"/>
          </w:tcPr>
          <w:p>
            <w:pPr>
              <w:jc w:val="right"/>
            </w:pPr>
            <w:r>
              <w:rPr>
                <w:rFonts w:ascii="宋体" w:eastAsia="宋体" w:hAnsi="宋体" w:cs="宋体"/>
                <w:b w:val="0"/>
                <w:i w:val="0"/>
                <w:color w:val="000000"/>
                <w:sz w:val="14"/>
              </w:rPr>
              <w:t xml:space="preserve">21.13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407.78</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407.78</w:t>
            </w:r>
          </w:p>
        </w:tc>
        <w:tc>
          <w:tcPr>
            <w:tcW w:w="1100" w:type="dxa"/>
            <w:tcBorders/>
            <w:vAlign w:val="center"/>
          </w:tcPr>
          <w:p>
            <w:pPr>
              <w:jc w:val="right"/>
            </w:pPr>
            <w:r>
              <w:rPr>
                <w:rFonts w:ascii="宋体" w:eastAsia="宋体" w:hAnsi="宋体" w:cs="宋体"/>
                <w:b w:val="0"/>
                <w:i w:val="0"/>
                <w:color w:val="000000"/>
                <w:sz w:val="14"/>
              </w:rPr>
              <w:t xml:space="preserve">407.78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407.78</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407.78</w:t>
            </w:r>
          </w:p>
        </w:tc>
        <w:tc>
          <w:tcPr>
            <w:tcW w:w="1100" w:type="dxa"/>
            <w:tcBorders/>
            <w:vAlign w:val="center"/>
          </w:tcPr>
          <w:p>
            <w:pPr>
              <w:jc w:val="right"/>
            </w:pPr>
            <w:r>
              <w:rPr>
                <w:rFonts w:ascii="宋体" w:eastAsia="宋体" w:hAnsi="宋体" w:cs="宋体"/>
                <w:b w:val="0"/>
                <w:i w:val="0"/>
                <w:color w:val="000000"/>
                <w:sz w:val="14"/>
              </w:rPr>
              <w:t xml:space="preserve">407.78</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单位：辽宁省沈阳市浑南区统计局（本级）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407.78</w:t>
            </w:r>
          </w:p>
        </w:tc>
        <w:tc>
          <w:tcPr>
            <w:tcW w:w="1780" w:type="dxa"/>
            <w:tcBorders/>
            <w:vAlign w:val="center"/>
          </w:tcPr>
          <w:p>
            <w:pPr>
              <w:jc w:val="right"/>
            </w:pPr>
            <w:r>
              <w:rPr>
                <w:rFonts w:ascii="宋体" w:eastAsia="宋体" w:hAnsi="宋体" w:cs="宋体"/>
                <w:b/>
                <w:i w:val="0"/>
                <w:color w:val="000000"/>
                <w:sz w:val="18"/>
              </w:rPr>
              <w:t xml:space="preserve">203.11</w:t>
            </w:r>
          </w:p>
        </w:tc>
        <w:tc>
          <w:tcPr>
            <w:tcW w:w="1772" w:type="dxa"/>
            <w:tcBorders/>
            <w:vAlign w:val="center"/>
          </w:tcPr>
          <w:p>
            <w:pPr>
              <w:jc w:val="right"/>
            </w:pPr>
            <w:r>
              <w:rPr>
                <w:rFonts w:ascii="宋体" w:eastAsia="宋体" w:hAnsi="宋体" w:cs="宋体"/>
                <w:b/>
                <w:i w:val="0"/>
                <w:color w:val="000000"/>
                <w:sz w:val="18"/>
              </w:rPr>
              <w:t xml:space="preserve">204.67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357.22</w:t>
            </w:r>
          </w:p>
        </w:tc>
        <w:tc>
          <w:tcPr>
            <w:tcW w:w="1780" w:type="dxa"/>
            <w:tcBorders/>
            <w:vAlign w:val="center"/>
          </w:tcPr>
          <w:p>
            <w:pPr>
              <w:jc w:val="right"/>
            </w:pPr>
            <w:r>
              <w:rPr>
                <w:rFonts w:ascii="宋体" w:eastAsia="宋体" w:hAnsi="宋体" w:cs="宋体"/>
                <w:b w:val="0"/>
                <w:i w:val="0"/>
                <w:color w:val="000000"/>
                <w:sz w:val="18"/>
              </w:rPr>
              <w:t xml:space="preserve">152.56</w:t>
            </w:r>
          </w:p>
        </w:tc>
        <w:tc>
          <w:tcPr>
            <w:tcW w:w="1772" w:type="dxa"/>
            <w:tcBorders/>
            <w:vAlign w:val="center"/>
          </w:tcPr>
          <w:p>
            <w:pPr>
              <w:jc w:val="right"/>
            </w:pPr>
            <w:r>
              <w:rPr>
                <w:rFonts w:ascii="宋体" w:eastAsia="宋体" w:hAnsi="宋体" w:cs="宋体"/>
                <w:b w:val="0"/>
                <w:i w:val="0"/>
                <w:color w:val="000000"/>
                <w:sz w:val="18"/>
              </w:rPr>
              <w:t xml:space="preserve">204.66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w:t>
            </w:r>
          </w:p>
        </w:tc>
        <w:tc>
          <w:tcPr>
            <w:tcW w:w="4300" w:type="dxa"/>
            <w:tcBorders/>
            <w:vAlign w:val="center"/>
          </w:tcPr>
          <w:p>
            <w:pPr>
              <w:jc w:val="left"/>
            </w:pPr>
            <w:r>
              <w:rPr>
                <w:rFonts w:ascii="宋体" w:eastAsia="宋体" w:hAnsi="宋体" w:cs="宋体"/>
                <w:b w:val="0"/>
                <w:i w:val="0"/>
                <w:color w:val="000000"/>
                <w:sz w:val="18"/>
              </w:rPr>
              <w:t xml:space="preserve">统计信息事务</w:t>
            </w:r>
          </w:p>
        </w:tc>
        <w:tc>
          <w:tcPr>
            <w:tcW w:w="1780" w:type="dxa"/>
            <w:tcBorders/>
            <w:vAlign w:val="center"/>
          </w:tcPr>
          <w:p>
            <w:pPr>
              <w:jc w:val="right"/>
            </w:pPr>
            <w:r>
              <w:rPr>
                <w:rFonts w:ascii="宋体" w:eastAsia="宋体" w:hAnsi="宋体" w:cs="宋体"/>
                <w:b w:val="0"/>
                <w:i w:val="0"/>
                <w:color w:val="000000"/>
                <w:sz w:val="18"/>
              </w:rPr>
              <w:t xml:space="preserve">357.22</w:t>
            </w:r>
          </w:p>
        </w:tc>
        <w:tc>
          <w:tcPr>
            <w:tcW w:w="1780" w:type="dxa"/>
            <w:tcBorders/>
            <w:vAlign w:val="center"/>
          </w:tcPr>
          <w:p>
            <w:pPr>
              <w:jc w:val="right"/>
            </w:pPr>
            <w:r>
              <w:rPr>
                <w:rFonts w:ascii="宋体" w:eastAsia="宋体" w:hAnsi="宋体" w:cs="宋体"/>
                <w:b w:val="0"/>
                <w:i w:val="0"/>
                <w:color w:val="000000"/>
                <w:sz w:val="18"/>
              </w:rPr>
              <w:t xml:space="preserve">152.56</w:t>
            </w:r>
          </w:p>
        </w:tc>
        <w:tc>
          <w:tcPr>
            <w:tcW w:w="1772" w:type="dxa"/>
            <w:tcBorders/>
            <w:vAlign w:val="center"/>
          </w:tcPr>
          <w:p>
            <w:pPr>
              <w:jc w:val="right"/>
            </w:pPr>
            <w:r>
              <w:rPr>
                <w:rFonts w:ascii="宋体" w:eastAsia="宋体" w:hAnsi="宋体" w:cs="宋体"/>
                <w:b w:val="0"/>
                <w:i w:val="0"/>
                <w:color w:val="000000"/>
                <w:sz w:val="18"/>
              </w:rPr>
              <w:t xml:space="preserve">204.66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152.56</w:t>
            </w:r>
          </w:p>
        </w:tc>
        <w:tc>
          <w:tcPr>
            <w:tcW w:w="1780" w:type="dxa"/>
            <w:tcBorders/>
            <w:vAlign w:val="center"/>
          </w:tcPr>
          <w:p>
            <w:pPr>
              <w:jc w:val="right"/>
            </w:pPr>
            <w:r>
              <w:rPr>
                <w:rFonts w:ascii="宋体" w:eastAsia="宋体" w:hAnsi="宋体" w:cs="宋体"/>
                <w:b w:val="0"/>
                <w:i w:val="0"/>
                <w:color w:val="000000"/>
                <w:sz w:val="18"/>
              </w:rPr>
              <w:t xml:space="preserve">152.56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11.43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2010505</w:t>
            </w:r>
          </w:p>
        </w:tc>
        <w:tc>
          <w:tcPr>
            <w:tcW w:w="4300" w:type="dxa"/>
            <w:tcBorders/>
            <w:vAlign w:val="center"/>
          </w:tcPr>
          <w:p>
            <w:pPr>
              <w:jc w:val="left"/>
            </w:pPr>
            <w:r>
              <w:rPr>
                <w:rFonts w:ascii="宋体" w:eastAsia="宋体" w:hAnsi="宋体" w:cs="宋体"/>
                <w:b w:val="0"/>
                <w:i w:val="0"/>
                <w:color w:val="000000"/>
                <w:sz w:val="18"/>
              </w:rPr>
              <w:t xml:space="preserve">专项统计业务</w:t>
            </w:r>
          </w:p>
        </w:tc>
        <w:tc>
          <w:tcPr>
            <w:tcW w:w="1780" w:type="dxa"/>
            <w:tcBorders/>
            <w:vAlign w:val="center"/>
          </w:tcPr>
          <w:p>
            <w:pPr>
              <w:jc w:val="right"/>
            </w:pPr>
            <w:r>
              <w:rPr>
                <w:rFonts w:ascii="宋体" w:eastAsia="宋体" w:hAnsi="宋体" w:cs="宋体"/>
                <w:b w:val="0"/>
                <w:i w:val="0"/>
                <w:color w:val="000000"/>
                <w:sz w:val="18"/>
              </w:rPr>
              <w:t xml:space="preserve">8.77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2010507</w:t>
            </w:r>
          </w:p>
        </w:tc>
        <w:tc>
          <w:tcPr>
            <w:tcW w:w="4300" w:type="dxa"/>
            <w:tcBorders/>
            <w:vAlign w:val="center"/>
          </w:tcPr>
          <w:p>
            <w:pPr>
              <w:jc w:val="left"/>
            </w:pPr>
            <w:r>
              <w:rPr>
                <w:rFonts w:ascii="宋体" w:eastAsia="宋体" w:hAnsi="宋体" w:cs="宋体"/>
                <w:b w:val="0"/>
                <w:i w:val="0"/>
                <w:color w:val="000000"/>
                <w:sz w:val="18"/>
              </w:rPr>
              <w:t xml:space="preserve">专项普查活动</w:t>
            </w:r>
          </w:p>
        </w:tc>
        <w:tc>
          <w:tcPr>
            <w:tcW w:w="1780" w:type="dxa"/>
            <w:tcBorders/>
            <w:vAlign w:val="center"/>
          </w:tcPr>
          <w:p>
            <w:pPr>
              <w:jc w:val="right"/>
            </w:pPr>
            <w:r>
              <w:rPr>
                <w:rFonts w:ascii="宋体" w:eastAsia="宋体" w:hAnsi="宋体" w:cs="宋体"/>
                <w:b w:val="0"/>
                <w:i w:val="0"/>
                <w:color w:val="000000"/>
                <w:sz w:val="18"/>
              </w:rPr>
              <w:t xml:space="preserve">184.46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184.46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21.96</w:t>
            </w:r>
          </w:p>
        </w:tc>
        <w:tc>
          <w:tcPr>
            <w:tcW w:w="1780" w:type="dxa"/>
            <w:tcBorders/>
            <w:vAlign w:val="center"/>
          </w:tcPr>
          <w:p>
            <w:pPr>
              <w:jc w:val="right"/>
            </w:pPr>
            <w:r>
              <w:rPr>
                <w:rFonts w:ascii="宋体" w:eastAsia="宋体" w:hAnsi="宋体" w:cs="宋体"/>
                <w:b w:val="0"/>
                <w:i w:val="0"/>
                <w:color w:val="000000"/>
                <w:sz w:val="18"/>
              </w:rPr>
              <w:t xml:space="preserve">21.96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21.96</w:t>
            </w:r>
          </w:p>
        </w:tc>
        <w:tc>
          <w:tcPr>
            <w:tcW w:w="1780" w:type="dxa"/>
            <w:tcBorders/>
            <w:vAlign w:val="center"/>
          </w:tcPr>
          <w:p>
            <w:pPr>
              <w:jc w:val="right"/>
            </w:pPr>
            <w:r>
              <w:rPr>
                <w:rFonts w:ascii="宋体" w:eastAsia="宋体" w:hAnsi="宋体" w:cs="宋体"/>
                <w:b w:val="0"/>
                <w:i w:val="0"/>
                <w:color w:val="000000"/>
                <w:sz w:val="18"/>
              </w:rPr>
              <w:t xml:space="preserve">21.96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2.42</w:t>
            </w:r>
          </w:p>
        </w:tc>
        <w:tc>
          <w:tcPr>
            <w:tcW w:w="1780" w:type="dxa"/>
            <w:tcBorders/>
            <w:vAlign w:val="center"/>
          </w:tcPr>
          <w:p>
            <w:pPr>
              <w:jc w:val="right"/>
            </w:pPr>
            <w:r>
              <w:rPr>
                <w:rFonts w:ascii="宋体" w:eastAsia="宋体" w:hAnsi="宋体" w:cs="宋体"/>
                <w:b w:val="0"/>
                <w:i w:val="0"/>
                <w:color w:val="000000"/>
                <w:sz w:val="18"/>
              </w:rPr>
              <w:t xml:space="preserve">2.42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19.54</w:t>
            </w:r>
          </w:p>
        </w:tc>
        <w:tc>
          <w:tcPr>
            <w:tcW w:w="1780" w:type="dxa"/>
            <w:tcBorders/>
            <w:vAlign w:val="center"/>
          </w:tcPr>
          <w:p>
            <w:pPr>
              <w:jc w:val="right"/>
            </w:pPr>
            <w:r>
              <w:rPr>
                <w:rFonts w:ascii="宋体" w:eastAsia="宋体" w:hAnsi="宋体" w:cs="宋体"/>
                <w:b w:val="0"/>
                <w:i w:val="0"/>
                <w:color w:val="000000"/>
                <w:sz w:val="18"/>
              </w:rPr>
              <w:t xml:space="preserve">19.54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7.46</w:t>
            </w:r>
          </w:p>
        </w:tc>
        <w:tc>
          <w:tcPr>
            <w:tcW w:w="1780" w:type="dxa"/>
            <w:tcBorders/>
            <w:vAlign w:val="center"/>
          </w:tcPr>
          <w:p>
            <w:pPr>
              <w:jc w:val="right"/>
            </w:pPr>
            <w:r>
              <w:rPr>
                <w:rFonts w:ascii="宋体" w:eastAsia="宋体" w:hAnsi="宋体" w:cs="宋体"/>
                <w:b w:val="0"/>
                <w:i w:val="0"/>
                <w:color w:val="000000"/>
                <w:sz w:val="18"/>
              </w:rPr>
              <w:t xml:space="preserve">7.46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7.46</w:t>
            </w:r>
          </w:p>
        </w:tc>
        <w:tc>
          <w:tcPr>
            <w:tcW w:w="1780" w:type="dxa"/>
            <w:tcBorders/>
            <w:vAlign w:val="center"/>
          </w:tcPr>
          <w:p>
            <w:pPr>
              <w:jc w:val="right"/>
            </w:pPr>
            <w:r>
              <w:rPr>
                <w:rFonts w:ascii="宋体" w:eastAsia="宋体" w:hAnsi="宋体" w:cs="宋体"/>
                <w:b w:val="0"/>
                <w:i w:val="0"/>
                <w:color w:val="000000"/>
                <w:sz w:val="18"/>
              </w:rPr>
              <w:t xml:space="preserve">7.46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7.46</w:t>
            </w:r>
          </w:p>
        </w:tc>
        <w:tc>
          <w:tcPr>
            <w:tcW w:w="1780" w:type="dxa"/>
            <w:tcBorders/>
            <w:vAlign w:val="center"/>
          </w:tcPr>
          <w:p>
            <w:pPr>
              <w:jc w:val="right"/>
            </w:pPr>
            <w:r>
              <w:rPr>
                <w:rFonts w:ascii="宋体" w:eastAsia="宋体" w:hAnsi="宋体" w:cs="宋体"/>
                <w:b w:val="0"/>
                <w:i w:val="0"/>
                <w:color w:val="000000"/>
                <w:sz w:val="18"/>
              </w:rPr>
              <w:t xml:space="preserve">7.46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21.13</w:t>
            </w:r>
          </w:p>
        </w:tc>
        <w:tc>
          <w:tcPr>
            <w:tcW w:w="1780" w:type="dxa"/>
            <w:tcBorders/>
            <w:vAlign w:val="center"/>
          </w:tcPr>
          <w:p>
            <w:pPr>
              <w:jc w:val="right"/>
            </w:pPr>
            <w:r>
              <w:rPr>
                <w:rFonts w:ascii="宋体" w:eastAsia="宋体" w:hAnsi="宋体" w:cs="宋体"/>
                <w:b w:val="0"/>
                <w:i w:val="0"/>
                <w:color w:val="000000"/>
                <w:sz w:val="18"/>
              </w:rPr>
              <w:t xml:space="preserve">21.13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21.13</w:t>
            </w:r>
          </w:p>
        </w:tc>
        <w:tc>
          <w:tcPr>
            <w:tcW w:w="1780" w:type="dxa"/>
            <w:tcBorders/>
            <w:vAlign w:val="center"/>
          </w:tcPr>
          <w:p>
            <w:pPr>
              <w:jc w:val="right"/>
            </w:pPr>
            <w:r>
              <w:rPr>
                <w:rFonts w:ascii="宋体" w:eastAsia="宋体" w:hAnsi="宋体" w:cs="宋体"/>
                <w:b w:val="0"/>
                <w:i w:val="0"/>
                <w:color w:val="000000"/>
                <w:sz w:val="18"/>
              </w:rPr>
              <w:t xml:space="preserve">21.13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21.13</w:t>
            </w:r>
          </w:p>
        </w:tc>
        <w:tc>
          <w:tcPr>
            <w:tcW w:w="1780" w:type="dxa"/>
            <w:tcBorders/>
            <w:vAlign w:val="center"/>
          </w:tcPr>
          <w:p>
            <w:pPr>
              <w:jc w:val="right"/>
            </w:pPr>
            <w:r>
              <w:rPr>
                <w:rFonts w:ascii="宋体" w:eastAsia="宋体" w:hAnsi="宋体" w:cs="宋体"/>
                <w:b w:val="0"/>
                <w:i w:val="0"/>
                <w:color w:val="000000"/>
                <w:sz w:val="18"/>
              </w:rPr>
              <w:t xml:space="preserve">21.13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单位：辽宁省沈阳市浑南区统计局（本级）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180.45</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20.25</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51.40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1.27</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38.24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38.14</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4.05</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19.54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7.69</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7.46</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0.49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0.13</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21.13</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2.42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2.42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1.02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10.14</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182.87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20.25</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单位：辽宁省沈阳市浑南区统计局（本级）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单位：辽宁省沈阳市浑南区统计局（本级）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单位：辽宁省沈阳市浑南区统计局（本级）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021001沈阳市浑南区统计局本级-210112000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243.66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243.66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150.06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150.06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42.94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42.94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保障机关单位平稳运行</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目标已完成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政府采购资金节约率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职工群众满意率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建立内控管理长效机制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“四上”企业宣传、培训费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确“四上”企业统计入库职责，强化工作措施促进“四上”企业提质、增效，及时将符合条件的企业纳入各项统计调查中，提高“四上”企业入库率和数据质量，确保“四上”企业能及时、全面在统计联网直报平台填报数据，及时、准确、全面地反映地区经济社会发展情况，科学、有效地实施经济运行监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保障人员经费落实到位，确保各项工作顺利开展。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人员经费以落实，各项工作顺利开展。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经费保障:预算未全部下拨，仅雇员工会经费及采暖费全额下拨，伙食费，办公经费和党员活动费未全额拨款。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经费保障:保障雇员经费足额拨款，精确计算雇员经费预算支出，按需支付，及时请款，提高请款及时性。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经费保障:预算未全部下拨，仅雇员工会经费及采暖费全额下拨，伙食费，办公经费和党员活动费未全额拨款。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经费保障:保障雇员经费足额拨款，精确计算雇员经费预算支出，按需支付，及时请款，提高请款及时性。</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78.45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完成2024年残疾人就业保障金缴纳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按政策缴纳保费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及时缴纳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服务或受益对象满意度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宽带网费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59.23%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1.确保统计局及街道相关部门登录统计内网一套表管理系统；2.保障登录统计内网的通道畅通无阻。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完成目标，保障统计内使用畅通。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45.92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省级五经普“两员”补助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保障五经普工作顺利进行。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五经普工作已顺利完成。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其他:该预算项目为上年结转省级资金预算项目，本年度支付时，由于技术原因等，未从本预算项目支出。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其他:加强预算项目规范管理，科学设置预算项目。尽量避免上级下达专项资金跨年结转，避免此类现象发生。</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其他:该预算项目为上年结转省级资金预算项目，本年度支付时，由于技术原因等，未从本预算项目支出。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其他:加强预算项目规范管理，科学设置预算项目。尽量避免上级下达专项资金跨年结转，避免此类现象发生。</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普查方法和数据统计方法合规性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其他:该预算项目为上年结转省级资金预算项目，本年度支付时，由于技术原因等，未从本预算项目支出。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其他:加强预算项目规范管理，科学设置预算项目。尽量避免上级下达专项资金跨年结转，避免此类现象发生。</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其他:该预算项目为上年结转省级资金预算项目，本年度支付时，由于技术原因等，未从本预算项目支出。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其他:加强预算项目规范管理，科学设置预算项目。尽量避免上级下达专项资金跨年结转，避免此类现象发生。</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其他:该预算项目为上年结转省级资金预算项目，本年度支付时，由于技术原因等，未从本预算项目支出。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其他:加强预算项目规范管理，科学设置预算项目。尽量避免上级下达专项资金跨年结转，避免此类现象发生。</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普查对象对普查工作的满意度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统计法治宣传经费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1.确保八五法治宣传教育普法工作顺利完成；2.确保市统计局法治工作任务顺利完成；3.确保浑南区法治政府建设统计局法治宣传工作顺利完成。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已完成法治宣传工作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统计资料编辑印刷费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于2024年10月前编撰印刷2023年度浑南区社会经济统计资料汇编，便于各部门掌握和查阅历史资料。</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已完成汇编资料印刷，暂未付款。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1.确保街道相关部门登录统计内网一套表管理系统；2.保障登录统计内网的通道畅通无阻。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五经普两员补助市级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保障全国第五次经济普查工作顺利开展。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五经普工作已完成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普查方法和数据统计方法合规性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方法合规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普查对象对普查工作的满意度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五经普省级两员补助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五经普工作顺利进行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五经普工作已完成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普查方法和数据统计方法合规性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普查对象对普查工作的满意度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专项普查活动经费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五经普能够全面调查掌握我区第二产业和第三产业的发展规模、结构和效益，了解产业组织、产业结构、产业技术、产业形态的现状以及各生产要素的构成，是gdp核算的基础，顺利完成经济普查工作任务，为国民经济核算提供有力的数据支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完成五经普工作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普查方法和数据统计方法合规性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方法合规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普查对象对普查工作的满意度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8.85077433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