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辽宁省沈阳市浑南区退役军人事务服务中心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辽宁省沈阳市浑南区退役军人事务服务中心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辽宁省沈阳市浑南区退役军人事务服务中心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辽宁省沈阳市浑南区退役军人事务服务中心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辽宁省沈阳市浑南区退役军人事务服务中心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辽宁省沈阳市浑南区退役军人事务服务中心概况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（一）贯彻落实党和国家关于退役军人工作的方针、政策和 法律法规，进一步加强退役军人服务保障体系建设，指导、协助街道退役军人服务部、社区（村）退役军人服务站开展规范化、标准化、信息化建设。 </w:t>
        <w:br/>
        <w:t xml:space="preserve">    （二）协调落实退役军人就业创业、优抚帮扶、权益保障、数据信息采集等有关政策措施，组织实施退役军人适应性培训和职业教育、技能培训。 </w:t>
        <w:br/>
        <w:t xml:space="preserve">    （三）协助做好辖区内单位退役军人组织关系、行政关系、供给关系转接和档案移交，做好退役军人党员摸排登记等工作， </w:t>
        <w:br/>
        <w:t xml:space="preserve">    协助基层党组织做好党员教育管理服务工作。 </w:t>
        <w:br/>
        <w:t xml:space="preserve">    （四）协助做好退役军人和其他优抚对象来访接待、来信办理、网上信访和电话信访，上级领导、部门交办信访事项，落实信访事项首办责任，依法及时就地化解矛盾问题，依条件开展心 理疏导、法律服务等工作。 </w:t>
        <w:br/>
        <w:t xml:space="preserve">    （五）搭建政策咨询、沟通联系、学习交流等活动场所，针 对性、常态化开展精准帮扶援助、化解矛盾和思想稳定工作，把党和政府的关怀温暖传递给每一名退役军人。 </w:t>
        <w:br/>
        <w:t xml:space="preserve">    （六）全面摸清、动态掌握、及时报告相关政策落实、工作开展，以及辖区内退役军人和其他优抚对象思想状况、家庭生活情况。 </w:t>
        <w:br/>
        <w:t xml:space="preserve">    （七）做好退役军人的服务员、宣讲员、信息员、联络员，就近听取诉求，突出面对面、个性化、一对一服务，主动登门入 户宣讲政策、解决问题，送立功喜报、悬挂光荣牌。 </w:t>
        <w:br/>
        <w:t xml:space="preserve">    （八）做好“八一”、春节等重要节日及退役军人和其他优抚 对象出现临时性重大变故情况时开展走访慰问等工作。 </w:t>
        <w:br/>
        <w:t xml:space="preserve">    （九）完成区委、区政府及区退役军人局交办的其他任务。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辽宁省沈阳市浑南区退役军人事务服务中心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辽宁省沈阳市浑南区退役军人事务服务中心，本单位无下设机构。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307.71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307.71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307.71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减少10.92万元，降低3.43%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厉行节约，部分非必要办公及人员费用未支出，导致对应的收入减少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307.71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302.80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98.40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工资福利支出283.19万元；商品和服务支出19.61万元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4.91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1.60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主要包括退役军人服务保障体系建设及运行专项业务经费等业务支出。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减少10.92万元，降低3.43%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厉行节约，部分非必要办公及人员费用未支出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307.71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302.80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4.91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减少10.92万元，降低3.43%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厉行节约，部分非必要办公及人员费用未支出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75.28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77.81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25.05</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2024年度一般公共预算财政拨款支出307.71万元。按支出功能分类科目分，包括：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1.社会保障和就业支出262.64万元，具体包括：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基本养老保险缴费支出（项）30.93万元,主要是中心人员养老保险等支出，完成年初预算的98.1%，决算数与年初预算数存在差异的主要原因是标准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退役军人管理事务（款）事业运行（项）226.80万元,主要是人员工资等支出，完成年初预算的75.77%，决算数与年初预算数存在差异的主要原因是厉行节约，部分非必要办公及人员费用未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退役军人管理事务（款）其他退役军人事务管理支出（项）4.91万元,主要是退役军人服务保障体系建设及运行专项业务经费等支出，完成年初预算的25.05%，决算数与年初预算数存在差异的主要原因是厉行节约，部分项目未开展，资金未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2.卫生健康支出15.15万元，具体包括：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（1）卫生健康支出（类）行政事业单位医疗（款）事业单位医疗（项）15.15万元,主要是中心人员医疗保险等支出，完成年初预算的104.48%，决算数与年初预算数存在差异的主要原因是标准变动。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3.住房保障支出29.92万元，具体包括：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（1）住房保障支出（类）住房改革支出（款）住房公积金（项）29.92万元,主要是中心人员公积金单位部分等支出，完成年初预算的61.51%，决算数与年初预算数存在差异的主要原因是未发放高比例公积金。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302.80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283.19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19.61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我单位为事业单位，无此支出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具体而言，本年度我部门共组织对2个项目实施了绩效评价。从预算资金来源看，涉及一般公共预算的项目2个，涉及政府性基金预算的项目0个，涉及国有资本经营预算的项目0个。</w:t>
        <w:br/>
        <w:t xml:space="preserve">    上述评价工作共涉及财政资金19.6万元。其中，一般公共预算资金19.6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个；得分在60分以下、等级为“差”的项目有1个。各项目自评发现，部分项目存在一下问题，如：预算执行率低等，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其中：第一个重点项目为缴纳残疾人就业保障金（社保科），涉及资金3.6万元，评价平均分为99.47分，评级情况为优。同时，评价也发现部分项目存在问题，如：部分项目预算执行率低等。针对评价发现的问题，我们已督促项目单位落实整改，并将评价结果作为下年度预算安排和政策调整的重要依据。</w:t>
        <w:br/>
        <w:t xml:space="preserve">    我部门组织对“退缴纳残疾人就业保障金（社保科）”等1个项目开展了部门重点评价，涉及资金3.6万元（其中：一般公共预算资金3.6万元，政府性基金预算资金0万元，国有资本经营预算资金0万元）。评价平均分为99.47分。</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单位：辽宁省沈阳市浑南区退役军人事务服务中心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307.71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262.64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15.15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29.92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307.71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307.71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307.71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307.71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单位：辽宁省沈阳市浑南区退役军人事务服务中心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307.71</w:t>
            </w:r>
          </w:p>
        </w:tc>
        <w:tc>
          <w:tcPr>
            <w:tcW w:w="960" w:type="dxa"/>
            <w:tcBorders/>
            <w:vAlign w:val="center"/>
          </w:tcPr>
          <w:p>
            <w:pPr>
              <w:jc w:val="right"/>
            </w:pPr>
            <w:r>
              <w:rPr>
                <w:rFonts w:ascii="宋体" w:eastAsia="宋体" w:hAnsi="宋体" w:cs="宋体"/>
                <w:b/>
                <w:i w:val="0"/>
                <w:color w:val="000000"/>
                <w:sz w:val="13"/>
              </w:rPr>
              <w:t xml:space="preserve">307.71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262.64</w:t>
            </w:r>
          </w:p>
        </w:tc>
        <w:tc>
          <w:tcPr>
            <w:tcW w:w="960" w:type="dxa"/>
            <w:tcBorders/>
            <w:vAlign w:val="center"/>
          </w:tcPr>
          <w:p>
            <w:pPr>
              <w:jc w:val="right"/>
            </w:pPr>
            <w:r>
              <w:rPr>
                <w:rFonts w:ascii="宋体" w:eastAsia="宋体" w:hAnsi="宋体" w:cs="宋体"/>
                <w:b w:val="0"/>
                <w:i w:val="0"/>
                <w:color w:val="000000"/>
                <w:sz w:val="13"/>
              </w:rPr>
              <w:t xml:space="preserve">262.64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30.93</w:t>
            </w:r>
          </w:p>
        </w:tc>
        <w:tc>
          <w:tcPr>
            <w:tcW w:w="960" w:type="dxa"/>
            <w:tcBorders/>
            <w:vAlign w:val="center"/>
          </w:tcPr>
          <w:p>
            <w:pPr>
              <w:jc w:val="right"/>
            </w:pPr>
            <w:r>
              <w:rPr>
                <w:rFonts w:ascii="宋体" w:eastAsia="宋体" w:hAnsi="宋体" w:cs="宋体"/>
                <w:b w:val="0"/>
                <w:i w:val="0"/>
                <w:color w:val="000000"/>
                <w:sz w:val="13"/>
              </w:rPr>
              <w:t xml:space="preserve">30.93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30.93</w:t>
            </w:r>
          </w:p>
        </w:tc>
        <w:tc>
          <w:tcPr>
            <w:tcW w:w="960" w:type="dxa"/>
            <w:tcBorders/>
            <w:vAlign w:val="center"/>
          </w:tcPr>
          <w:p>
            <w:pPr>
              <w:jc w:val="right"/>
            </w:pPr>
            <w:r>
              <w:rPr>
                <w:rFonts w:ascii="宋体" w:eastAsia="宋体" w:hAnsi="宋体" w:cs="宋体"/>
                <w:b w:val="0"/>
                <w:i w:val="0"/>
                <w:color w:val="000000"/>
                <w:sz w:val="13"/>
              </w:rPr>
              <w:t xml:space="preserve">30.93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w:t>
            </w:r>
          </w:p>
        </w:tc>
        <w:tc>
          <w:tcPr>
            <w:tcW w:w="3200" w:type="dxa"/>
            <w:tcBorders/>
            <w:vAlign w:val="center"/>
          </w:tcPr>
          <w:p>
            <w:pPr>
              <w:jc w:val="left"/>
            </w:pPr>
            <w:r>
              <w:rPr>
                <w:rFonts w:ascii="宋体" w:eastAsia="宋体" w:hAnsi="宋体" w:cs="宋体"/>
                <w:b w:val="0"/>
                <w:i w:val="0"/>
                <w:color w:val="000000"/>
                <w:sz w:val="13"/>
              </w:rPr>
              <w:t xml:space="preserve">退役军人管理事务</w:t>
            </w:r>
          </w:p>
        </w:tc>
        <w:tc>
          <w:tcPr>
            <w:tcW w:w="960" w:type="dxa"/>
            <w:tcBorders/>
            <w:vAlign w:val="center"/>
          </w:tcPr>
          <w:p>
            <w:pPr>
              <w:jc w:val="right"/>
            </w:pPr>
            <w:r>
              <w:rPr>
                <w:rFonts w:ascii="宋体" w:eastAsia="宋体" w:hAnsi="宋体" w:cs="宋体"/>
                <w:b w:val="0"/>
                <w:i w:val="0"/>
                <w:color w:val="000000"/>
                <w:sz w:val="13"/>
              </w:rPr>
              <w:t xml:space="preserve">231.71</w:t>
            </w:r>
          </w:p>
        </w:tc>
        <w:tc>
          <w:tcPr>
            <w:tcW w:w="960" w:type="dxa"/>
            <w:tcBorders/>
            <w:vAlign w:val="center"/>
          </w:tcPr>
          <w:p>
            <w:pPr>
              <w:jc w:val="right"/>
            </w:pPr>
            <w:r>
              <w:rPr>
                <w:rFonts w:ascii="宋体" w:eastAsia="宋体" w:hAnsi="宋体" w:cs="宋体"/>
                <w:b w:val="0"/>
                <w:i w:val="0"/>
                <w:color w:val="000000"/>
                <w:sz w:val="13"/>
              </w:rPr>
              <w:t xml:space="preserve">231.71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226.80</w:t>
            </w:r>
          </w:p>
        </w:tc>
        <w:tc>
          <w:tcPr>
            <w:tcW w:w="960" w:type="dxa"/>
            <w:tcBorders/>
            <w:vAlign w:val="center"/>
          </w:tcPr>
          <w:p>
            <w:pPr>
              <w:jc w:val="right"/>
            </w:pPr>
            <w:r>
              <w:rPr>
                <w:rFonts w:ascii="宋体" w:eastAsia="宋体" w:hAnsi="宋体" w:cs="宋体"/>
                <w:b w:val="0"/>
                <w:i w:val="0"/>
                <w:color w:val="000000"/>
                <w:sz w:val="13"/>
              </w:rPr>
              <w:t xml:space="preserve">226.80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2082899</w:t>
            </w:r>
          </w:p>
        </w:tc>
        <w:tc>
          <w:tcPr>
            <w:tcW w:w="3200" w:type="dxa"/>
            <w:tcBorders/>
            <w:vAlign w:val="center"/>
          </w:tcPr>
          <w:p>
            <w:pPr>
              <w:jc w:val="left"/>
            </w:pPr>
            <w:r>
              <w:rPr>
                <w:rFonts w:ascii="宋体" w:eastAsia="宋体" w:hAnsi="宋体" w:cs="宋体"/>
                <w:b w:val="0"/>
                <w:i w:val="0"/>
                <w:color w:val="000000"/>
                <w:sz w:val="13"/>
              </w:rPr>
              <w:t xml:space="preserve">其他退役军人事务管理支出</w:t>
            </w:r>
          </w:p>
        </w:tc>
        <w:tc>
          <w:tcPr>
            <w:tcW w:w="960" w:type="dxa"/>
            <w:tcBorders/>
            <w:vAlign w:val="center"/>
          </w:tcPr>
          <w:p>
            <w:pPr>
              <w:jc w:val="right"/>
            </w:pPr>
            <w:r>
              <w:rPr>
                <w:rFonts w:ascii="宋体" w:eastAsia="宋体" w:hAnsi="宋体" w:cs="宋体"/>
                <w:b w:val="0"/>
                <w:i w:val="0"/>
                <w:color w:val="000000"/>
                <w:sz w:val="13"/>
              </w:rPr>
              <w:t xml:space="preserve">4.91</w:t>
            </w:r>
          </w:p>
        </w:tc>
        <w:tc>
          <w:tcPr>
            <w:tcW w:w="960" w:type="dxa"/>
            <w:tcBorders/>
            <w:vAlign w:val="center"/>
          </w:tcPr>
          <w:p>
            <w:pPr>
              <w:jc w:val="right"/>
            </w:pPr>
            <w:r>
              <w:rPr>
                <w:rFonts w:ascii="宋体" w:eastAsia="宋体" w:hAnsi="宋体" w:cs="宋体"/>
                <w:b w:val="0"/>
                <w:i w:val="0"/>
                <w:color w:val="000000"/>
                <w:sz w:val="13"/>
              </w:rPr>
              <w:t xml:space="preserve">4.91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15.15</w:t>
            </w:r>
          </w:p>
        </w:tc>
        <w:tc>
          <w:tcPr>
            <w:tcW w:w="960" w:type="dxa"/>
            <w:tcBorders/>
            <w:vAlign w:val="center"/>
          </w:tcPr>
          <w:p>
            <w:pPr>
              <w:jc w:val="right"/>
            </w:pPr>
            <w:r>
              <w:rPr>
                <w:rFonts w:ascii="宋体" w:eastAsia="宋体" w:hAnsi="宋体" w:cs="宋体"/>
                <w:b w:val="0"/>
                <w:i w:val="0"/>
                <w:color w:val="000000"/>
                <w:sz w:val="13"/>
              </w:rPr>
              <w:t xml:space="preserve">15.15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15.15</w:t>
            </w:r>
          </w:p>
        </w:tc>
        <w:tc>
          <w:tcPr>
            <w:tcW w:w="960" w:type="dxa"/>
            <w:tcBorders/>
            <w:vAlign w:val="center"/>
          </w:tcPr>
          <w:p>
            <w:pPr>
              <w:jc w:val="right"/>
            </w:pPr>
            <w:r>
              <w:rPr>
                <w:rFonts w:ascii="宋体" w:eastAsia="宋体" w:hAnsi="宋体" w:cs="宋体"/>
                <w:b w:val="0"/>
                <w:i w:val="0"/>
                <w:color w:val="000000"/>
                <w:sz w:val="13"/>
              </w:rPr>
              <w:t xml:space="preserve">15.15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15.15</w:t>
            </w:r>
          </w:p>
        </w:tc>
        <w:tc>
          <w:tcPr>
            <w:tcW w:w="960" w:type="dxa"/>
            <w:tcBorders/>
            <w:vAlign w:val="center"/>
          </w:tcPr>
          <w:p>
            <w:pPr>
              <w:jc w:val="right"/>
            </w:pPr>
            <w:r>
              <w:rPr>
                <w:rFonts w:ascii="宋体" w:eastAsia="宋体" w:hAnsi="宋体" w:cs="宋体"/>
                <w:b w:val="0"/>
                <w:i w:val="0"/>
                <w:color w:val="000000"/>
                <w:sz w:val="13"/>
              </w:rPr>
              <w:t xml:space="preserve">15.15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29.92</w:t>
            </w:r>
          </w:p>
        </w:tc>
        <w:tc>
          <w:tcPr>
            <w:tcW w:w="960" w:type="dxa"/>
            <w:tcBorders/>
            <w:vAlign w:val="center"/>
          </w:tcPr>
          <w:p>
            <w:pPr>
              <w:jc w:val="right"/>
            </w:pPr>
            <w:r>
              <w:rPr>
                <w:rFonts w:ascii="宋体" w:eastAsia="宋体" w:hAnsi="宋体" w:cs="宋体"/>
                <w:b w:val="0"/>
                <w:i w:val="0"/>
                <w:color w:val="000000"/>
                <w:sz w:val="13"/>
              </w:rPr>
              <w:t xml:space="preserve">29.92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29.92</w:t>
            </w:r>
          </w:p>
        </w:tc>
        <w:tc>
          <w:tcPr>
            <w:tcW w:w="960" w:type="dxa"/>
            <w:tcBorders/>
            <w:vAlign w:val="center"/>
          </w:tcPr>
          <w:p>
            <w:pPr>
              <w:jc w:val="right"/>
            </w:pPr>
            <w:r>
              <w:rPr>
                <w:rFonts w:ascii="宋体" w:eastAsia="宋体" w:hAnsi="宋体" w:cs="宋体"/>
                <w:b w:val="0"/>
                <w:i w:val="0"/>
                <w:color w:val="000000"/>
                <w:sz w:val="13"/>
              </w:rPr>
              <w:t xml:space="preserve">29.92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29.92</w:t>
            </w:r>
          </w:p>
        </w:tc>
        <w:tc>
          <w:tcPr>
            <w:tcW w:w="960" w:type="dxa"/>
            <w:tcBorders/>
            <w:vAlign w:val="center"/>
          </w:tcPr>
          <w:p>
            <w:pPr>
              <w:jc w:val="right"/>
            </w:pPr>
            <w:r>
              <w:rPr>
                <w:rFonts w:ascii="宋体" w:eastAsia="宋体" w:hAnsi="宋体" w:cs="宋体"/>
                <w:b w:val="0"/>
                <w:i w:val="0"/>
                <w:color w:val="000000"/>
                <w:sz w:val="13"/>
              </w:rPr>
              <w:t xml:space="preserve">29.92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单位：辽宁省沈阳市浑南区退役军人事务服务中心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307.71</w:t>
            </w:r>
          </w:p>
        </w:tc>
        <w:tc>
          <w:tcPr>
            <w:tcW w:w="1060" w:type="dxa"/>
            <w:tcBorders/>
            <w:vAlign w:val="center"/>
          </w:tcPr>
          <w:p>
            <w:pPr>
              <w:jc w:val="right"/>
            </w:pPr>
            <w:r>
              <w:rPr>
                <w:rFonts w:ascii="宋体" w:eastAsia="宋体" w:hAnsi="宋体" w:cs="宋体"/>
                <w:b/>
                <w:i w:val="0"/>
                <w:color w:val="000000"/>
                <w:sz w:val="14"/>
              </w:rPr>
              <w:t xml:space="preserve">302.80</w:t>
            </w:r>
          </w:p>
        </w:tc>
        <w:tc>
          <w:tcPr>
            <w:tcW w:w="1060" w:type="dxa"/>
            <w:tcBorders/>
            <w:vAlign w:val="center"/>
          </w:tcPr>
          <w:p>
            <w:pPr>
              <w:jc w:val="right"/>
            </w:pPr>
            <w:r>
              <w:rPr>
                <w:rFonts w:ascii="宋体" w:eastAsia="宋体" w:hAnsi="宋体" w:cs="宋体"/>
                <w:b/>
                <w:i w:val="0"/>
                <w:color w:val="000000"/>
                <w:sz w:val="14"/>
              </w:rPr>
              <w:t xml:space="preserve">4.91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262.64</w:t>
            </w:r>
          </w:p>
        </w:tc>
        <w:tc>
          <w:tcPr>
            <w:tcW w:w="1060" w:type="dxa"/>
            <w:tcBorders/>
            <w:vAlign w:val="center"/>
          </w:tcPr>
          <w:p>
            <w:pPr>
              <w:jc w:val="right"/>
            </w:pPr>
            <w:r>
              <w:rPr>
                <w:rFonts w:ascii="宋体" w:eastAsia="宋体" w:hAnsi="宋体" w:cs="宋体"/>
                <w:b w:val="0"/>
                <w:i w:val="0"/>
                <w:color w:val="000000"/>
                <w:sz w:val="14"/>
              </w:rPr>
              <w:t xml:space="preserve">257.73</w:t>
            </w:r>
          </w:p>
        </w:tc>
        <w:tc>
          <w:tcPr>
            <w:tcW w:w="1060" w:type="dxa"/>
            <w:tcBorders/>
            <w:vAlign w:val="center"/>
          </w:tcPr>
          <w:p>
            <w:pPr>
              <w:jc w:val="right"/>
            </w:pPr>
            <w:r>
              <w:rPr>
                <w:rFonts w:ascii="宋体" w:eastAsia="宋体" w:hAnsi="宋体" w:cs="宋体"/>
                <w:b w:val="0"/>
                <w:i w:val="0"/>
                <w:color w:val="000000"/>
                <w:sz w:val="14"/>
              </w:rPr>
              <w:t xml:space="preserve">4.91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30.93</w:t>
            </w:r>
          </w:p>
        </w:tc>
        <w:tc>
          <w:tcPr>
            <w:tcW w:w="1060" w:type="dxa"/>
            <w:tcBorders/>
            <w:vAlign w:val="center"/>
          </w:tcPr>
          <w:p>
            <w:pPr>
              <w:jc w:val="right"/>
            </w:pPr>
            <w:r>
              <w:rPr>
                <w:rFonts w:ascii="宋体" w:eastAsia="宋体" w:hAnsi="宋体" w:cs="宋体"/>
                <w:b w:val="0"/>
                <w:i w:val="0"/>
                <w:color w:val="000000"/>
                <w:sz w:val="14"/>
              </w:rPr>
              <w:t xml:space="preserve">30.93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30.93</w:t>
            </w:r>
          </w:p>
        </w:tc>
        <w:tc>
          <w:tcPr>
            <w:tcW w:w="1060" w:type="dxa"/>
            <w:tcBorders/>
            <w:vAlign w:val="center"/>
          </w:tcPr>
          <w:p>
            <w:pPr>
              <w:jc w:val="right"/>
            </w:pPr>
            <w:r>
              <w:rPr>
                <w:rFonts w:ascii="宋体" w:eastAsia="宋体" w:hAnsi="宋体" w:cs="宋体"/>
                <w:b w:val="0"/>
                <w:i w:val="0"/>
                <w:color w:val="000000"/>
                <w:sz w:val="14"/>
              </w:rPr>
              <w:t xml:space="preserve">30.93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w:t>
            </w:r>
          </w:p>
        </w:tc>
        <w:tc>
          <w:tcPr>
            <w:tcW w:w="3440" w:type="dxa"/>
            <w:tcBorders/>
            <w:vAlign w:val="center"/>
          </w:tcPr>
          <w:p>
            <w:pPr>
              <w:jc w:val="left"/>
            </w:pPr>
            <w:r>
              <w:rPr>
                <w:rFonts w:ascii="宋体" w:eastAsia="宋体" w:hAnsi="宋体" w:cs="宋体"/>
                <w:b w:val="0"/>
                <w:i w:val="0"/>
                <w:color w:val="000000"/>
                <w:sz w:val="14"/>
              </w:rPr>
              <w:t xml:space="preserve">退役军人管理事务</w:t>
            </w:r>
          </w:p>
        </w:tc>
        <w:tc>
          <w:tcPr>
            <w:tcW w:w="1060" w:type="dxa"/>
            <w:tcBorders/>
            <w:vAlign w:val="center"/>
          </w:tcPr>
          <w:p>
            <w:pPr>
              <w:jc w:val="right"/>
            </w:pPr>
            <w:r>
              <w:rPr>
                <w:rFonts w:ascii="宋体" w:eastAsia="宋体" w:hAnsi="宋体" w:cs="宋体"/>
                <w:b w:val="0"/>
                <w:i w:val="0"/>
                <w:color w:val="000000"/>
                <w:sz w:val="14"/>
              </w:rPr>
              <w:t xml:space="preserve">231.71</w:t>
            </w:r>
          </w:p>
        </w:tc>
        <w:tc>
          <w:tcPr>
            <w:tcW w:w="1060" w:type="dxa"/>
            <w:tcBorders/>
            <w:vAlign w:val="center"/>
          </w:tcPr>
          <w:p>
            <w:pPr>
              <w:jc w:val="right"/>
            </w:pPr>
            <w:r>
              <w:rPr>
                <w:rFonts w:ascii="宋体" w:eastAsia="宋体" w:hAnsi="宋体" w:cs="宋体"/>
                <w:b w:val="0"/>
                <w:i w:val="0"/>
                <w:color w:val="000000"/>
                <w:sz w:val="14"/>
              </w:rPr>
              <w:t xml:space="preserve">226.80</w:t>
            </w:r>
          </w:p>
        </w:tc>
        <w:tc>
          <w:tcPr>
            <w:tcW w:w="1060" w:type="dxa"/>
            <w:tcBorders/>
            <w:vAlign w:val="center"/>
          </w:tcPr>
          <w:p>
            <w:pPr>
              <w:jc w:val="right"/>
            </w:pPr>
            <w:r>
              <w:rPr>
                <w:rFonts w:ascii="宋体" w:eastAsia="宋体" w:hAnsi="宋体" w:cs="宋体"/>
                <w:b w:val="0"/>
                <w:i w:val="0"/>
                <w:color w:val="000000"/>
                <w:sz w:val="14"/>
              </w:rPr>
              <w:t xml:space="preserve">4.91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226.80</w:t>
            </w:r>
          </w:p>
        </w:tc>
        <w:tc>
          <w:tcPr>
            <w:tcW w:w="1060" w:type="dxa"/>
            <w:tcBorders/>
            <w:vAlign w:val="center"/>
          </w:tcPr>
          <w:p>
            <w:pPr>
              <w:jc w:val="right"/>
            </w:pPr>
            <w:r>
              <w:rPr>
                <w:rFonts w:ascii="宋体" w:eastAsia="宋体" w:hAnsi="宋体" w:cs="宋体"/>
                <w:b w:val="0"/>
                <w:i w:val="0"/>
                <w:color w:val="000000"/>
                <w:sz w:val="14"/>
              </w:rPr>
              <w:t xml:space="preserve">226.80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2082899</w:t>
            </w:r>
          </w:p>
        </w:tc>
        <w:tc>
          <w:tcPr>
            <w:tcW w:w="3440" w:type="dxa"/>
            <w:tcBorders/>
            <w:vAlign w:val="center"/>
          </w:tcPr>
          <w:p>
            <w:pPr>
              <w:jc w:val="left"/>
            </w:pPr>
            <w:r>
              <w:rPr>
                <w:rFonts w:ascii="宋体" w:eastAsia="宋体" w:hAnsi="宋体" w:cs="宋体"/>
                <w:b w:val="0"/>
                <w:i w:val="0"/>
                <w:color w:val="000000"/>
                <w:sz w:val="14"/>
              </w:rPr>
              <w:t xml:space="preserve">其他退役军人事务管理支出</w:t>
            </w:r>
          </w:p>
        </w:tc>
        <w:tc>
          <w:tcPr>
            <w:tcW w:w="1060" w:type="dxa"/>
            <w:tcBorders/>
            <w:vAlign w:val="center"/>
          </w:tcPr>
          <w:p>
            <w:pPr>
              <w:jc w:val="right"/>
            </w:pPr>
            <w:r>
              <w:rPr>
                <w:rFonts w:ascii="宋体" w:eastAsia="宋体" w:hAnsi="宋体" w:cs="宋体"/>
                <w:b w:val="0"/>
                <w:i w:val="0"/>
                <w:color w:val="000000"/>
                <w:sz w:val="14"/>
              </w:rPr>
              <w:t xml:space="preserve">4.91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15.15</w:t>
            </w:r>
          </w:p>
        </w:tc>
        <w:tc>
          <w:tcPr>
            <w:tcW w:w="1060" w:type="dxa"/>
            <w:tcBorders/>
            <w:vAlign w:val="center"/>
          </w:tcPr>
          <w:p>
            <w:pPr>
              <w:jc w:val="right"/>
            </w:pPr>
            <w:r>
              <w:rPr>
                <w:rFonts w:ascii="宋体" w:eastAsia="宋体" w:hAnsi="宋体" w:cs="宋体"/>
                <w:b w:val="0"/>
                <w:i w:val="0"/>
                <w:color w:val="000000"/>
                <w:sz w:val="14"/>
              </w:rPr>
              <w:t xml:space="preserve">15.15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15.15</w:t>
            </w:r>
          </w:p>
        </w:tc>
        <w:tc>
          <w:tcPr>
            <w:tcW w:w="1060" w:type="dxa"/>
            <w:tcBorders/>
            <w:vAlign w:val="center"/>
          </w:tcPr>
          <w:p>
            <w:pPr>
              <w:jc w:val="right"/>
            </w:pPr>
            <w:r>
              <w:rPr>
                <w:rFonts w:ascii="宋体" w:eastAsia="宋体" w:hAnsi="宋体" w:cs="宋体"/>
                <w:b w:val="0"/>
                <w:i w:val="0"/>
                <w:color w:val="000000"/>
                <w:sz w:val="14"/>
              </w:rPr>
              <w:t xml:space="preserve">15.15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15.15</w:t>
            </w:r>
          </w:p>
        </w:tc>
        <w:tc>
          <w:tcPr>
            <w:tcW w:w="1060" w:type="dxa"/>
            <w:tcBorders/>
            <w:vAlign w:val="center"/>
          </w:tcPr>
          <w:p>
            <w:pPr>
              <w:jc w:val="right"/>
            </w:pPr>
            <w:r>
              <w:rPr>
                <w:rFonts w:ascii="宋体" w:eastAsia="宋体" w:hAnsi="宋体" w:cs="宋体"/>
                <w:b w:val="0"/>
                <w:i w:val="0"/>
                <w:color w:val="000000"/>
                <w:sz w:val="14"/>
              </w:rPr>
              <w:t xml:space="preserve">15.15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29.92</w:t>
            </w:r>
          </w:p>
        </w:tc>
        <w:tc>
          <w:tcPr>
            <w:tcW w:w="1060" w:type="dxa"/>
            <w:tcBorders/>
            <w:vAlign w:val="center"/>
          </w:tcPr>
          <w:p>
            <w:pPr>
              <w:jc w:val="right"/>
            </w:pPr>
            <w:r>
              <w:rPr>
                <w:rFonts w:ascii="宋体" w:eastAsia="宋体" w:hAnsi="宋体" w:cs="宋体"/>
                <w:b w:val="0"/>
                <w:i w:val="0"/>
                <w:color w:val="000000"/>
                <w:sz w:val="14"/>
              </w:rPr>
              <w:t xml:space="preserve">29.92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29.92</w:t>
            </w:r>
          </w:p>
        </w:tc>
        <w:tc>
          <w:tcPr>
            <w:tcW w:w="1060" w:type="dxa"/>
            <w:tcBorders/>
            <w:vAlign w:val="center"/>
          </w:tcPr>
          <w:p>
            <w:pPr>
              <w:jc w:val="right"/>
            </w:pPr>
            <w:r>
              <w:rPr>
                <w:rFonts w:ascii="宋体" w:eastAsia="宋体" w:hAnsi="宋体" w:cs="宋体"/>
                <w:b w:val="0"/>
                <w:i w:val="0"/>
                <w:color w:val="000000"/>
                <w:sz w:val="14"/>
              </w:rPr>
              <w:t xml:space="preserve">29.92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29.92</w:t>
            </w:r>
          </w:p>
        </w:tc>
        <w:tc>
          <w:tcPr>
            <w:tcW w:w="1060" w:type="dxa"/>
            <w:tcBorders/>
            <w:vAlign w:val="center"/>
          </w:tcPr>
          <w:p>
            <w:pPr>
              <w:jc w:val="right"/>
            </w:pPr>
            <w:r>
              <w:rPr>
                <w:rFonts w:ascii="宋体" w:eastAsia="宋体" w:hAnsi="宋体" w:cs="宋体"/>
                <w:b w:val="0"/>
                <w:i w:val="0"/>
                <w:color w:val="000000"/>
                <w:sz w:val="14"/>
              </w:rPr>
              <w:t xml:space="preserve">29.92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单位：辽宁省沈阳市浑南区退役军人事务服务中心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307.71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262.64</w:t>
            </w:r>
          </w:p>
        </w:tc>
        <w:tc>
          <w:tcPr>
            <w:tcW w:w="1100" w:type="dxa"/>
            <w:tcBorders/>
            <w:vAlign w:val="center"/>
          </w:tcPr>
          <w:p>
            <w:pPr>
              <w:jc w:val="right"/>
            </w:pPr>
            <w:r>
              <w:rPr>
                <w:rFonts w:ascii="宋体" w:eastAsia="宋体" w:hAnsi="宋体" w:cs="宋体"/>
                <w:b w:val="0"/>
                <w:i w:val="0"/>
                <w:color w:val="000000"/>
                <w:sz w:val="14"/>
              </w:rPr>
              <w:t xml:space="preserve">262.64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15.15</w:t>
            </w:r>
          </w:p>
        </w:tc>
        <w:tc>
          <w:tcPr>
            <w:tcW w:w="1100" w:type="dxa"/>
            <w:tcBorders/>
            <w:vAlign w:val="center"/>
          </w:tcPr>
          <w:p>
            <w:pPr>
              <w:jc w:val="right"/>
            </w:pPr>
            <w:r>
              <w:rPr>
                <w:rFonts w:ascii="宋体" w:eastAsia="宋体" w:hAnsi="宋体" w:cs="宋体"/>
                <w:b w:val="0"/>
                <w:i w:val="0"/>
                <w:color w:val="000000"/>
                <w:sz w:val="14"/>
              </w:rPr>
              <w:t xml:space="preserve">15.15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29.92</w:t>
            </w:r>
          </w:p>
        </w:tc>
        <w:tc>
          <w:tcPr>
            <w:tcW w:w="1100" w:type="dxa"/>
            <w:tcBorders/>
            <w:vAlign w:val="center"/>
          </w:tcPr>
          <w:p>
            <w:pPr>
              <w:jc w:val="right"/>
            </w:pPr>
            <w:r>
              <w:rPr>
                <w:rFonts w:ascii="宋体" w:eastAsia="宋体" w:hAnsi="宋体" w:cs="宋体"/>
                <w:b w:val="0"/>
                <w:i w:val="0"/>
                <w:color w:val="000000"/>
                <w:sz w:val="14"/>
              </w:rPr>
              <w:t xml:space="preserve">29.92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307.71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307.71</w:t>
            </w:r>
          </w:p>
        </w:tc>
        <w:tc>
          <w:tcPr>
            <w:tcW w:w="1100" w:type="dxa"/>
            <w:tcBorders/>
            <w:vAlign w:val="center"/>
          </w:tcPr>
          <w:p>
            <w:pPr>
              <w:jc w:val="right"/>
            </w:pPr>
            <w:r>
              <w:rPr>
                <w:rFonts w:ascii="宋体" w:eastAsia="宋体" w:hAnsi="宋体" w:cs="宋体"/>
                <w:b w:val="0"/>
                <w:i w:val="0"/>
                <w:color w:val="000000"/>
                <w:sz w:val="14"/>
              </w:rPr>
              <w:t xml:space="preserve">307.71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307.71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307.71</w:t>
            </w:r>
          </w:p>
        </w:tc>
        <w:tc>
          <w:tcPr>
            <w:tcW w:w="1100" w:type="dxa"/>
            <w:tcBorders/>
            <w:vAlign w:val="center"/>
          </w:tcPr>
          <w:p>
            <w:pPr>
              <w:jc w:val="right"/>
            </w:pPr>
            <w:r>
              <w:rPr>
                <w:rFonts w:ascii="宋体" w:eastAsia="宋体" w:hAnsi="宋体" w:cs="宋体"/>
                <w:b w:val="0"/>
                <w:i w:val="0"/>
                <w:color w:val="000000"/>
                <w:sz w:val="14"/>
              </w:rPr>
              <w:t xml:space="preserve">307.71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单位：辽宁省沈阳市浑南区退役军人事务服务中心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307.71</w:t>
            </w:r>
          </w:p>
        </w:tc>
        <w:tc>
          <w:tcPr>
            <w:tcW w:w="1780" w:type="dxa"/>
            <w:tcBorders/>
            <w:vAlign w:val="center"/>
          </w:tcPr>
          <w:p>
            <w:pPr>
              <w:jc w:val="right"/>
            </w:pPr>
            <w:r>
              <w:rPr>
                <w:rFonts w:ascii="宋体" w:eastAsia="宋体" w:hAnsi="宋体" w:cs="宋体"/>
                <w:b/>
                <w:i w:val="0"/>
                <w:color w:val="000000"/>
                <w:sz w:val="18"/>
              </w:rPr>
              <w:t xml:space="preserve">302.80</w:t>
            </w:r>
          </w:p>
        </w:tc>
        <w:tc>
          <w:tcPr>
            <w:tcW w:w="1772" w:type="dxa"/>
            <w:tcBorders/>
            <w:vAlign w:val="center"/>
          </w:tcPr>
          <w:p>
            <w:pPr>
              <w:jc w:val="right"/>
            </w:pPr>
            <w:r>
              <w:rPr>
                <w:rFonts w:ascii="宋体" w:eastAsia="宋体" w:hAnsi="宋体" w:cs="宋体"/>
                <w:b/>
                <w:i w:val="0"/>
                <w:color w:val="000000"/>
                <w:sz w:val="18"/>
              </w:rPr>
              <w:t xml:space="preserve">4.91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262.64</w:t>
            </w:r>
          </w:p>
        </w:tc>
        <w:tc>
          <w:tcPr>
            <w:tcW w:w="1780" w:type="dxa"/>
            <w:tcBorders/>
            <w:vAlign w:val="center"/>
          </w:tcPr>
          <w:p>
            <w:pPr>
              <w:jc w:val="right"/>
            </w:pPr>
            <w:r>
              <w:rPr>
                <w:rFonts w:ascii="宋体" w:eastAsia="宋体" w:hAnsi="宋体" w:cs="宋体"/>
                <w:b w:val="0"/>
                <w:i w:val="0"/>
                <w:color w:val="000000"/>
                <w:sz w:val="18"/>
              </w:rPr>
              <w:t xml:space="preserve">257.73</w:t>
            </w:r>
          </w:p>
        </w:tc>
        <w:tc>
          <w:tcPr>
            <w:tcW w:w="1772" w:type="dxa"/>
            <w:tcBorders/>
            <w:vAlign w:val="center"/>
          </w:tcPr>
          <w:p>
            <w:pPr>
              <w:jc w:val="right"/>
            </w:pPr>
            <w:r>
              <w:rPr>
                <w:rFonts w:ascii="宋体" w:eastAsia="宋体" w:hAnsi="宋体" w:cs="宋体"/>
                <w:b w:val="0"/>
                <w:i w:val="0"/>
                <w:color w:val="000000"/>
                <w:sz w:val="18"/>
              </w:rPr>
              <w:t xml:space="preserve">4.91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30.93</w:t>
            </w:r>
          </w:p>
        </w:tc>
        <w:tc>
          <w:tcPr>
            <w:tcW w:w="1780" w:type="dxa"/>
            <w:tcBorders/>
            <w:vAlign w:val="center"/>
          </w:tcPr>
          <w:p>
            <w:pPr>
              <w:jc w:val="right"/>
            </w:pPr>
            <w:r>
              <w:rPr>
                <w:rFonts w:ascii="宋体" w:eastAsia="宋体" w:hAnsi="宋体" w:cs="宋体"/>
                <w:b w:val="0"/>
                <w:i w:val="0"/>
                <w:color w:val="000000"/>
                <w:sz w:val="18"/>
              </w:rPr>
              <w:t xml:space="preserve">30.93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30.93</w:t>
            </w:r>
          </w:p>
        </w:tc>
        <w:tc>
          <w:tcPr>
            <w:tcW w:w="1780" w:type="dxa"/>
            <w:tcBorders/>
            <w:vAlign w:val="center"/>
          </w:tcPr>
          <w:p>
            <w:pPr>
              <w:jc w:val="right"/>
            </w:pPr>
            <w:r>
              <w:rPr>
                <w:rFonts w:ascii="宋体" w:eastAsia="宋体" w:hAnsi="宋体" w:cs="宋体"/>
                <w:b w:val="0"/>
                <w:i w:val="0"/>
                <w:color w:val="000000"/>
                <w:sz w:val="18"/>
              </w:rPr>
              <w:t xml:space="preserve">30.93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w:t>
            </w:r>
          </w:p>
        </w:tc>
        <w:tc>
          <w:tcPr>
            <w:tcW w:w="4300" w:type="dxa"/>
            <w:tcBorders/>
            <w:vAlign w:val="center"/>
          </w:tcPr>
          <w:p>
            <w:pPr>
              <w:jc w:val="left"/>
            </w:pPr>
            <w:r>
              <w:rPr>
                <w:rFonts w:ascii="宋体" w:eastAsia="宋体" w:hAnsi="宋体" w:cs="宋体"/>
                <w:b w:val="0"/>
                <w:i w:val="0"/>
                <w:color w:val="000000"/>
                <w:sz w:val="18"/>
              </w:rPr>
              <w:t xml:space="preserve">退役军人管理事务</w:t>
            </w:r>
          </w:p>
        </w:tc>
        <w:tc>
          <w:tcPr>
            <w:tcW w:w="1780" w:type="dxa"/>
            <w:tcBorders/>
            <w:vAlign w:val="center"/>
          </w:tcPr>
          <w:p>
            <w:pPr>
              <w:jc w:val="right"/>
            </w:pPr>
            <w:r>
              <w:rPr>
                <w:rFonts w:ascii="宋体" w:eastAsia="宋体" w:hAnsi="宋体" w:cs="宋体"/>
                <w:b w:val="0"/>
                <w:i w:val="0"/>
                <w:color w:val="000000"/>
                <w:sz w:val="18"/>
              </w:rPr>
              <w:t xml:space="preserve">231.71</w:t>
            </w:r>
          </w:p>
        </w:tc>
        <w:tc>
          <w:tcPr>
            <w:tcW w:w="1780" w:type="dxa"/>
            <w:tcBorders/>
            <w:vAlign w:val="center"/>
          </w:tcPr>
          <w:p>
            <w:pPr>
              <w:jc w:val="right"/>
            </w:pPr>
            <w:r>
              <w:rPr>
                <w:rFonts w:ascii="宋体" w:eastAsia="宋体" w:hAnsi="宋体" w:cs="宋体"/>
                <w:b w:val="0"/>
                <w:i w:val="0"/>
                <w:color w:val="000000"/>
                <w:sz w:val="18"/>
              </w:rPr>
              <w:t xml:space="preserve">226.80</w:t>
            </w:r>
          </w:p>
        </w:tc>
        <w:tc>
          <w:tcPr>
            <w:tcW w:w="1772" w:type="dxa"/>
            <w:tcBorders/>
            <w:vAlign w:val="center"/>
          </w:tcPr>
          <w:p>
            <w:pPr>
              <w:jc w:val="right"/>
            </w:pPr>
            <w:r>
              <w:rPr>
                <w:rFonts w:ascii="宋体" w:eastAsia="宋体" w:hAnsi="宋体" w:cs="宋体"/>
                <w:b w:val="0"/>
                <w:i w:val="0"/>
                <w:color w:val="000000"/>
                <w:sz w:val="18"/>
              </w:rPr>
              <w:t xml:space="preserve">4.91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226.80</w:t>
            </w:r>
          </w:p>
        </w:tc>
        <w:tc>
          <w:tcPr>
            <w:tcW w:w="1780" w:type="dxa"/>
            <w:tcBorders/>
            <w:vAlign w:val="center"/>
          </w:tcPr>
          <w:p>
            <w:pPr>
              <w:jc w:val="right"/>
            </w:pPr>
            <w:r>
              <w:rPr>
                <w:rFonts w:ascii="宋体" w:eastAsia="宋体" w:hAnsi="宋体" w:cs="宋体"/>
                <w:b w:val="0"/>
                <w:i w:val="0"/>
                <w:color w:val="000000"/>
                <w:sz w:val="18"/>
              </w:rPr>
              <w:t xml:space="preserve">226.80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2082899</w:t>
            </w:r>
          </w:p>
        </w:tc>
        <w:tc>
          <w:tcPr>
            <w:tcW w:w="4300" w:type="dxa"/>
            <w:tcBorders/>
            <w:vAlign w:val="center"/>
          </w:tcPr>
          <w:p>
            <w:pPr>
              <w:jc w:val="left"/>
            </w:pPr>
            <w:r>
              <w:rPr>
                <w:rFonts w:ascii="宋体" w:eastAsia="宋体" w:hAnsi="宋体" w:cs="宋体"/>
                <w:b w:val="0"/>
                <w:i w:val="0"/>
                <w:color w:val="000000"/>
                <w:sz w:val="18"/>
              </w:rPr>
              <w:t xml:space="preserve">其他退役军人事务管理支出</w:t>
            </w:r>
          </w:p>
        </w:tc>
        <w:tc>
          <w:tcPr>
            <w:tcW w:w="1780" w:type="dxa"/>
            <w:tcBorders/>
            <w:vAlign w:val="center"/>
          </w:tcPr>
          <w:p>
            <w:pPr>
              <w:jc w:val="right"/>
            </w:pPr>
            <w:r>
              <w:rPr>
                <w:rFonts w:ascii="宋体" w:eastAsia="宋体" w:hAnsi="宋体" w:cs="宋体"/>
                <w:b w:val="0"/>
                <w:i w:val="0"/>
                <w:color w:val="000000"/>
                <w:sz w:val="18"/>
              </w:rPr>
              <w:t xml:space="preserve">4.91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15.15</w:t>
            </w:r>
          </w:p>
        </w:tc>
        <w:tc>
          <w:tcPr>
            <w:tcW w:w="1780" w:type="dxa"/>
            <w:tcBorders/>
            <w:vAlign w:val="center"/>
          </w:tcPr>
          <w:p>
            <w:pPr>
              <w:jc w:val="right"/>
            </w:pPr>
            <w:r>
              <w:rPr>
                <w:rFonts w:ascii="宋体" w:eastAsia="宋体" w:hAnsi="宋体" w:cs="宋体"/>
                <w:b w:val="0"/>
                <w:i w:val="0"/>
                <w:color w:val="000000"/>
                <w:sz w:val="18"/>
              </w:rPr>
              <w:t xml:space="preserve">15.15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15.15</w:t>
            </w:r>
          </w:p>
        </w:tc>
        <w:tc>
          <w:tcPr>
            <w:tcW w:w="1780" w:type="dxa"/>
            <w:tcBorders/>
            <w:vAlign w:val="center"/>
          </w:tcPr>
          <w:p>
            <w:pPr>
              <w:jc w:val="right"/>
            </w:pPr>
            <w:r>
              <w:rPr>
                <w:rFonts w:ascii="宋体" w:eastAsia="宋体" w:hAnsi="宋体" w:cs="宋体"/>
                <w:b w:val="0"/>
                <w:i w:val="0"/>
                <w:color w:val="000000"/>
                <w:sz w:val="18"/>
              </w:rPr>
              <w:t xml:space="preserve">15.15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15.15</w:t>
            </w:r>
          </w:p>
        </w:tc>
        <w:tc>
          <w:tcPr>
            <w:tcW w:w="1780" w:type="dxa"/>
            <w:tcBorders/>
            <w:vAlign w:val="center"/>
          </w:tcPr>
          <w:p>
            <w:pPr>
              <w:jc w:val="right"/>
            </w:pPr>
            <w:r>
              <w:rPr>
                <w:rFonts w:ascii="宋体" w:eastAsia="宋体" w:hAnsi="宋体" w:cs="宋体"/>
                <w:b w:val="0"/>
                <w:i w:val="0"/>
                <w:color w:val="000000"/>
                <w:sz w:val="18"/>
              </w:rPr>
              <w:t xml:space="preserve">15.15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29.92</w:t>
            </w:r>
          </w:p>
        </w:tc>
        <w:tc>
          <w:tcPr>
            <w:tcW w:w="1780" w:type="dxa"/>
            <w:tcBorders/>
            <w:vAlign w:val="center"/>
          </w:tcPr>
          <w:p>
            <w:pPr>
              <w:jc w:val="right"/>
            </w:pPr>
            <w:r>
              <w:rPr>
                <w:rFonts w:ascii="宋体" w:eastAsia="宋体" w:hAnsi="宋体" w:cs="宋体"/>
                <w:b w:val="0"/>
                <w:i w:val="0"/>
                <w:color w:val="000000"/>
                <w:sz w:val="18"/>
              </w:rPr>
              <w:t xml:space="preserve">29.92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29.92</w:t>
            </w:r>
          </w:p>
        </w:tc>
        <w:tc>
          <w:tcPr>
            <w:tcW w:w="1780" w:type="dxa"/>
            <w:tcBorders/>
            <w:vAlign w:val="center"/>
          </w:tcPr>
          <w:p>
            <w:pPr>
              <w:jc w:val="right"/>
            </w:pPr>
            <w:r>
              <w:rPr>
                <w:rFonts w:ascii="宋体" w:eastAsia="宋体" w:hAnsi="宋体" w:cs="宋体"/>
                <w:b w:val="0"/>
                <w:i w:val="0"/>
                <w:color w:val="000000"/>
                <w:sz w:val="18"/>
              </w:rPr>
              <w:t xml:space="preserve">29.92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29.92</w:t>
            </w:r>
          </w:p>
        </w:tc>
        <w:tc>
          <w:tcPr>
            <w:tcW w:w="1780" w:type="dxa"/>
            <w:tcBorders/>
            <w:vAlign w:val="center"/>
          </w:tcPr>
          <w:p>
            <w:pPr>
              <w:jc w:val="right"/>
            </w:pPr>
            <w:r>
              <w:rPr>
                <w:rFonts w:ascii="宋体" w:eastAsia="宋体" w:hAnsi="宋体" w:cs="宋体"/>
                <w:b w:val="0"/>
                <w:i w:val="0"/>
                <w:color w:val="000000"/>
                <w:sz w:val="18"/>
              </w:rPr>
              <w:t xml:space="preserve">29.92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单位：辽宁省沈阳市浑南区退役军人事务服务中心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283.19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19.61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75.43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1.98</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4.72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5.91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8.37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111.41</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30.93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12.50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15.15</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1.35</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0.16</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29.92</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1.76</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1.02</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2.14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283.19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19.61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单位：辽宁省沈阳市浑南区退役军人事务服务中心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单位：辽宁省沈阳市浑南区退役军人事务服务中心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单位：辽宁省沈阳市浑南区退役军人事务服务中心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703"/>
        <w:gridCol w:w="703"/>
        <w:gridCol w:w="703"/>
        <w:gridCol w:w="666"/>
        <w:gridCol w:w="666"/>
        <w:gridCol w:w="666"/>
        <w:gridCol w:w="666"/>
        <w:gridCol w:w="666"/>
        <w:gridCol w:w="666"/>
        <w:gridCol w:w="666"/>
        <w:gridCol w:w="666"/>
        <w:gridCol w:w="925"/>
        <w:gridCol w:w="925"/>
        <w:gridCol w:w="925"/>
        <w:gridCol w:w="925"/>
        <w:gridCol w:w="925"/>
        <w:gridCol w:w="1850"/>
        <w:gridCol w:w="925"/>
      </w:tblGrid>
      <w:tr>
        <w:trPr>
          <w:trHeight w:hRule="exact" w:val="448"/>
          <w:jc w:val="center"/>
        </w:trPr>
        <w:tc>
          <w:tcPr>
            <w:tcW w:w="14837" w:type="dxa"/>
            <w:gridSpan w:val="18"/>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4"/>
              </w:rPr>
              <w:t xml:space="preserve">部门（单位）整体绩效自评表</w:t>
            </w:r>
          </w:p>
        </w:tc>
      </w:tr>
      <w:tr>
        <w:trPr>
          <w:trHeight w:hRule="exact" w:val="416"/>
          <w:jc w:val="center"/>
        </w:trPr>
        <w:tc>
          <w:tcPr>
            <w:tcW w:w="14837" w:type="dxa"/>
            <w:gridSpan w:val="18"/>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6"/>
              </w:rPr>
              <w:t xml:space="preserve">(2024年度)</w:t>
            </w:r>
          </w:p>
        </w:tc>
      </w:tr>
      <w:tr>
        <w:trPr>
          <w:trHeight w:hRule="exact" w:val="304"/>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部门（单位）名称</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041002沈阳市浑南区退役军人事务服务中心-210112000</w:t>
            </w:r>
          </w:p>
        </w:tc>
      </w:tr>
      <w:tr>
        <w:trPr>
          <w:trHeight w:hRule="exact" w:val="320"/>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部门年初预算收入金额</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389.16</w:t>
            </w:r>
          </w:p>
        </w:tc>
      </w:tr>
      <w:tr>
        <w:trPr>
          <w:trHeight w:hRule="exact" w:val="320"/>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部门年初预算支出金额</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389.16</w:t>
            </w:r>
          </w:p>
        </w:tc>
      </w:tr>
      <w:tr>
        <w:trPr>
          <w:trHeight w:hRule="exact" w:val="320"/>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年度主要任务</w:t>
            </w: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对应项目</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项目下达金额</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项目执行金额</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项目执行率</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分值</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得分</w:t>
            </w:r>
          </w:p>
        </w:tc>
      </w:tr>
      <w:tr>
        <w:trPr>
          <w:trHeight w:hRule="exact" w:val="512"/>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年度主要任务</w:t>
            </w: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基本支出公用经费(保运转)</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7.486993</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7.48</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基本支出公用经费(刚性)</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12.121</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12.12</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基本支出人员经费(保工资)</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216.688495</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216.68</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基本支出人员经费(刚性)</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66.502767</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66.5</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320"/>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年度目标</w:t>
            </w:r>
          </w:p>
        </w:tc>
        <w:tc>
          <w:tcPr>
            <w:tcW w:w="67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年初总体目标</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全年完成情况</w:t>
            </w:r>
          </w:p>
        </w:tc>
      </w:tr>
      <w:tr>
        <w:trPr>
          <w:trHeight w:hRule="exact" w:val="512"/>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年度目标</w:t>
            </w:r>
          </w:p>
        </w:tc>
        <w:tc>
          <w:tcPr>
            <w:tcW w:w="67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顺利完成全年工作计划安排</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顺利完成全年工作计划安排</w:t>
            </w:r>
          </w:p>
        </w:tc>
      </w:tr>
      <w:tr>
        <w:trPr>
          <w:trHeight w:hRule="exact" w:val="512"/>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绩效指标</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一级指标</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二级指标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三级指标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运算符号</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指标值</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度量单位</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全年完成值</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完成程度</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分值</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得分</w:t>
            </w:r>
          </w:p>
        </w:tc>
        <w:tc>
          <w:tcPr>
            <w:tcW w:w="462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偏差原因分析</w:t>
            </w:r>
          </w:p>
        </w:tc>
        <w:tc>
          <w:tcPr>
            <w:tcW w:w="2775"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改进措施</w:t>
            </w:r>
          </w:p>
        </w:tc>
      </w:tr>
      <w:tr>
        <w:trPr>
          <w:trHeight w:hRule="exact" w:val="1024"/>
          <w:jc w:val="center"/>
        </w:trPr>
        <w:tc>
          <w:tcPr>
            <w:tcW w:w="7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绩效指标</w:t>
            </w: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经费保障原因分析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制度保障原因分析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人员保障原因分析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硬件条件保障原因分析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其他原因分析</w:t>
            </w:r>
          </w:p>
        </w:tc>
        <w:tc>
          <w:tcPr>
            <w:tcW w:w="2775"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履职效能</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重点工作履行情况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重点工作办结率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履职效能</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整体工作完成情况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总体工作完成率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工作完成及时率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工作质量达标率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基础管理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依法行政能力</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综合管理水平</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预算执行效率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预算调整率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结转结余变动率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管理效率</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预算绩效目标覆盖率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预算监督管理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预决算公开情况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全部公开</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预算收支管理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预算收入管理规范性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预算支出管理规范性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财务管理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内控制度有效性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制度有效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固定资产利用率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04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政府采购管理违法违规行为发生次数</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次</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运行成本</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成本控制成效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“三公”经费变动率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在职人员控制率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社会效应</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全省创建示范型退役军人服务站挂牌率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服务对象满意度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就业服务对象满意度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90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90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主管部门满意度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上级主管部门满意度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80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80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可持续性</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体制机制改革</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建立拥军优属长效机制</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制度有效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建立制度规范档案管理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规范管理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6"/>
          <w:jc w:val="center"/>
        </w:trPr>
        <w:tc>
          <w:tcPr>
            <w:tcW w:w="7437"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3"/>
              </w:rPr>
              <w:t xml:space="preserve">总评价得分</w:t>
            </w:r>
          </w:p>
        </w:tc>
        <w:tc>
          <w:tcPr>
            <w:tcW w:w="7400"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3"/>
              </w:rPr>
              <w:t xml:space="preserve">100</w:t>
            </w: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结果应用建议</w:t>
            </w:r>
          </w:p>
        </w:tc>
        <w:tc>
          <w:tcPr>
            <w:tcW w:w="532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结果应用建议选项</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具体建议内容</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建议进一步规范预算管理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建议进一步规范预算管理</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建议进一步提升预算执行效率和效益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结果应用建议_建议核减下一年度经费数额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建议消减低效、无效资金或结构调整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建议回收长期沉淀的资金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其他建议</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主管部门审核意见</w:t>
            </w: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建议继续全额安排</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建议继续全额安排</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建议继续安排，按规定调整下一年度预算金额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削减低效、无效资金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对资金结构进行调整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收回长期沉淀的资金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其他意见</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主管部门总体意见</w:t>
            </w:r>
          </w:p>
        </w:tc>
        <w:tc>
          <w:tcPr>
            <w:tcW w:w="12728" w:type="dxa"/>
            <w:gridSpan w:val="15"/>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建议继续全额安排</w:t>
            </w: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财政部门审核意见</w:t>
            </w: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建议继续全额安排</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建议继续安排，按规定调整下一年度预算金额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削减低效、无效资金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对资金结构进行调整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收回长期沉淀的资金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其他意见</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36"/>
          <w:jc w:val="center"/>
        </w:trPr>
        <w:tc>
          <w:tcPr>
            <w:tcW w:w="2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财政部门总体意见</w:t>
            </w:r>
          </w:p>
        </w:tc>
        <w:tc>
          <w:tcPr>
            <w:tcW w:w="12728" w:type="dxa"/>
            <w:gridSpan w:val="15"/>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沈阳市浑南区退役军人事务服务中心-</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94.69%</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按要求完成项目内容</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按照年初预算安排，已完成全年工作任务。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促进残疾人技能提升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技能提升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提高质量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9.47</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99.47</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退役军人服务保障体系建设及运行专项业务经费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沈阳市浑南区退役军人事务服务中心-</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9.38%</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上级文件要求和工作部署，科学制定示范创建工作方案，有效指导示范创建工作，不断健全完善示范建设中的薄弱环节，全面提升服务保障能力再上新台阶。强化思想政治引领，常态化开展法律法规政策宣传，开展志愿服务活动。积极开展就业创业促进活动，搭建就业创业平台，结合实际情况举办线上线下专场招聘推介活动，开展适应性技能性培训等工作。强化服务保障人员能力提升，常态化开展人员政策业务培训。积极开展走访慰问活动，严格落实五关爱、六必访工作要求。积极组建退役军人志愿服务队伍，有效开展志愿服务活动。</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根据年初预算安排，完成年度工作任务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举办转业干部及退役士兵招聘会次数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完全符合</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退役士兵教育培训合格率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慰问部队完成时间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退役军人待遇保障率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持续落实</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0.94</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31.9375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