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24923">
      <w:pPr>
        <w:pStyle w:val="7"/>
        <w:rPr>
          <w:rFonts w:hint="default" w:ascii="黑体" w:eastAsia="黑体"/>
          <w:sz w:val="32"/>
        </w:rPr>
      </w:pPr>
      <w:r>
        <w:rPr>
          <w:rFonts w:ascii="黑体" w:eastAsia="黑体"/>
          <w:sz w:val="32"/>
        </w:rPr>
        <w:t>附件2</w:t>
      </w:r>
    </w:p>
    <w:p w14:paraId="499EA762">
      <w:pPr>
        <w:pStyle w:val="7"/>
        <w:rPr>
          <w:rFonts w:hint="default"/>
          <w:b/>
          <w:sz w:val="44"/>
        </w:rPr>
      </w:pPr>
    </w:p>
    <w:p w14:paraId="37585F0C">
      <w:pPr>
        <w:pStyle w:val="7"/>
        <w:rPr>
          <w:rFonts w:hint="default"/>
          <w:b/>
          <w:sz w:val="44"/>
        </w:rPr>
      </w:pPr>
    </w:p>
    <w:p w14:paraId="1A5C4A39">
      <w:pPr>
        <w:pStyle w:val="7"/>
        <w:rPr>
          <w:rFonts w:hint="default"/>
          <w:b/>
          <w:sz w:val="44"/>
        </w:rPr>
      </w:pPr>
    </w:p>
    <w:p w14:paraId="41E3607F">
      <w:pPr>
        <w:pStyle w:val="7"/>
        <w:rPr>
          <w:rFonts w:hint="default"/>
          <w:b/>
          <w:sz w:val="44"/>
        </w:rPr>
      </w:pPr>
    </w:p>
    <w:p w14:paraId="15D1AD68">
      <w:pPr>
        <w:pStyle w:val="7"/>
        <w:rPr>
          <w:rFonts w:hint="default"/>
          <w:b/>
          <w:sz w:val="44"/>
        </w:rPr>
      </w:pPr>
    </w:p>
    <w:p w14:paraId="73A1EB0B">
      <w:pPr>
        <w:pStyle w:val="7"/>
        <w:rPr>
          <w:rFonts w:hint="default"/>
          <w:b/>
          <w:sz w:val="44"/>
        </w:rPr>
      </w:pPr>
    </w:p>
    <w:p w14:paraId="4C10C6F3">
      <w:pPr>
        <w:spacing w:line="540" w:lineRule="exact"/>
        <w:jc w:val="center"/>
        <w:rPr>
          <w:rFonts w:hint="eastAsia" w:ascii="宋体" w:hAnsi="宋体" w:eastAsia="宋体" w:cs="Times New Roman"/>
          <w:b/>
          <w:sz w:val="48"/>
          <w:szCs w:val="48"/>
          <w:lang w:eastAsia="zh-CN"/>
        </w:rPr>
      </w:pPr>
      <w:r>
        <w:rPr>
          <w:rFonts w:hint="eastAsia" w:ascii="宋体" w:hAnsi="宋体" w:eastAsia="宋体" w:cs="Times New Roman"/>
          <w:b/>
          <w:sz w:val="48"/>
          <w:szCs w:val="48"/>
        </w:rPr>
        <w:t>沈阳市浑南区</w:t>
      </w:r>
      <w:r>
        <w:rPr>
          <w:rFonts w:hint="eastAsia" w:ascii="宋体" w:hAnsi="宋体" w:eastAsia="宋体" w:cs="Times New Roman"/>
          <w:b/>
          <w:sz w:val="48"/>
          <w:szCs w:val="48"/>
          <w:lang w:eastAsia="zh-CN"/>
        </w:rPr>
        <w:t>文化旅游和广播电视局</w:t>
      </w:r>
    </w:p>
    <w:p w14:paraId="71E95670">
      <w:pPr>
        <w:spacing w:line="540" w:lineRule="exact"/>
        <w:jc w:val="center"/>
        <w:rPr>
          <w:rFonts w:hint="eastAsia" w:eastAsia="宋体"/>
          <w:b/>
          <w:sz w:val="40"/>
          <w:szCs w:val="40"/>
          <w:u w:val="single"/>
          <w:lang w:eastAsia="zh-CN"/>
        </w:rPr>
      </w:pPr>
      <w:r>
        <w:rPr>
          <w:rFonts w:hint="eastAsia" w:ascii="宋体" w:hAnsi="宋体" w:eastAsia="宋体" w:cs="Times New Roman"/>
          <w:b/>
          <w:sz w:val="48"/>
          <w:szCs w:val="48"/>
          <w:lang w:eastAsia="zh-CN"/>
        </w:rPr>
        <w:t>2</w:t>
      </w:r>
      <w:r>
        <w:rPr>
          <w:rFonts w:hint="eastAsia" w:ascii="宋体" w:hAnsi="宋体"/>
          <w:b/>
          <w:sz w:val="48"/>
          <w:szCs w:val="48"/>
          <w:lang w:eastAsia="zh-CN"/>
        </w:rPr>
        <w:t>02</w:t>
      </w:r>
      <w:r>
        <w:rPr>
          <w:rFonts w:hint="eastAsia" w:ascii="宋体" w:hAnsi="宋体"/>
          <w:b/>
          <w:sz w:val="48"/>
          <w:szCs w:val="48"/>
          <w:lang w:val="en-US" w:eastAsia="zh-CN"/>
        </w:rPr>
        <w:t>2</w:t>
      </w:r>
      <w:r>
        <w:rPr>
          <w:rFonts w:hint="eastAsia" w:ascii="宋体" w:hAnsi="宋体"/>
          <w:b/>
          <w:sz w:val="48"/>
          <w:szCs w:val="48"/>
        </w:rPr>
        <w:t>决算</w:t>
      </w:r>
      <w:r>
        <w:rPr>
          <w:rFonts w:hint="eastAsia" w:ascii="宋体" w:hAnsi="宋体"/>
          <w:b/>
          <w:sz w:val="48"/>
          <w:szCs w:val="48"/>
          <w:lang w:eastAsia="zh-CN"/>
        </w:rPr>
        <w:t>公开</w:t>
      </w:r>
    </w:p>
    <w:p w14:paraId="7F98FC43">
      <w:pPr>
        <w:pStyle w:val="7"/>
        <w:jc w:val="center"/>
        <w:rPr>
          <w:rFonts w:hint="default" w:ascii="仿宋_GB2312" w:eastAsia="仿宋_GB2312"/>
          <w:b/>
          <w:sz w:val="52"/>
        </w:rPr>
      </w:pPr>
    </w:p>
    <w:p w14:paraId="3A769524">
      <w:pPr>
        <w:pStyle w:val="7"/>
        <w:jc w:val="center"/>
        <w:rPr>
          <w:rFonts w:hint="default" w:ascii="仿宋_GB2312" w:eastAsia="仿宋_GB2312"/>
          <w:b/>
          <w:sz w:val="52"/>
        </w:rPr>
      </w:pPr>
    </w:p>
    <w:p w14:paraId="6CB989E1">
      <w:pPr>
        <w:pStyle w:val="7"/>
        <w:jc w:val="center"/>
        <w:rPr>
          <w:rFonts w:hint="default" w:ascii="Times New Roman" w:eastAsia="Times New Roman"/>
          <w:b/>
          <w:sz w:val="44"/>
          <w:u w:val="single"/>
        </w:rPr>
      </w:pPr>
    </w:p>
    <w:p w14:paraId="1B6FF20D">
      <w:pPr>
        <w:pStyle w:val="7"/>
        <w:jc w:val="center"/>
        <w:rPr>
          <w:rFonts w:hint="default" w:ascii="Times New Roman" w:eastAsia="Times New Roman"/>
          <w:b/>
          <w:sz w:val="44"/>
          <w:u w:val="single"/>
        </w:rPr>
      </w:pPr>
    </w:p>
    <w:p w14:paraId="2A295B88">
      <w:pPr>
        <w:pStyle w:val="7"/>
        <w:jc w:val="center"/>
        <w:rPr>
          <w:rFonts w:hint="default" w:ascii="Times New Roman" w:eastAsia="Times New Roman"/>
          <w:b/>
          <w:sz w:val="44"/>
          <w:u w:val="single"/>
        </w:rPr>
      </w:pPr>
    </w:p>
    <w:p w14:paraId="070E3AB9">
      <w:pPr>
        <w:pStyle w:val="7"/>
        <w:jc w:val="center"/>
        <w:rPr>
          <w:rFonts w:hint="default" w:ascii="Times New Roman" w:eastAsia="Times New Roman"/>
          <w:b/>
          <w:sz w:val="44"/>
          <w:u w:val="single"/>
        </w:rPr>
      </w:pPr>
    </w:p>
    <w:p w14:paraId="7BE728A3">
      <w:pPr>
        <w:pStyle w:val="7"/>
        <w:jc w:val="center"/>
        <w:rPr>
          <w:rFonts w:hint="default" w:ascii="Times New Roman" w:eastAsia="Times New Roman"/>
          <w:b/>
          <w:sz w:val="44"/>
          <w:u w:val="single"/>
        </w:rPr>
      </w:pPr>
    </w:p>
    <w:p w14:paraId="0ECF5D84">
      <w:pPr>
        <w:pStyle w:val="7"/>
        <w:jc w:val="center"/>
        <w:rPr>
          <w:rFonts w:hint="default" w:ascii="Times New Roman" w:eastAsia="Times New Roman"/>
          <w:b/>
          <w:sz w:val="44"/>
          <w:u w:val="single"/>
        </w:rPr>
      </w:pPr>
    </w:p>
    <w:p w14:paraId="55FDBAD0">
      <w:pPr>
        <w:pStyle w:val="7"/>
        <w:jc w:val="center"/>
        <w:rPr>
          <w:rFonts w:hint="default" w:ascii="Times New Roman" w:eastAsia="Times New Roman"/>
          <w:b/>
          <w:sz w:val="44"/>
          <w:u w:val="single"/>
        </w:rPr>
      </w:pPr>
    </w:p>
    <w:p w14:paraId="529B8F61">
      <w:pPr>
        <w:pStyle w:val="7"/>
        <w:jc w:val="center"/>
        <w:rPr>
          <w:rFonts w:hint="default" w:ascii="Times New Roman" w:eastAsia="Times New Roman"/>
          <w:b/>
          <w:sz w:val="44"/>
          <w:u w:val="single"/>
        </w:rPr>
      </w:pPr>
    </w:p>
    <w:p w14:paraId="6A39E3A5">
      <w:pPr>
        <w:pStyle w:val="7"/>
        <w:jc w:val="center"/>
        <w:rPr>
          <w:rFonts w:hint="default" w:ascii="Times New Roman" w:eastAsia="Times New Roman"/>
          <w:b/>
          <w:sz w:val="44"/>
          <w:u w:val="single"/>
        </w:rPr>
      </w:pPr>
    </w:p>
    <w:p w14:paraId="0D4F0B12">
      <w:pPr>
        <w:pStyle w:val="7"/>
        <w:jc w:val="center"/>
        <w:rPr>
          <w:rFonts w:hint="default" w:ascii="Times New Roman" w:eastAsia="Times New Roman"/>
          <w:b/>
          <w:sz w:val="44"/>
          <w:u w:val="single"/>
        </w:rPr>
      </w:pPr>
    </w:p>
    <w:p w14:paraId="7838C0F0">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098BB547">
      <w:pPr>
        <w:pStyle w:val="7"/>
        <w:spacing w:line="560" w:lineRule="exact"/>
        <w:rPr>
          <w:rFonts w:hint="default" w:ascii="Times New Roman" w:eastAsia="Times New Roman"/>
          <w:b/>
          <w:sz w:val="44"/>
          <w:u w:val="single"/>
        </w:rPr>
      </w:pPr>
    </w:p>
    <w:p w14:paraId="26FCDD9A">
      <w:pPr>
        <w:pStyle w:val="7"/>
        <w:spacing w:line="560" w:lineRule="exact"/>
        <w:rPr>
          <w:rFonts w:hint="default" w:ascii="黑体" w:eastAsia="黑体"/>
          <w:sz w:val="32"/>
        </w:rPr>
      </w:pPr>
      <w:r>
        <w:rPr>
          <w:rFonts w:ascii="黑体" w:eastAsia="黑体"/>
          <w:sz w:val="32"/>
        </w:rPr>
        <w:t>第一部分</w:t>
      </w:r>
      <w:r>
        <w:rPr>
          <w:rFonts w:hint="eastAsia" w:ascii="黑体" w:eastAsia="黑体"/>
          <w:sz w:val="32"/>
          <w:lang w:val="en-US" w:eastAsia="zh-CN"/>
        </w:rPr>
        <w:t xml:space="preserve">  </w:t>
      </w:r>
      <w:r>
        <w:rPr>
          <w:rFonts w:hint="eastAsia" w:ascii="黑体" w:hAnsi="黑体" w:eastAsia="黑体"/>
          <w:color w:val="auto"/>
          <w:sz w:val="32"/>
          <w:szCs w:val="32"/>
          <w:highlight w:val="none"/>
          <w:lang w:eastAsia="zh-CN"/>
        </w:rPr>
        <w:t>沈阳市浑南区文化旅游和广播电视局</w:t>
      </w:r>
      <w:r>
        <w:rPr>
          <w:rFonts w:hint="eastAsia" w:ascii="黑体" w:hAnsi="黑体" w:eastAsia="黑体"/>
          <w:color w:val="auto"/>
          <w:sz w:val="32"/>
          <w:szCs w:val="32"/>
          <w:highlight w:val="none"/>
        </w:rPr>
        <w:t>概况</w:t>
      </w:r>
    </w:p>
    <w:p w14:paraId="470E9942">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71092E60">
      <w:pPr>
        <w:pStyle w:val="7"/>
        <w:spacing w:line="560" w:lineRule="exact"/>
        <w:rPr>
          <w:rFonts w:hint="default" w:ascii="仿宋_GB2312" w:eastAsia="仿宋_GB2312"/>
          <w:sz w:val="32"/>
        </w:rPr>
      </w:pPr>
      <w:r>
        <w:rPr>
          <w:rFonts w:ascii="仿宋_GB2312" w:eastAsia="仿宋_GB2312"/>
          <w:sz w:val="32"/>
        </w:rPr>
        <w:t>二、决算单位构成</w:t>
      </w:r>
    </w:p>
    <w:p w14:paraId="0982B966">
      <w:pPr>
        <w:spacing w:line="540" w:lineRule="exact"/>
        <w:outlineLvl w:val="0"/>
        <w:rPr>
          <w:rFonts w:hint="eastAsia" w:ascii="黑体" w:hAnsi="黑体" w:eastAsia="黑体"/>
          <w:color w:val="auto"/>
          <w:sz w:val="32"/>
          <w:szCs w:val="32"/>
          <w:highlight w:val="none"/>
        </w:rPr>
      </w:pPr>
      <w:r>
        <w:rPr>
          <w:rFonts w:ascii="黑体" w:eastAsia="黑体"/>
          <w:sz w:val="32"/>
        </w:rPr>
        <w:t>第二部分</w:t>
      </w:r>
      <w:r>
        <w:rPr>
          <w:rFonts w:hint="eastAsia" w:ascii="黑体" w:eastAsia="黑体"/>
          <w:sz w:val="32"/>
          <w:lang w:val="en-US" w:eastAsia="zh-CN"/>
        </w:rPr>
        <w:t xml:space="preserve">  </w:t>
      </w:r>
      <w:r>
        <w:rPr>
          <w:rFonts w:hint="eastAsia" w:ascii="黑体" w:hAnsi="黑体" w:eastAsia="黑体"/>
          <w:color w:val="auto"/>
          <w:sz w:val="32"/>
          <w:szCs w:val="32"/>
          <w:highlight w:val="none"/>
          <w:lang w:eastAsia="zh-CN"/>
        </w:rPr>
        <w:t>沈阳市浑南区文化旅游和广播电视局202</w:t>
      </w:r>
      <w:r>
        <w:rPr>
          <w:rFonts w:hint="eastAsia" w:ascii="黑体" w:hAnsi="黑体" w:eastAsia="黑体"/>
          <w:color w:val="auto"/>
          <w:sz w:val="32"/>
          <w:szCs w:val="32"/>
          <w:highlight w:val="none"/>
          <w:lang w:val="en-US" w:eastAsia="zh-CN"/>
        </w:rPr>
        <w:t>2</w:t>
      </w:r>
      <w:r>
        <w:rPr>
          <w:rFonts w:hint="eastAsia" w:ascii="黑体" w:hAnsi="黑体" w:eastAsia="黑体"/>
          <w:color w:val="auto"/>
          <w:sz w:val="32"/>
          <w:szCs w:val="32"/>
          <w:highlight w:val="none"/>
        </w:rPr>
        <w:t>年度决算情况说明</w:t>
      </w:r>
    </w:p>
    <w:p w14:paraId="221F2E85">
      <w:pPr>
        <w:pStyle w:val="7"/>
        <w:spacing w:line="560" w:lineRule="exact"/>
        <w:rPr>
          <w:rFonts w:hint="default" w:ascii="仿宋_GB2312" w:eastAsia="仿宋_GB2312"/>
          <w:sz w:val="32"/>
        </w:rPr>
      </w:pPr>
      <w:r>
        <w:rPr>
          <w:rFonts w:ascii="仿宋_GB2312" w:eastAsia="仿宋_GB2312"/>
          <w:sz w:val="32"/>
        </w:rPr>
        <w:t>一、收入支出决算总体情况说明</w:t>
      </w:r>
    </w:p>
    <w:p w14:paraId="5B70DD5F">
      <w:pPr>
        <w:pStyle w:val="7"/>
        <w:spacing w:line="560" w:lineRule="exact"/>
        <w:rPr>
          <w:rFonts w:hint="default" w:ascii="仿宋_GB2312" w:eastAsia="仿宋_GB2312"/>
          <w:sz w:val="32"/>
        </w:rPr>
      </w:pPr>
      <w:r>
        <w:rPr>
          <w:rFonts w:ascii="仿宋_GB2312" w:eastAsia="仿宋_GB2312"/>
          <w:sz w:val="32"/>
        </w:rPr>
        <w:t>二、财政拨款收入支出决算情况说明</w:t>
      </w:r>
    </w:p>
    <w:p w14:paraId="29E06E82">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68C7742E">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65EE217C">
      <w:pPr>
        <w:pStyle w:val="7"/>
        <w:spacing w:line="560" w:lineRule="exact"/>
        <w:rPr>
          <w:rFonts w:hint="default" w:ascii="黑体" w:eastAsia="黑体"/>
          <w:sz w:val="32"/>
        </w:rPr>
      </w:pPr>
      <w:r>
        <w:rPr>
          <w:rFonts w:ascii="仿宋_GB2312" w:eastAsia="仿宋_GB2312"/>
          <w:sz w:val="32"/>
        </w:rPr>
        <w:t>五、其他重要事项的情况说明</w:t>
      </w:r>
    </w:p>
    <w:p w14:paraId="4910AA6B">
      <w:pPr>
        <w:pStyle w:val="7"/>
        <w:spacing w:line="560" w:lineRule="exact"/>
        <w:rPr>
          <w:rFonts w:hint="default" w:ascii="黑体" w:eastAsia="黑体"/>
          <w:sz w:val="32"/>
        </w:rPr>
      </w:pPr>
      <w:r>
        <w:rPr>
          <w:rFonts w:ascii="黑体" w:eastAsia="黑体"/>
          <w:sz w:val="32"/>
        </w:rPr>
        <w:t>第三部分</w:t>
      </w:r>
      <w:r>
        <w:rPr>
          <w:rFonts w:hint="eastAsia" w:ascii="黑体" w:eastAsia="黑体"/>
          <w:sz w:val="32"/>
          <w:lang w:val="en-US" w:eastAsia="zh-CN"/>
        </w:rPr>
        <w:t xml:space="preserve">  </w:t>
      </w:r>
      <w:r>
        <w:rPr>
          <w:rFonts w:ascii="黑体" w:eastAsia="黑体"/>
          <w:sz w:val="32"/>
        </w:rPr>
        <w:t>名词解释</w:t>
      </w:r>
    </w:p>
    <w:p w14:paraId="5B272C82">
      <w:pPr>
        <w:spacing w:line="540" w:lineRule="exact"/>
        <w:outlineLvl w:val="0"/>
        <w:rPr>
          <w:rFonts w:hint="eastAsia" w:ascii="黑体" w:hAnsi="黑体" w:eastAsia="黑体"/>
          <w:color w:val="auto"/>
          <w:sz w:val="32"/>
          <w:szCs w:val="32"/>
          <w:highlight w:val="none"/>
        </w:rPr>
      </w:pPr>
      <w:r>
        <w:rPr>
          <w:rFonts w:ascii="黑体" w:eastAsia="黑体"/>
          <w:sz w:val="32"/>
        </w:rPr>
        <w:t>第四部分</w:t>
      </w:r>
      <w:r>
        <w:rPr>
          <w:rFonts w:hint="eastAsia" w:ascii="黑体" w:eastAsia="黑体"/>
          <w:sz w:val="32"/>
          <w:lang w:val="en-US" w:eastAsia="zh-CN"/>
        </w:rPr>
        <w:t xml:space="preserve">  </w:t>
      </w:r>
      <w:r>
        <w:rPr>
          <w:rFonts w:hint="eastAsia" w:ascii="黑体" w:hAnsi="黑体" w:eastAsia="黑体"/>
          <w:color w:val="auto"/>
          <w:sz w:val="32"/>
          <w:szCs w:val="32"/>
          <w:highlight w:val="none"/>
          <w:lang w:eastAsia="zh-CN"/>
        </w:rPr>
        <w:t>沈阳市浑南区文化旅游和广播电视局202</w:t>
      </w:r>
      <w:r>
        <w:rPr>
          <w:rFonts w:hint="eastAsia" w:ascii="黑体" w:hAnsi="黑体" w:eastAsia="黑体"/>
          <w:color w:val="auto"/>
          <w:sz w:val="32"/>
          <w:szCs w:val="32"/>
          <w:highlight w:val="none"/>
          <w:lang w:val="en-US" w:eastAsia="zh-CN"/>
        </w:rPr>
        <w:t>2</w:t>
      </w:r>
      <w:r>
        <w:rPr>
          <w:rFonts w:hint="eastAsia" w:ascii="黑体" w:hAnsi="黑体" w:eastAsia="黑体"/>
          <w:color w:val="auto"/>
          <w:sz w:val="32"/>
          <w:szCs w:val="32"/>
          <w:highlight w:val="none"/>
        </w:rPr>
        <w:t>年度决算报表</w:t>
      </w:r>
    </w:p>
    <w:p w14:paraId="72F54FEA">
      <w:pPr>
        <w:pStyle w:val="7"/>
        <w:spacing w:line="560" w:lineRule="exact"/>
        <w:rPr>
          <w:rFonts w:hint="default" w:ascii="仿宋_GB2312" w:eastAsia="仿宋_GB2312"/>
          <w:sz w:val="32"/>
        </w:rPr>
      </w:pPr>
      <w:r>
        <w:rPr>
          <w:rFonts w:ascii="仿宋_GB2312" w:eastAsia="仿宋_GB2312"/>
          <w:sz w:val="32"/>
        </w:rPr>
        <w:t>一、202</w:t>
      </w:r>
      <w:r>
        <w:rPr>
          <w:rFonts w:hint="eastAsia" w:ascii="仿宋_GB2312" w:eastAsia="仿宋_GB2312"/>
          <w:sz w:val="32"/>
          <w:lang w:val="en-US" w:eastAsia="zh-CN"/>
        </w:rPr>
        <w:t>2</w:t>
      </w:r>
      <w:r>
        <w:rPr>
          <w:rFonts w:ascii="仿宋_GB2312" w:eastAsia="仿宋_GB2312"/>
          <w:sz w:val="32"/>
        </w:rPr>
        <w:t>年度收入支出决算总表</w:t>
      </w:r>
    </w:p>
    <w:p w14:paraId="0C59E6F0">
      <w:pPr>
        <w:pStyle w:val="7"/>
        <w:spacing w:line="560" w:lineRule="exact"/>
        <w:rPr>
          <w:rFonts w:hint="default" w:ascii="仿宋_GB2312" w:eastAsia="仿宋_GB2312"/>
          <w:sz w:val="32"/>
        </w:rPr>
      </w:pPr>
      <w:r>
        <w:rPr>
          <w:rFonts w:ascii="仿宋_GB2312" w:eastAsia="仿宋_GB2312"/>
          <w:sz w:val="32"/>
        </w:rPr>
        <w:t>二、202</w:t>
      </w:r>
      <w:r>
        <w:rPr>
          <w:rFonts w:hint="eastAsia" w:ascii="仿宋_GB2312" w:eastAsia="仿宋_GB2312"/>
          <w:sz w:val="32"/>
          <w:lang w:val="en-US" w:eastAsia="zh-CN"/>
        </w:rPr>
        <w:t>2</w:t>
      </w:r>
      <w:r>
        <w:rPr>
          <w:rFonts w:ascii="仿宋_GB2312" w:eastAsia="仿宋_GB2312"/>
          <w:sz w:val="32"/>
        </w:rPr>
        <w:t>年度收入决算表</w:t>
      </w:r>
    </w:p>
    <w:p w14:paraId="064D4A9F">
      <w:pPr>
        <w:pStyle w:val="7"/>
        <w:spacing w:line="560" w:lineRule="exact"/>
        <w:rPr>
          <w:rFonts w:hint="default" w:ascii="仿宋_GB2312" w:eastAsia="仿宋_GB2312"/>
          <w:sz w:val="32"/>
        </w:rPr>
      </w:pPr>
      <w:r>
        <w:rPr>
          <w:rFonts w:ascii="仿宋_GB2312" w:eastAsia="仿宋_GB2312"/>
          <w:sz w:val="32"/>
        </w:rPr>
        <w:t>三、202</w:t>
      </w:r>
      <w:r>
        <w:rPr>
          <w:rFonts w:hint="eastAsia" w:ascii="仿宋_GB2312" w:eastAsia="仿宋_GB2312"/>
          <w:sz w:val="32"/>
          <w:lang w:val="en-US" w:eastAsia="zh-CN"/>
        </w:rPr>
        <w:t>2</w:t>
      </w:r>
      <w:r>
        <w:rPr>
          <w:rFonts w:ascii="仿宋_GB2312" w:eastAsia="仿宋_GB2312"/>
          <w:sz w:val="32"/>
        </w:rPr>
        <w:t>年度支出决算表</w:t>
      </w:r>
    </w:p>
    <w:p w14:paraId="1A9B2B49">
      <w:pPr>
        <w:pStyle w:val="7"/>
        <w:spacing w:line="560" w:lineRule="exact"/>
        <w:rPr>
          <w:rFonts w:hint="default" w:ascii="仿宋_GB2312" w:eastAsia="仿宋_GB2312"/>
          <w:sz w:val="32"/>
        </w:rPr>
      </w:pPr>
      <w:r>
        <w:rPr>
          <w:rFonts w:ascii="仿宋_GB2312" w:eastAsia="仿宋_GB2312"/>
          <w:sz w:val="32"/>
        </w:rPr>
        <w:t>四、202</w:t>
      </w:r>
      <w:r>
        <w:rPr>
          <w:rFonts w:hint="eastAsia" w:ascii="仿宋_GB2312" w:eastAsia="仿宋_GB2312"/>
          <w:sz w:val="32"/>
          <w:lang w:val="en-US" w:eastAsia="zh-CN"/>
        </w:rPr>
        <w:t>2</w:t>
      </w:r>
      <w:r>
        <w:rPr>
          <w:rFonts w:ascii="仿宋_GB2312" w:eastAsia="仿宋_GB2312"/>
          <w:sz w:val="32"/>
        </w:rPr>
        <w:t>年度财政拨款收入支出决算总表</w:t>
      </w:r>
    </w:p>
    <w:p w14:paraId="3898465E">
      <w:pPr>
        <w:pStyle w:val="7"/>
        <w:spacing w:line="560" w:lineRule="exact"/>
        <w:rPr>
          <w:rFonts w:hint="default" w:ascii="仿宋_GB2312" w:eastAsia="仿宋_GB2312"/>
          <w:sz w:val="32"/>
        </w:rPr>
      </w:pPr>
      <w:r>
        <w:rPr>
          <w:rFonts w:ascii="仿宋_GB2312" w:eastAsia="仿宋_GB2312"/>
          <w:sz w:val="32"/>
        </w:rPr>
        <w:t>五、202</w:t>
      </w:r>
      <w:r>
        <w:rPr>
          <w:rFonts w:hint="eastAsia" w:ascii="仿宋_GB2312" w:eastAsia="仿宋_GB2312"/>
          <w:sz w:val="32"/>
          <w:lang w:val="en-US" w:eastAsia="zh-CN"/>
        </w:rPr>
        <w:t>2</w:t>
      </w:r>
      <w:r>
        <w:rPr>
          <w:rFonts w:ascii="仿宋_GB2312" w:eastAsia="仿宋_GB2312"/>
          <w:sz w:val="32"/>
        </w:rPr>
        <w:t>年度一般公共预算财政拨款支出决算表</w:t>
      </w:r>
    </w:p>
    <w:p w14:paraId="5FED0B25">
      <w:pPr>
        <w:pStyle w:val="7"/>
        <w:spacing w:line="560" w:lineRule="exact"/>
        <w:rPr>
          <w:rFonts w:hint="default" w:ascii="仿宋_GB2312" w:eastAsia="仿宋_GB2312"/>
          <w:sz w:val="32"/>
        </w:rPr>
      </w:pPr>
      <w:r>
        <w:rPr>
          <w:rFonts w:ascii="仿宋_GB2312" w:eastAsia="仿宋_GB2312"/>
          <w:sz w:val="32"/>
        </w:rPr>
        <w:t>六、202</w:t>
      </w:r>
      <w:r>
        <w:rPr>
          <w:rFonts w:hint="eastAsia" w:ascii="仿宋_GB2312" w:eastAsia="仿宋_GB2312"/>
          <w:sz w:val="32"/>
          <w:lang w:val="en-US" w:eastAsia="zh-CN"/>
        </w:rPr>
        <w:t>2</w:t>
      </w:r>
      <w:r>
        <w:rPr>
          <w:rFonts w:ascii="仿宋_GB2312" w:eastAsia="仿宋_GB2312"/>
          <w:sz w:val="32"/>
        </w:rPr>
        <w:t>年度一般公共预算财政拨款基本支出决算表</w:t>
      </w:r>
    </w:p>
    <w:p w14:paraId="4FD901AB">
      <w:pPr>
        <w:pStyle w:val="7"/>
        <w:spacing w:line="560" w:lineRule="exact"/>
        <w:rPr>
          <w:rFonts w:hint="default" w:ascii="仿宋_GB2312" w:eastAsia="仿宋_GB2312"/>
          <w:sz w:val="32"/>
        </w:rPr>
      </w:pPr>
      <w:r>
        <w:rPr>
          <w:rFonts w:ascii="仿宋_GB2312" w:eastAsia="仿宋_GB2312"/>
          <w:sz w:val="32"/>
        </w:rPr>
        <w:t>七、202</w:t>
      </w:r>
      <w:r>
        <w:rPr>
          <w:rFonts w:hint="eastAsia" w:ascii="仿宋_GB2312" w:eastAsia="仿宋_GB2312"/>
          <w:sz w:val="32"/>
          <w:lang w:val="en-US" w:eastAsia="zh-CN"/>
        </w:rPr>
        <w:t>2</w:t>
      </w:r>
      <w:r>
        <w:rPr>
          <w:rFonts w:ascii="仿宋_GB2312" w:eastAsia="仿宋_GB2312"/>
          <w:sz w:val="32"/>
        </w:rPr>
        <w:t>年度政府性基金预算财政拨款收入支出决算表</w:t>
      </w:r>
    </w:p>
    <w:p w14:paraId="4F68F521">
      <w:pPr>
        <w:pStyle w:val="7"/>
        <w:spacing w:line="560" w:lineRule="exact"/>
        <w:rPr>
          <w:rFonts w:hint="default" w:ascii="仿宋_GB2312" w:eastAsia="仿宋_GB2312"/>
          <w:sz w:val="32"/>
        </w:rPr>
      </w:pPr>
      <w:r>
        <w:rPr>
          <w:rFonts w:ascii="仿宋_GB2312" w:eastAsia="仿宋_GB2312"/>
          <w:sz w:val="32"/>
        </w:rPr>
        <w:t>八、202</w:t>
      </w:r>
      <w:r>
        <w:rPr>
          <w:rFonts w:hint="eastAsia" w:ascii="仿宋_GB2312" w:eastAsia="仿宋_GB2312"/>
          <w:sz w:val="32"/>
          <w:lang w:val="en-US" w:eastAsia="zh-CN"/>
        </w:rPr>
        <w:t>2</w:t>
      </w:r>
      <w:r>
        <w:rPr>
          <w:rFonts w:ascii="仿宋_GB2312" w:eastAsia="仿宋_GB2312"/>
          <w:sz w:val="32"/>
        </w:rPr>
        <w:t>年度一般公共预算财政拨款“三公”经费支出决算表</w:t>
      </w:r>
    </w:p>
    <w:p w14:paraId="7265FAE2">
      <w:pPr>
        <w:pStyle w:val="7"/>
        <w:spacing w:line="560" w:lineRule="exact"/>
        <w:rPr>
          <w:rFonts w:hint="default"/>
          <w:b/>
          <w:sz w:val="36"/>
        </w:rPr>
      </w:pPr>
      <w:r>
        <w:rPr>
          <w:rFonts w:ascii="仿宋_GB2312" w:eastAsia="仿宋_GB2312"/>
          <w:sz w:val="32"/>
        </w:rPr>
        <w:t>九、202</w:t>
      </w:r>
      <w:r>
        <w:rPr>
          <w:rFonts w:hint="eastAsia" w:ascii="仿宋_GB2312" w:eastAsia="仿宋_GB2312"/>
          <w:sz w:val="32"/>
          <w:lang w:val="en-US" w:eastAsia="zh-CN"/>
        </w:rPr>
        <w:t>2</w:t>
      </w:r>
      <w:r>
        <w:rPr>
          <w:rFonts w:ascii="仿宋_GB2312" w:eastAsia="仿宋_GB2312"/>
          <w:sz w:val="32"/>
        </w:rPr>
        <w:t>年度国有资本经营预算财政拨款支出决算表</w:t>
      </w:r>
    </w:p>
    <w:p w14:paraId="07793137">
      <w:pPr>
        <w:spacing w:line="540" w:lineRule="exact"/>
        <w:jc w:val="center"/>
        <w:outlineLvl w:val="0"/>
        <w:rPr>
          <w:rFonts w:hint="eastAsia" w:ascii="宋体" w:hAnsi="宋体"/>
          <w:b/>
          <w:color w:val="auto"/>
          <w:sz w:val="36"/>
          <w:szCs w:val="36"/>
          <w:highlight w:val="none"/>
        </w:rPr>
      </w:pPr>
      <w:r>
        <w:rPr>
          <w:b/>
          <w:sz w:val="36"/>
        </w:rPr>
        <w:t>第一部分</w:t>
      </w:r>
      <w:r>
        <w:rPr>
          <w:rFonts w:hint="eastAsia"/>
          <w:b/>
          <w:sz w:val="36"/>
          <w:lang w:val="en-US" w:eastAsia="zh-CN"/>
        </w:rPr>
        <w:t xml:space="preserve"> </w:t>
      </w:r>
      <w:r>
        <w:rPr>
          <w:rFonts w:hint="eastAsia" w:ascii="宋体" w:hAnsi="宋体"/>
          <w:b/>
          <w:color w:val="auto"/>
          <w:sz w:val="36"/>
          <w:szCs w:val="36"/>
          <w:highlight w:val="none"/>
          <w:lang w:eastAsia="zh-CN"/>
        </w:rPr>
        <w:t>沈阳市浑南区文化旅游和广播电视局</w:t>
      </w:r>
      <w:r>
        <w:rPr>
          <w:rFonts w:hint="eastAsia" w:ascii="宋体" w:hAnsi="宋体"/>
          <w:b/>
          <w:color w:val="auto"/>
          <w:sz w:val="36"/>
          <w:szCs w:val="36"/>
          <w:highlight w:val="none"/>
        </w:rPr>
        <w:t>概况</w:t>
      </w:r>
    </w:p>
    <w:p w14:paraId="088B5259">
      <w:pPr>
        <w:pStyle w:val="7"/>
        <w:spacing w:line="560" w:lineRule="exact"/>
        <w:rPr>
          <w:rFonts w:hint="default" w:ascii="黑体" w:eastAsia="黑体"/>
          <w:sz w:val="32"/>
        </w:rPr>
      </w:pPr>
    </w:p>
    <w:p w14:paraId="040E887C">
      <w:pPr>
        <w:pStyle w:val="7"/>
        <w:spacing w:line="560" w:lineRule="exact"/>
        <w:ind w:firstLine="640"/>
        <w:rPr>
          <w:rFonts w:hint="default" w:ascii="黑体" w:eastAsia="黑体"/>
          <w:sz w:val="32"/>
        </w:rPr>
      </w:pPr>
      <w:r>
        <w:rPr>
          <w:rFonts w:ascii="黑体" w:eastAsia="黑体"/>
          <w:sz w:val="32"/>
        </w:rPr>
        <w:t>一、主要职责</w:t>
      </w:r>
    </w:p>
    <w:p w14:paraId="5E94771A">
      <w:pPr>
        <w:pStyle w:val="11"/>
        <w:keepNext w:val="0"/>
        <w:keepLines w:val="0"/>
        <w:widowControl w:val="0"/>
        <w:shd w:val="clear" w:color="auto" w:fill="auto"/>
        <w:bidi w:val="0"/>
        <w:spacing w:before="0" w:after="0" w:line="572" w:lineRule="exact"/>
        <w:ind w:left="0" w:right="0" w:firstLine="640"/>
        <w:jc w:val="both"/>
        <w:rPr>
          <w:color w:val="auto"/>
          <w:highlight w:val="none"/>
        </w:rPr>
      </w:pPr>
      <w:r>
        <w:rPr>
          <w:color w:val="auto"/>
          <w:spacing w:val="0"/>
          <w:w w:val="100"/>
          <w:position w:val="0"/>
          <w:highlight w:val="none"/>
        </w:rPr>
        <w:t>沈阳市浑南区文化旅游和广播电视局是区政府工作部门，为正处级，加挂沈阳市浑南区体育局牌子。</w:t>
      </w:r>
    </w:p>
    <w:p w14:paraId="13060BA2">
      <w:pPr>
        <w:pStyle w:val="11"/>
        <w:keepNext w:val="0"/>
        <w:keepLines w:val="0"/>
        <w:widowControl w:val="0"/>
        <w:shd w:val="clear" w:color="auto" w:fill="auto"/>
        <w:bidi w:val="0"/>
        <w:spacing w:before="0" w:after="0" w:line="572" w:lineRule="exact"/>
        <w:ind w:left="0" w:right="0" w:firstLine="640"/>
        <w:jc w:val="both"/>
        <w:rPr>
          <w:rFonts w:hint="eastAsia"/>
          <w:color w:val="auto"/>
          <w:spacing w:val="0"/>
          <w:w w:val="100"/>
          <w:position w:val="0"/>
          <w:highlight w:val="none"/>
        </w:rPr>
      </w:pPr>
      <w:r>
        <w:rPr>
          <w:rFonts w:hint="eastAsia"/>
          <w:color w:val="auto"/>
          <w:spacing w:val="0"/>
          <w:w w:val="100"/>
          <w:position w:val="0"/>
          <w:highlight w:val="none"/>
        </w:rPr>
        <w:t xml:space="preserve">沈阳市浑南区文化旅游和广播电视局贯彻落实党中央关于文化旅游、广播电视、文物保护和体育管理的方针政策和决策部署及省委、市委具体要求，在履行职责过程中坚持和加强党对文化旅游、广播电视、文物保护和体育管理工作的集中统一领导。主要职责是: </w:t>
      </w:r>
    </w:p>
    <w:p w14:paraId="373D56E9">
      <w:pPr>
        <w:pStyle w:val="11"/>
        <w:keepNext w:val="0"/>
        <w:keepLines w:val="0"/>
        <w:widowControl w:val="0"/>
        <w:numPr>
          <w:ilvl w:val="0"/>
          <w:numId w:val="1"/>
        </w:numPr>
        <w:shd w:val="clear" w:color="auto" w:fill="auto"/>
        <w:bidi w:val="0"/>
        <w:spacing w:before="0" w:after="0" w:line="572" w:lineRule="exact"/>
        <w:ind w:left="0" w:right="0" w:firstLine="640"/>
        <w:jc w:val="both"/>
        <w:rPr>
          <w:rFonts w:hint="eastAsia"/>
          <w:color w:val="auto"/>
          <w:spacing w:val="0"/>
          <w:w w:val="100"/>
          <w:position w:val="0"/>
          <w:highlight w:val="none"/>
          <w:lang w:eastAsia="zh-CN"/>
        </w:rPr>
      </w:pPr>
      <w:r>
        <w:rPr>
          <w:rFonts w:hint="eastAsia"/>
          <w:color w:val="auto"/>
          <w:spacing w:val="0"/>
          <w:w w:val="100"/>
          <w:position w:val="0"/>
          <w:highlight w:val="none"/>
        </w:rPr>
        <w:t>贯彻执行国家文化旅游、广播电视、文物保护、体育 产业工作的方针、政策和法律、法规、规章及省、市有关要求</w:t>
      </w:r>
      <w:r>
        <w:rPr>
          <w:rFonts w:hint="eastAsia"/>
          <w:color w:val="auto"/>
          <w:spacing w:val="0"/>
          <w:w w:val="100"/>
          <w:position w:val="0"/>
          <w:highlight w:val="none"/>
          <w:lang w:eastAsia="zh-CN"/>
        </w:rPr>
        <w:t>。</w:t>
      </w:r>
    </w:p>
    <w:p w14:paraId="000F8216">
      <w:pPr>
        <w:pStyle w:val="11"/>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spacing w:val="0"/>
          <w:w w:val="100"/>
          <w:position w:val="0"/>
          <w:highlight w:val="none"/>
        </w:rPr>
        <w:t xml:space="preserve">拟订全区文化旅游、广播电视、文物保护、体育工作 发展规划并组织实施，指导特色文化旅游体育产业建设与发展, 推进文化、旅游和体育融合发展，推进文化、旅游、体育、广播 电视等领域的体制机制改革。 </w:t>
      </w:r>
    </w:p>
    <w:p w14:paraId="7F068EF4">
      <w:pPr>
        <w:pStyle w:val="11"/>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spacing w:val="0"/>
          <w:w w:val="100"/>
          <w:position w:val="0"/>
          <w:highlight w:val="none"/>
        </w:rPr>
        <w:t>指导、管理全区文化艺术事业，指导艺术创作生产， 扶持体现社会主义核心价值观、具有导向性代表性示范性的文艺 IP 作品，推动各门类艺术、各艺术品种发展。</w:t>
      </w:r>
    </w:p>
    <w:p w14:paraId="1820C239">
      <w:pPr>
        <w:pStyle w:val="11"/>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spacing w:val="0"/>
          <w:w w:val="100"/>
          <w:position w:val="0"/>
          <w:highlight w:val="none"/>
        </w:rPr>
        <w:t xml:space="preserve">推进全区文化旅游、广播电视、体育领域的公共服务， 规划、引导公共文化产品生产和文化旅游体育设施建设，深入实 施文化惠民工程，推进基本公共文化服务标准化、均等化，指导 全区文化馆（站 )、图书馆和基层文化建设；指导全区公共体育设 施建设及监督管理。 </w:t>
      </w:r>
    </w:p>
    <w:p w14:paraId="794A31CA">
      <w:pPr>
        <w:pStyle w:val="11"/>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spacing w:val="0"/>
          <w:w w:val="100"/>
          <w:position w:val="0"/>
          <w:highlight w:val="none"/>
        </w:rPr>
        <w:t>管理全区重大文化、旅游、体育活动，指导区重点文 化旅療</w:t>
      </w:r>
      <w:r>
        <w:rPr>
          <w:rFonts w:hint="eastAsia"/>
          <w:color w:val="auto"/>
          <w:spacing w:val="0"/>
          <w:w w:val="100"/>
          <w:position w:val="0"/>
          <w:highlight w:val="none"/>
          <w:lang w:eastAsia="zh-CN"/>
        </w:rPr>
        <w:t>体育设施建设</w:t>
      </w:r>
      <w:r>
        <w:rPr>
          <w:rFonts w:hint="eastAsia"/>
          <w:color w:val="auto"/>
          <w:spacing w:val="0"/>
          <w:w w:val="100"/>
          <w:position w:val="0"/>
          <w:highlight w:val="none"/>
        </w:rPr>
        <w:t xml:space="preserve">、組象全区文化旅療体育整体形象和重点品 牌推广，制定全区文化旅游体育市场开发规划并组织实施，指导、 推进全域旅游。 </w:t>
      </w:r>
    </w:p>
    <w:p w14:paraId="707E0399">
      <w:pPr>
        <w:pStyle w:val="11"/>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spacing w:val="0"/>
          <w:w w:val="100"/>
          <w:position w:val="0"/>
          <w:highlight w:val="none"/>
        </w:rPr>
        <w:t>负责全区文物管理、保护和利用工作。</w:t>
      </w:r>
    </w:p>
    <w:p w14:paraId="5C8E3551">
      <w:pPr>
        <w:pStyle w:val="11"/>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 xml:space="preserve">负责全区非物质文化遗产保护，推动非物质文化遗产 的保护、传承、普及、弘扬和振兴。 </w:t>
      </w:r>
    </w:p>
    <w:p w14:paraId="4A050209">
      <w:pPr>
        <w:pStyle w:val="11"/>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统筹规划全区文化旅游体育产业，拟订产业政策，指 导、协调产业发展，推进对外产业交流与合作，指导文化、广播 电视、旅游、体育类会展活动。扶持新型文化旅游和体育业态发 展，组织实施资源普查、挖掘、保护和利用工作，促进文化旅游 体育产业发展。</w:t>
      </w:r>
    </w:p>
    <w:p w14:paraId="69211018">
      <w:pPr>
        <w:pStyle w:val="11"/>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指导、推进全区文化旅游体育与科技创新融合发展 推进文化旅游体育行业信息化、标准化建设，负责文化旅游体育 行业信息统计与发布工作</w:t>
      </w:r>
      <w:r>
        <w:rPr>
          <w:rFonts w:hint="eastAsia"/>
          <w:color w:val="auto"/>
          <w:highlight w:val="none"/>
          <w:lang w:val="en-US" w:eastAsia="zh-CN"/>
        </w:rPr>
        <w:t>.</w:t>
      </w:r>
    </w:p>
    <w:p w14:paraId="481B45EF">
      <w:pPr>
        <w:pStyle w:val="11"/>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 xml:space="preserve">依法对文化艺术、广播电视、文物、旅游和体育行业 -3- 实施行业监管。 </w:t>
      </w:r>
    </w:p>
    <w:p w14:paraId="375269A1">
      <w:pPr>
        <w:pStyle w:val="11"/>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 xml:space="preserve">指导、推进全区文化、旅游、体育市场发展，推进 文化和旅游行业信用体系建设，依法规范文化和旅游市场，负责 全区旅游安全的综合协调和监督管理，承担全区旅游经济运行监 测。 </w:t>
      </w:r>
    </w:p>
    <w:p w14:paraId="37CBFEFB">
      <w:pPr>
        <w:pStyle w:val="11"/>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指导、管理全区文化旅游、广播电视和体育领域对 外及对港澳台交流、合作和宣传、推广工作，组织开展对外及港 澳台文化旅游、广播电视领域的交流活动</w:t>
      </w:r>
      <w:r>
        <w:rPr>
          <w:rFonts w:hint="eastAsia"/>
          <w:color w:val="auto"/>
          <w:highlight w:val="none"/>
          <w:lang w:eastAsia="zh-CN"/>
        </w:rPr>
        <w:t>。</w:t>
      </w:r>
    </w:p>
    <w:p w14:paraId="4B9778CC">
      <w:pPr>
        <w:pStyle w:val="11"/>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负责全区文化、体育社团的日常管理工作</w:t>
      </w:r>
      <w:r>
        <w:rPr>
          <w:rFonts w:hint="eastAsia"/>
          <w:color w:val="auto"/>
          <w:highlight w:val="none"/>
          <w:lang w:eastAsia="zh-CN"/>
        </w:rPr>
        <w:t>。</w:t>
      </w:r>
    </w:p>
    <w:p w14:paraId="5B87254A">
      <w:pPr>
        <w:pStyle w:val="11"/>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 xml:space="preserve">推动全民健身计划，指导开展群众、社会文化体育 活动，落实国家体育锻炼标准。 </w:t>
      </w:r>
    </w:p>
    <w:p w14:paraId="70F5344F">
      <w:pPr>
        <w:pStyle w:val="11"/>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承担本部门党组织建设相关工作</w:t>
      </w:r>
      <w:r>
        <w:rPr>
          <w:rFonts w:hint="eastAsia"/>
          <w:color w:val="auto"/>
          <w:highlight w:val="none"/>
          <w:lang w:eastAsia="zh-CN"/>
        </w:rPr>
        <w:t>。</w:t>
      </w:r>
    </w:p>
    <w:p w14:paraId="30CDD69F">
      <w:pPr>
        <w:pStyle w:val="11"/>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 xml:space="preserve">督促、指导文化旅游体育行业领域安全生产工作。 </w:t>
      </w:r>
    </w:p>
    <w:p w14:paraId="22F9A1ED">
      <w:pPr>
        <w:pStyle w:val="11"/>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本部门权责清单和政务服务事项清单在区政府门户 网站上公布。</w:t>
      </w:r>
    </w:p>
    <w:p w14:paraId="57882F37">
      <w:pPr>
        <w:pStyle w:val="11"/>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完成区委、区政府交办的其他任务</w:t>
      </w:r>
    </w:p>
    <w:p w14:paraId="27EEA56C">
      <w:pPr>
        <w:pStyle w:val="7"/>
        <w:spacing w:line="560" w:lineRule="exact"/>
        <w:ind w:firstLine="640"/>
        <w:rPr>
          <w:rFonts w:ascii="黑体" w:eastAsia="黑体"/>
          <w:sz w:val="32"/>
        </w:rPr>
      </w:pPr>
      <w:r>
        <w:rPr>
          <w:rFonts w:ascii="黑体" w:eastAsia="黑体"/>
          <w:sz w:val="32"/>
        </w:rPr>
        <w:t>二、决算单位构成</w:t>
      </w:r>
    </w:p>
    <w:p w14:paraId="3B8C083F">
      <w:pPr>
        <w:pStyle w:val="7"/>
        <w:spacing w:line="560" w:lineRule="exact"/>
        <w:ind w:firstLine="640"/>
        <w:rPr>
          <w:rFonts w:hint="default" w:ascii="宋体" w:hAnsi="宋体" w:eastAsia="宋体" w:cs="宋体"/>
          <w:color w:val="auto"/>
          <w:spacing w:val="0"/>
          <w:w w:val="100"/>
          <w:kern w:val="2"/>
          <w:position w:val="0"/>
          <w:sz w:val="30"/>
          <w:szCs w:val="30"/>
          <w:highlight w:val="none"/>
          <w:u w:val="none"/>
          <w:shd w:val="clear" w:color="auto" w:fill="auto"/>
          <w:lang w:val="zh-TW" w:eastAsia="zh-TW" w:bidi="zh-TW"/>
        </w:rPr>
      </w:pPr>
      <w:r>
        <w:rPr>
          <w:rFonts w:hint="eastAsia" w:ascii="宋体" w:hAnsi="宋体" w:eastAsia="宋体" w:cs="宋体"/>
          <w:color w:val="auto"/>
          <w:spacing w:val="0"/>
          <w:w w:val="100"/>
          <w:kern w:val="2"/>
          <w:position w:val="0"/>
          <w:sz w:val="30"/>
          <w:szCs w:val="30"/>
          <w:highlight w:val="none"/>
          <w:u w:val="none"/>
          <w:shd w:val="clear" w:color="auto" w:fill="auto"/>
          <w:lang w:val="zh-TW" w:eastAsia="zh-TW" w:bidi="zh-TW"/>
        </w:rPr>
        <w:t>纳入</w:t>
      </w:r>
      <w:r>
        <w:rPr>
          <w:rFonts w:hint="eastAsia" w:ascii="宋体" w:hAnsi="宋体" w:eastAsia="宋体" w:cs="宋体"/>
          <w:color w:val="auto"/>
          <w:spacing w:val="0"/>
          <w:w w:val="100"/>
          <w:kern w:val="2"/>
          <w:position w:val="0"/>
          <w:sz w:val="30"/>
          <w:szCs w:val="30"/>
          <w:highlight w:val="none"/>
          <w:u w:val="none"/>
          <w:shd w:val="clear" w:color="auto" w:fill="auto"/>
          <w:lang w:val="zh-TW" w:eastAsia="zh-CN" w:bidi="zh-TW"/>
        </w:rPr>
        <w:t>本单位</w:t>
      </w:r>
      <w:r>
        <w:rPr>
          <w:rFonts w:hint="eastAsia" w:ascii="宋体" w:hAnsi="宋体" w:eastAsia="宋体" w:cs="宋体"/>
          <w:color w:val="auto"/>
          <w:spacing w:val="0"/>
          <w:w w:val="100"/>
          <w:kern w:val="2"/>
          <w:position w:val="0"/>
          <w:sz w:val="30"/>
          <w:szCs w:val="30"/>
          <w:highlight w:val="none"/>
          <w:u w:val="none"/>
          <w:shd w:val="clear" w:color="auto" w:fill="auto"/>
          <w:lang w:val="zh-TW" w:eastAsia="zh-TW" w:bidi="zh-TW"/>
        </w:rPr>
        <w:t>20</w:t>
      </w:r>
      <w:r>
        <w:rPr>
          <w:rFonts w:hint="eastAsia" w:ascii="宋体" w:hAnsi="宋体" w:eastAsia="宋体" w:cs="宋体"/>
          <w:color w:val="auto"/>
          <w:spacing w:val="0"/>
          <w:w w:val="100"/>
          <w:kern w:val="2"/>
          <w:position w:val="0"/>
          <w:sz w:val="30"/>
          <w:szCs w:val="30"/>
          <w:highlight w:val="none"/>
          <w:u w:val="none"/>
          <w:shd w:val="clear" w:color="auto" w:fill="auto"/>
          <w:lang w:val="en-US" w:eastAsia="zh-CN" w:bidi="zh-TW"/>
        </w:rPr>
        <w:t>2</w:t>
      </w:r>
      <w:r>
        <w:rPr>
          <w:rFonts w:hint="eastAsia" w:cs="宋体"/>
          <w:color w:val="auto"/>
          <w:spacing w:val="0"/>
          <w:w w:val="100"/>
          <w:kern w:val="2"/>
          <w:position w:val="0"/>
          <w:sz w:val="30"/>
          <w:szCs w:val="30"/>
          <w:highlight w:val="none"/>
          <w:u w:val="none"/>
          <w:shd w:val="clear" w:color="auto" w:fill="auto"/>
          <w:lang w:val="en-US" w:eastAsia="zh-CN" w:bidi="zh-TW"/>
        </w:rPr>
        <w:t>2</w:t>
      </w:r>
      <w:r>
        <w:rPr>
          <w:rFonts w:hint="eastAsia" w:ascii="宋体" w:hAnsi="宋体" w:eastAsia="宋体" w:cs="宋体"/>
          <w:color w:val="auto"/>
          <w:spacing w:val="0"/>
          <w:w w:val="100"/>
          <w:kern w:val="2"/>
          <w:position w:val="0"/>
          <w:sz w:val="30"/>
          <w:szCs w:val="30"/>
          <w:highlight w:val="none"/>
          <w:u w:val="none"/>
          <w:shd w:val="clear" w:color="auto" w:fill="auto"/>
          <w:lang w:val="zh-TW" w:eastAsia="zh-TW" w:bidi="zh-TW"/>
        </w:rPr>
        <w:t>年部门</w:t>
      </w:r>
      <w:r>
        <w:rPr>
          <w:rFonts w:hint="eastAsia" w:ascii="宋体" w:hAnsi="宋体" w:eastAsia="宋体" w:cs="宋体"/>
          <w:color w:val="auto"/>
          <w:spacing w:val="0"/>
          <w:w w:val="100"/>
          <w:kern w:val="2"/>
          <w:position w:val="0"/>
          <w:sz w:val="30"/>
          <w:szCs w:val="30"/>
          <w:highlight w:val="none"/>
          <w:u w:val="none"/>
          <w:shd w:val="clear" w:color="auto" w:fill="auto"/>
          <w:lang w:val="zh-TW" w:eastAsia="zh-CN" w:bidi="zh-TW"/>
        </w:rPr>
        <w:t>决算</w:t>
      </w:r>
      <w:r>
        <w:rPr>
          <w:rFonts w:hint="eastAsia" w:ascii="宋体" w:hAnsi="宋体" w:eastAsia="宋体" w:cs="宋体"/>
          <w:color w:val="auto"/>
          <w:spacing w:val="0"/>
          <w:w w:val="100"/>
          <w:kern w:val="2"/>
          <w:position w:val="0"/>
          <w:sz w:val="30"/>
          <w:szCs w:val="30"/>
          <w:highlight w:val="none"/>
          <w:u w:val="none"/>
          <w:shd w:val="clear" w:color="auto" w:fill="auto"/>
          <w:lang w:val="zh-TW" w:eastAsia="zh-TW" w:bidi="zh-TW"/>
        </w:rPr>
        <w:t>编制范围的是</w:t>
      </w:r>
      <w:r>
        <w:rPr>
          <w:rFonts w:hint="eastAsia" w:cs="宋体"/>
          <w:color w:val="auto"/>
          <w:spacing w:val="0"/>
          <w:w w:val="100"/>
          <w:kern w:val="2"/>
          <w:position w:val="0"/>
          <w:sz w:val="30"/>
          <w:szCs w:val="30"/>
          <w:highlight w:val="none"/>
          <w:u w:val="none"/>
          <w:shd w:val="clear" w:color="auto" w:fill="auto"/>
          <w:lang w:val="zh-TW" w:eastAsia="zh-CN" w:bidi="zh-TW"/>
        </w:rPr>
        <w:t>沈阳市</w:t>
      </w:r>
      <w:r>
        <w:rPr>
          <w:rFonts w:hint="eastAsia" w:ascii="宋体" w:hAnsi="宋体" w:eastAsia="宋体" w:cs="宋体"/>
          <w:color w:val="auto"/>
          <w:spacing w:val="0"/>
          <w:w w:val="100"/>
          <w:kern w:val="2"/>
          <w:position w:val="0"/>
          <w:sz w:val="30"/>
          <w:szCs w:val="30"/>
          <w:highlight w:val="none"/>
          <w:u w:val="none"/>
          <w:shd w:val="clear" w:color="auto" w:fill="auto"/>
          <w:lang w:val="en-US" w:eastAsia="zh-CN" w:bidi="zh-TW"/>
        </w:rPr>
        <w:t>浑南区文化旅游和广播电视局</w:t>
      </w:r>
      <w:r>
        <w:rPr>
          <w:rFonts w:hint="eastAsia" w:ascii="宋体" w:hAnsi="宋体" w:eastAsia="宋体" w:cs="宋体"/>
          <w:color w:val="auto"/>
          <w:spacing w:val="0"/>
          <w:w w:val="100"/>
          <w:kern w:val="2"/>
          <w:position w:val="0"/>
          <w:sz w:val="30"/>
          <w:szCs w:val="30"/>
          <w:highlight w:val="none"/>
          <w:u w:val="none"/>
          <w:shd w:val="clear" w:color="auto" w:fill="auto"/>
          <w:lang w:val="zh-TW" w:eastAsia="zh-TW" w:bidi="zh-TW"/>
        </w:rPr>
        <w:t>本级，本单位无下设机构。</w:t>
      </w:r>
    </w:p>
    <w:p w14:paraId="55CF5792">
      <w:pPr>
        <w:pStyle w:val="7"/>
        <w:spacing w:line="560" w:lineRule="exact"/>
        <w:jc w:val="both"/>
        <w:rPr>
          <w:rFonts w:hint="default"/>
          <w:b/>
          <w:sz w:val="36"/>
        </w:rPr>
      </w:pPr>
    </w:p>
    <w:p w14:paraId="24B3E958">
      <w:pPr>
        <w:pStyle w:val="7"/>
        <w:spacing w:line="560" w:lineRule="exact"/>
        <w:jc w:val="both"/>
        <w:rPr>
          <w:rFonts w:hint="default"/>
          <w:b/>
          <w:sz w:val="36"/>
        </w:rPr>
      </w:pPr>
    </w:p>
    <w:p w14:paraId="7138BC41">
      <w:pPr>
        <w:spacing w:line="540" w:lineRule="exact"/>
        <w:jc w:val="center"/>
        <w:outlineLvl w:val="0"/>
        <w:rPr>
          <w:rFonts w:hint="eastAsia" w:ascii="宋体" w:hAnsi="宋体"/>
          <w:b/>
          <w:color w:val="auto"/>
          <w:sz w:val="36"/>
          <w:szCs w:val="36"/>
          <w:highlight w:val="none"/>
        </w:rPr>
      </w:pPr>
      <w:r>
        <w:rPr>
          <w:rFonts w:hint="eastAsia" w:ascii="宋体" w:hAnsi="宋体"/>
          <w:b/>
          <w:color w:val="auto"/>
          <w:sz w:val="36"/>
          <w:szCs w:val="36"/>
          <w:highlight w:val="none"/>
        </w:rPr>
        <w:t>第</w:t>
      </w:r>
      <w:r>
        <w:rPr>
          <w:rFonts w:hint="eastAsia" w:ascii="宋体" w:hAnsi="宋体"/>
          <w:b/>
          <w:color w:val="auto"/>
          <w:sz w:val="36"/>
          <w:szCs w:val="36"/>
          <w:highlight w:val="none"/>
          <w:lang w:val="en-US" w:eastAsia="zh-CN"/>
        </w:rPr>
        <w:t>二</w:t>
      </w:r>
      <w:r>
        <w:rPr>
          <w:rFonts w:hint="eastAsia" w:ascii="宋体" w:hAnsi="宋体"/>
          <w:b/>
          <w:color w:val="auto"/>
          <w:sz w:val="36"/>
          <w:szCs w:val="36"/>
          <w:highlight w:val="none"/>
        </w:rPr>
        <w:t xml:space="preserve">部分 </w:t>
      </w:r>
      <w:r>
        <w:rPr>
          <w:rFonts w:hint="eastAsia" w:ascii="宋体" w:hAnsi="宋体"/>
          <w:b/>
          <w:color w:val="auto"/>
          <w:sz w:val="36"/>
          <w:szCs w:val="36"/>
          <w:highlight w:val="none"/>
          <w:lang w:eastAsia="zh-CN"/>
        </w:rPr>
        <w:t>沈阳市浑南区文化旅游和广播电视局202</w:t>
      </w:r>
      <w:r>
        <w:rPr>
          <w:rFonts w:hint="eastAsia" w:ascii="宋体" w:hAnsi="宋体"/>
          <w:b/>
          <w:color w:val="auto"/>
          <w:sz w:val="36"/>
          <w:szCs w:val="36"/>
          <w:highlight w:val="none"/>
          <w:lang w:val="en-US" w:eastAsia="zh-CN"/>
        </w:rPr>
        <w:t>2</w:t>
      </w:r>
      <w:r>
        <w:rPr>
          <w:rFonts w:hint="eastAsia" w:ascii="宋体" w:hAnsi="宋体"/>
          <w:b/>
          <w:color w:val="auto"/>
          <w:sz w:val="36"/>
          <w:szCs w:val="36"/>
          <w:highlight w:val="none"/>
        </w:rPr>
        <w:t>年度决算情况说明</w:t>
      </w:r>
    </w:p>
    <w:p w14:paraId="2FB4C521">
      <w:pPr>
        <w:pStyle w:val="7"/>
        <w:spacing w:line="560" w:lineRule="exact"/>
        <w:ind w:firstLine="640" w:firstLineChars="200"/>
        <w:rPr>
          <w:rFonts w:hint="default" w:ascii="黑体" w:eastAsia="黑体"/>
          <w:sz w:val="32"/>
        </w:rPr>
      </w:pPr>
    </w:p>
    <w:p w14:paraId="64256399">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1F7D3CDF">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rPr>
        <w:t>2395.29</w:t>
      </w:r>
      <w:r>
        <w:rPr>
          <w:rFonts w:ascii="楷体_GB2312" w:eastAsia="楷体_GB2312"/>
          <w:b/>
          <w:sz w:val="32"/>
        </w:rPr>
        <w:t>万元，包括：</w:t>
      </w:r>
    </w:p>
    <w:p w14:paraId="48D593E2">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2338.46</w:t>
      </w:r>
      <w:r>
        <w:rPr>
          <w:rFonts w:ascii="仿宋_GB2312" w:eastAsia="仿宋_GB2312"/>
          <w:sz w:val="32"/>
        </w:rPr>
        <w:t>万元，占收入总计的</w:t>
      </w:r>
      <w:r>
        <w:rPr>
          <w:rFonts w:hint="eastAsia" w:ascii="仿宋_GB2312" w:eastAsia="仿宋_GB2312"/>
          <w:sz w:val="32"/>
          <w:lang w:val="en-US" w:eastAsia="zh-CN"/>
        </w:rPr>
        <w:t>97.62</w:t>
      </w:r>
      <w:r>
        <w:rPr>
          <w:rFonts w:ascii="仿宋_GB2312" w:eastAsia="仿宋_GB2312"/>
          <w:sz w:val="32"/>
        </w:rPr>
        <w:t>%。其中：一般公共预算财政拨款收入</w:t>
      </w:r>
      <w:r>
        <w:rPr>
          <w:rFonts w:hint="eastAsia" w:ascii="仿宋_GB2312" w:eastAsia="仿宋_GB2312"/>
          <w:sz w:val="32"/>
          <w:lang w:val="en-US" w:eastAsia="zh-CN"/>
        </w:rPr>
        <w:t>2338.46</w:t>
      </w:r>
      <w:r>
        <w:rPr>
          <w:rFonts w:ascii="仿宋_GB2312" w:eastAsia="仿宋_GB2312"/>
          <w:sz w:val="32"/>
        </w:rPr>
        <w:t>万元。</w:t>
      </w:r>
    </w:p>
    <w:p w14:paraId="4C26A6E9">
      <w:pPr>
        <w:pStyle w:val="7"/>
        <w:spacing w:line="560" w:lineRule="exact"/>
        <w:ind w:firstLine="660"/>
        <w:rPr>
          <w:rFonts w:ascii="仿宋_GB2312" w:eastAsia="仿宋_GB2312"/>
          <w:sz w:val="32"/>
        </w:rPr>
      </w:pPr>
      <w:r>
        <w:rPr>
          <w:rFonts w:ascii="仿宋_GB2312" w:eastAsia="仿宋_GB2312"/>
          <w:sz w:val="32"/>
        </w:rPr>
        <w:t>2.其他收入</w:t>
      </w:r>
      <w:r>
        <w:rPr>
          <w:rFonts w:hint="eastAsia" w:ascii="仿宋_GB2312" w:eastAsia="仿宋_GB2312"/>
          <w:sz w:val="32"/>
          <w:lang w:val="en-US" w:eastAsia="zh-CN"/>
        </w:rPr>
        <w:t>37.05</w:t>
      </w:r>
      <w:r>
        <w:rPr>
          <w:rFonts w:ascii="仿宋_GB2312" w:eastAsia="仿宋_GB2312"/>
          <w:sz w:val="32"/>
        </w:rPr>
        <w:t>万元，占收入总计的</w:t>
      </w:r>
      <w:r>
        <w:rPr>
          <w:rFonts w:hint="eastAsia" w:ascii="仿宋_GB2312" w:eastAsia="仿宋_GB2312"/>
          <w:sz w:val="32"/>
          <w:lang w:val="en-US" w:eastAsia="zh-CN"/>
        </w:rPr>
        <w:t>1.55</w:t>
      </w:r>
      <w:r>
        <w:rPr>
          <w:rFonts w:ascii="仿宋_GB2312" w:eastAsia="仿宋_GB2312"/>
          <w:sz w:val="32"/>
        </w:rPr>
        <w:t>%。主要是</w:t>
      </w:r>
      <w:r>
        <w:rPr>
          <w:rFonts w:hint="eastAsia" w:ascii="仿宋_GB2312" w:eastAsia="仿宋_GB2312"/>
          <w:sz w:val="32"/>
          <w:lang w:val="en-US" w:eastAsia="zh-CN"/>
        </w:rPr>
        <w:t>其他文化和旅游支出的</w:t>
      </w:r>
      <w:r>
        <w:rPr>
          <w:rFonts w:ascii="仿宋_GB2312" w:eastAsia="仿宋_GB2312"/>
          <w:sz w:val="32"/>
        </w:rPr>
        <w:t>收入。</w:t>
      </w:r>
    </w:p>
    <w:p w14:paraId="2DBC02D4">
      <w:pPr>
        <w:pStyle w:val="7"/>
        <w:spacing w:line="560" w:lineRule="exact"/>
        <w:ind w:firstLine="660"/>
        <w:rPr>
          <w:rFonts w:hint="default" w:ascii="仿宋_GB2312" w:eastAsia="仿宋_GB2312"/>
          <w:sz w:val="32"/>
          <w:lang w:val="en-US" w:eastAsia="zh-CN"/>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rPr>
        <w:t>19.78</w:t>
      </w:r>
      <w:r>
        <w:rPr>
          <w:rFonts w:ascii="仿宋_GB2312" w:eastAsia="仿宋_GB2312"/>
          <w:sz w:val="32"/>
        </w:rPr>
        <w:t>万元，占收入总计的</w:t>
      </w:r>
      <w:r>
        <w:rPr>
          <w:rFonts w:hint="eastAsia" w:ascii="仿宋_GB2312" w:eastAsia="仿宋_GB2312"/>
          <w:sz w:val="32"/>
          <w:lang w:val="en-US" w:eastAsia="zh-CN"/>
        </w:rPr>
        <w:t>0.83</w:t>
      </w:r>
      <w:r>
        <w:rPr>
          <w:rFonts w:ascii="仿宋_GB2312" w:eastAsia="仿宋_GB2312"/>
          <w:sz w:val="32"/>
        </w:rPr>
        <w:t>%。主要是</w:t>
      </w:r>
      <w:r>
        <w:rPr>
          <w:rFonts w:hint="eastAsia" w:ascii="仿宋_GB2312" w:eastAsia="仿宋_GB2312"/>
          <w:sz w:val="32"/>
          <w:lang w:eastAsia="zh-CN"/>
        </w:rPr>
        <w:t>群众文化收入</w:t>
      </w:r>
      <w:r>
        <w:rPr>
          <w:rFonts w:ascii="仿宋_GB2312" w:eastAsia="仿宋_GB2312"/>
          <w:sz w:val="32"/>
        </w:rPr>
        <w:t>。</w:t>
      </w:r>
    </w:p>
    <w:p w14:paraId="7CF97428">
      <w:pPr>
        <w:pStyle w:val="7"/>
        <w:spacing w:line="560" w:lineRule="exact"/>
        <w:ind w:firstLine="660"/>
        <w:rPr>
          <w:rFonts w:hint="eastAsia" w:ascii="仿宋_GB2312" w:hAnsi="宋体" w:eastAsia="仿宋_GB2312"/>
          <w:color w:val="auto"/>
          <w:sz w:val="32"/>
          <w:szCs w:val="32"/>
          <w:highlight w:val="none"/>
          <w:lang w:eastAsia="zh-CN"/>
        </w:rPr>
      </w:pPr>
      <w:r>
        <w:rPr>
          <w:rFonts w:ascii="仿宋_GB2312" w:eastAsia="仿宋_GB2312"/>
          <w:sz w:val="32"/>
        </w:rPr>
        <w:t>与上年相比，今年收入</w:t>
      </w:r>
      <w:r>
        <w:rPr>
          <w:rFonts w:hint="eastAsia" w:ascii="仿宋_GB2312" w:eastAsia="仿宋_GB2312"/>
          <w:sz w:val="32"/>
          <w:lang w:eastAsia="zh-CN"/>
        </w:rPr>
        <w:t>增加</w:t>
      </w:r>
      <w:r>
        <w:rPr>
          <w:rFonts w:hint="eastAsia" w:ascii="仿宋_GB2312" w:eastAsia="仿宋_GB2312"/>
          <w:sz w:val="32"/>
          <w:lang w:val="en-US" w:eastAsia="zh-CN"/>
        </w:rPr>
        <w:t>1010.11</w:t>
      </w:r>
      <w:r>
        <w:rPr>
          <w:rFonts w:ascii="仿宋_GB2312" w:eastAsia="仿宋_GB2312"/>
          <w:sz w:val="32"/>
        </w:rPr>
        <w:t>万元，</w:t>
      </w:r>
      <w:r>
        <w:rPr>
          <w:rFonts w:hint="eastAsia" w:ascii="仿宋_GB2312" w:eastAsia="仿宋_GB2312"/>
          <w:sz w:val="32"/>
          <w:lang w:eastAsia="zh-CN"/>
        </w:rPr>
        <w:t>上升</w:t>
      </w:r>
      <w:r>
        <w:rPr>
          <w:rFonts w:hint="eastAsia" w:ascii="仿宋_GB2312" w:eastAsia="仿宋_GB2312"/>
          <w:sz w:val="32"/>
          <w:lang w:val="en-US" w:eastAsia="zh-CN"/>
        </w:rPr>
        <w:t>72.92</w:t>
      </w:r>
      <w:r>
        <w:rPr>
          <w:rFonts w:ascii="仿宋_GB2312" w:eastAsia="仿宋_GB2312"/>
          <w:sz w:val="32"/>
        </w:rPr>
        <w:t>%，主要原因</w:t>
      </w:r>
      <w:r>
        <w:rPr>
          <w:rFonts w:hint="eastAsia" w:ascii="仿宋_GB2312" w:eastAsia="仿宋_GB2312"/>
          <w:sz w:val="32"/>
        </w:rPr>
        <w:t>一般公共预算财政拨款收入</w:t>
      </w:r>
      <w:r>
        <w:rPr>
          <w:rFonts w:hint="eastAsia" w:ascii="仿宋_GB2312" w:eastAsia="仿宋_GB2312"/>
          <w:sz w:val="32"/>
          <w:lang w:eastAsia="zh-CN"/>
        </w:rPr>
        <w:t>增加</w:t>
      </w:r>
      <w:r>
        <w:rPr>
          <w:rFonts w:hint="eastAsia" w:ascii="仿宋_GB2312" w:eastAsia="仿宋_GB2312"/>
          <w:color w:val="auto"/>
          <w:sz w:val="32"/>
          <w:szCs w:val="32"/>
          <w:highlight w:val="none"/>
          <w:lang w:val="en-US" w:eastAsia="zh-CN"/>
        </w:rPr>
        <w:t>。</w:t>
      </w:r>
    </w:p>
    <w:p w14:paraId="5E99A31A">
      <w:pPr>
        <w:pStyle w:val="7"/>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rPr>
        <w:t>2354.9</w:t>
      </w:r>
      <w:r>
        <w:rPr>
          <w:rFonts w:ascii="楷体_GB2312" w:eastAsia="楷体_GB2312"/>
          <w:b/>
          <w:sz w:val="32"/>
        </w:rPr>
        <w:t>万元，包括：</w:t>
      </w:r>
    </w:p>
    <w:p w14:paraId="2A9E5FA5">
      <w:pPr>
        <w:pStyle w:val="7"/>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rPr>
        <w:t>220.94</w:t>
      </w:r>
      <w:r>
        <w:rPr>
          <w:rFonts w:ascii="仿宋_GB2312" w:eastAsia="仿宋_GB2312"/>
          <w:sz w:val="32"/>
        </w:rPr>
        <w:t>万元，占支出总计的</w:t>
      </w:r>
      <w:r>
        <w:rPr>
          <w:rFonts w:hint="eastAsia" w:ascii="仿宋_GB2312" w:eastAsia="仿宋_GB2312"/>
          <w:sz w:val="32"/>
          <w:lang w:val="en-US" w:eastAsia="zh-CN"/>
        </w:rPr>
        <w:t>9.38</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185.21</w:t>
      </w:r>
      <w:r>
        <w:rPr>
          <w:rFonts w:ascii="仿宋_GB2312" w:eastAsia="仿宋_GB2312"/>
          <w:sz w:val="32"/>
        </w:rPr>
        <w:t>万元，对个人和家庭的补助支出</w:t>
      </w:r>
      <w:r>
        <w:rPr>
          <w:rFonts w:hint="eastAsia" w:ascii="仿宋_GB2312" w:eastAsia="仿宋_GB2312"/>
          <w:sz w:val="32"/>
        </w:rPr>
        <w:t>17.51</w:t>
      </w:r>
      <w:r>
        <w:rPr>
          <w:rFonts w:ascii="仿宋_GB2312" w:eastAsia="仿宋_GB2312"/>
          <w:sz w:val="32"/>
        </w:rPr>
        <w:t>万元，商品和服务支出</w:t>
      </w:r>
      <w:r>
        <w:rPr>
          <w:rFonts w:hint="eastAsia" w:ascii="仿宋_GB2312" w:eastAsia="仿宋_GB2312"/>
          <w:sz w:val="32"/>
        </w:rPr>
        <w:t>18.22</w:t>
      </w:r>
      <w:r>
        <w:rPr>
          <w:rFonts w:ascii="仿宋_GB2312" w:eastAsia="仿宋_GB2312"/>
          <w:sz w:val="32"/>
        </w:rPr>
        <w:t>万元。</w:t>
      </w:r>
    </w:p>
    <w:p w14:paraId="4EB3AB87">
      <w:pPr>
        <w:pStyle w:val="7"/>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2133.96</w:t>
      </w:r>
      <w:r>
        <w:rPr>
          <w:rFonts w:ascii="仿宋_GB2312" w:eastAsia="仿宋_GB2312"/>
          <w:sz w:val="32"/>
        </w:rPr>
        <w:t>万元，占支出总计的</w:t>
      </w:r>
      <w:r>
        <w:rPr>
          <w:rFonts w:hint="eastAsia" w:ascii="仿宋_GB2312" w:eastAsia="仿宋_GB2312"/>
          <w:sz w:val="32"/>
          <w:lang w:val="en-US" w:eastAsia="zh-CN"/>
        </w:rPr>
        <w:t>90.62</w:t>
      </w:r>
      <w:r>
        <w:rPr>
          <w:rFonts w:ascii="仿宋_GB2312" w:eastAsia="仿宋_GB2312"/>
          <w:sz w:val="32"/>
        </w:rPr>
        <w:t>%。主要包括</w:t>
      </w:r>
      <w:r>
        <w:rPr>
          <w:rFonts w:hint="eastAsia" w:ascii="仿宋_GB2312" w:eastAsia="仿宋_GB2312"/>
          <w:color w:val="auto"/>
          <w:sz w:val="32"/>
          <w:szCs w:val="32"/>
          <w:highlight w:val="none"/>
        </w:rPr>
        <w:t>一般行政管理事务、图书馆、文化活动、群众文化、文化</w:t>
      </w:r>
      <w:r>
        <w:rPr>
          <w:rFonts w:hint="eastAsia" w:ascii="仿宋_GB2312" w:eastAsia="仿宋_GB2312"/>
          <w:color w:val="auto"/>
          <w:sz w:val="32"/>
          <w:szCs w:val="32"/>
          <w:highlight w:val="none"/>
          <w:lang w:eastAsia="zh-CN"/>
        </w:rPr>
        <w:t>交流</w:t>
      </w:r>
      <w:r>
        <w:rPr>
          <w:rFonts w:hint="eastAsia" w:ascii="仿宋_GB2312" w:eastAsia="仿宋_GB2312"/>
          <w:color w:val="auto"/>
          <w:sz w:val="32"/>
          <w:szCs w:val="32"/>
          <w:highlight w:val="none"/>
        </w:rPr>
        <w:t>与合作、其他文化支出、文物保护、体育竞赛、群众体育、其他体育支出、宣传文化发展专项支出、文化产业发展专项支出、其他支出、用于体育事业的彩票公益金支出等</w:t>
      </w:r>
      <w:r>
        <w:rPr>
          <w:rFonts w:ascii="仿宋_GB2312" w:eastAsia="仿宋_GB2312"/>
          <w:sz w:val="32"/>
        </w:rPr>
        <w:t>业务支出。</w:t>
      </w:r>
    </w:p>
    <w:p w14:paraId="5BD46754">
      <w:pPr>
        <w:pStyle w:val="7"/>
        <w:spacing w:line="560" w:lineRule="exact"/>
        <w:ind w:firstLine="660"/>
        <w:rPr>
          <w:rFonts w:hint="eastAsia" w:ascii="仿宋_GB2312" w:eastAsia="仿宋_GB2312"/>
          <w:sz w:val="32"/>
          <w:lang w:val="en-US" w:eastAsia="zh-CN"/>
        </w:rPr>
      </w:pPr>
      <w:r>
        <w:rPr>
          <w:rFonts w:ascii="仿宋_GB2312" w:eastAsia="仿宋_GB2312"/>
          <w:sz w:val="32"/>
        </w:rPr>
        <w:t>与上年相比，今年支出</w:t>
      </w:r>
      <w:r>
        <w:rPr>
          <w:rFonts w:hint="eastAsia" w:ascii="仿宋_GB2312" w:eastAsia="仿宋_GB2312"/>
          <w:sz w:val="32"/>
          <w:lang w:eastAsia="zh-CN"/>
        </w:rPr>
        <w:t>增加</w:t>
      </w:r>
      <w:r>
        <w:rPr>
          <w:rFonts w:hint="eastAsia" w:ascii="仿宋_GB2312" w:eastAsia="仿宋_GB2312"/>
          <w:sz w:val="32"/>
          <w:lang w:val="en-US" w:eastAsia="zh-CN"/>
        </w:rPr>
        <w:t>969.72</w:t>
      </w:r>
      <w:r>
        <w:rPr>
          <w:rFonts w:ascii="仿宋_GB2312" w:eastAsia="仿宋_GB2312"/>
          <w:sz w:val="32"/>
        </w:rPr>
        <w:t>万元，</w:t>
      </w:r>
      <w:r>
        <w:rPr>
          <w:rFonts w:hint="eastAsia" w:ascii="仿宋_GB2312" w:eastAsia="仿宋_GB2312"/>
          <w:sz w:val="32"/>
          <w:lang w:eastAsia="zh-CN"/>
        </w:rPr>
        <w:t>上升</w:t>
      </w:r>
      <w:r>
        <w:rPr>
          <w:rFonts w:hint="eastAsia" w:ascii="仿宋_GB2312" w:eastAsia="仿宋_GB2312"/>
          <w:sz w:val="32"/>
          <w:lang w:val="en-US" w:eastAsia="zh-CN"/>
        </w:rPr>
        <w:t>70</w:t>
      </w:r>
      <w:r>
        <w:rPr>
          <w:rFonts w:ascii="仿宋_GB2312" w:eastAsia="仿宋_GB2312"/>
          <w:sz w:val="32"/>
        </w:rPr>
        <w:t>%，主要原因：</w:t>
      </w:r>
      <w:r>
        <w:rPr>
          <w:rFonts w:hint="eastAsia" w:ascii="仿宋_GB2312" w:eastAsia="仿宋_GB2312"/>
          <w:sz w:val="32"/>
        </w:rPr>
        <w:t>文化旅游体育与传媒支出</w:t>
      </w:r>
      <w:r>
        <w:rPr>
          <w:rFonts w:hint="eastAsia" w:ascii="仿宋_GB2312" w:eastAsia="仿宋_GB2312"/>
          <w:sz w:val="32"/>
          <w:lang w:eastAsia="zh-CN"/>
        </w:rPr>
        <w:t>增加</w:t>
      </w:r>
      <w:r>
        <w:rPr>
          <w:rFonts w:hint="eastAsia" w:ascii="仿宋_GB2312" w:eastAsia="仿宋_GB2312"/>
          <w:sz w:val="32"/>
          <w:lang w:val="en-US" w:eastAsia="zh-CN"/>
        </w:rPr>
        <w:t>。</w:t>
      </w:r>
    </w:p>
    <w:p w14:paraId="3479E48A">
      <w:pPr>
        <w:pStyle w:val="7"/>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rPr>
        <w:t>40.39</w:t>
      </w:r>
      <w:r>
        <w:rPr>
          <w:rFonts w:ascii="楷体_GB2312" w:eastAsia="楷体_GB2312"/>
          <w:b/>
          <w:sz w:val="32"/>
        </w:rPr>
        <w:t>万元</w:t>
      </w:r>
    </w:p>
    <w:p w14:paraId="627A44AA">
      <w:pPr>
        <w:pStyle w:val="7"/>
        <w:spacing w:line="560" w:lineRule="exact"/>
        <w:ind w:firstLine="660"/>
        <w:rPr>
          <w:rFonts w:ascii="仿宋_GB2312" w:eastAsia="仿宋_GB2312"/>
          <w:sz w:val="32"/>
        </w:rPr>
      </w:pPr>
      <w:r>
        <w:rPr>
          <w:rFonts w:ascii="仿宋_GB2312" w:eastAsia="仿宋_GB2312"/>
          <w:sz w:val="32"/>
        </w:rPr>
        <w:t>主要是</w:t>
      </w:r>
      <w:r>
        <w:rPr>
          <w:rFonts w:hint="eastAsia" w:ascii="仿宋_GB2312" w:eastAsia="仿宋_GB2312"/>
          <w:sz w:val="32"/>
          <w:lang w:val="en-US" w:eastAsia="zh-CN"/>
        </w:rPr>
        <w:t>上级资金</w:t>
      </w:r>
      <w:r>
        <w:rPr>
          <w:rFonts w:ascii="仿宋_GB2312" w:eastAsia="仿宋_GB2312"/>
          <w:sz w:val="32"/>
        </w:rPr>
        <w:t>形成的结余。与上年相比，今年结转结余</w:t>
      </w:r>
      <w:r>
        <w:rPr>
          <w:rFonts w:hint="eastAsia" w:ascii="仿宋_GB2312" w:eastAsia="仿宋_GB2312"/>
          <w:sz w:val="32"/>
          <w:lang w:eastAsia="zh-CN"/>
        </w:rPr>
        <w:t>增加</w:t>
      </w:r>
      <w:r>
        <w:rPr>
          <w:rFonts w:hint="eastAsia" w:ascii="仿宋_GB2312" w:eastAsia="仿宋_GB2312"/>
          <w:sz w:val="32"/>
          <w:lang w:val="en-US" w:eastAsia="zh-CN"/>
        </w:rPr>
        <w:t>20.61</w:t>
      </w:r>
      <w:r>
        <w:rPr>
          <w:rFonts w:ascii="仿宋_GB2312" w:eastAsia="仿宋_GB2312"/>
          <w:sz w:val="32"/>
        </w:rPr>
        <w:t>万元，</w:t>
      </w:r>
      <w:r>
        <w:rPr>
          <w:rFonts w:hint="eastAsia" w:ascii="仿宋_GB2312" w:eastAsia="仿宋_GB2312"/>
          <w:sz w:val="32"/>
          <w:lang w:eastAsia="zh-CN"/>
        </w:rPr>
        <w:t>上升</w:t>
      </w:r>
      <w:r>
        <w:rPr>
          <w:rFonts w:hint="eastAsia" w:ascii="仿宋_GB2312" w:eastAsia="仿宋_GB2312"/>
          <w:sz w:val="32"/>
          <w:lang w:val="en-US" w:eastAsia="zh-CN"/>
        </w:rPr>
        <w:t>104.20</w:t>
      </w:r>
      <w:r>
        <w:rPr>
          <w:rFonts w:ascii="仿宋_GB2312" w:eastAsia="仿宋_GB2312"/>
          <w:sz w:val="32"/>
        </w:rPr>
        <w:t>%，主要原因：</w:t>
      </w:r>
      <w:r>
        <w:rPr>
          <w:rFonts w:hint="eastAsia" w:ascii="仿宋_GB2312" w:eastAsia="仿宋_GB2312"/>
          <w:sz w:val="32"/>
        </w:rPr>
        <w:t>一般公共预算财政拨款</w:t>
      </w:r>
      <w:r>
        <w:rPr>
          <w:rFonts w:hint="eastAsia" w:ascii="仿宋_GB2312" w:eastAsia="仿宋_GB2312"/>
          <w:sz w:val="32"/>
          <w:lang w:val="en-US" w:eastAsia="zh-CN"/>
        </w:rPr>
        <w:t>结余增加</w:t>
      </w:r>
      <w:r>
        <w:rPr>
          <w:rFonts w:ascii="仿宋_GB2312" w:eastAsia="仿宋_GB2312"/>
          <w:sz w:val="32"/>
        </w:rPr>
        <w:t>。</w:t>
      </w:r>
    </w:p>
    <w:p w14:paraId="541B7A90">
      <w:pPr>
        <w:pStyle w:val="7"/>
        <w:spacing w:line="560" w:lineRule="exact"/>
        <w:ind w:firstLine="660"/>
        <w:rPr>
          <w:rFonts w:hint="default" w:ascii="黑体" w:eastAsia="黑体"/>
          <w:sz w:val="32"/>
        </w:rPr>
      </w:pPr>
      <w:r>
        <w:rPr>
          <w:rFonts w:ascii="黑体" w:eastAsia="黑体"/>
          <w:sz w:val="32"/>
        </w:rPr>
        <w:t>二、财政拨款收入支出决算情况说明</w:t>
      </w:r>
    </w:p>
    <w:p w14:paraId="57136916">
      <w:pPr>
        <w:pStyle w:val="7"/>
        <w:spacing w:line="560" w:lineRule="exact"/>
        <w:ind w:firstLine="660"/>
        <w:rPr>
          <w:rFonts w:hint="default" w:ascii="楷体_GB2312" w:eastAsia="楷体_GB2312"/>
          <w:b/>
          <w:sz w:val="32"/>
        </w:rPr>
      </w:pPr>
      <w:r>
        <w:rPr>
          <w:rFonts w:ascii="楷体_GB2312" w:eastAsia="楷体_GB2312"/>
          <w:b/>
          <w:sz w:val="32"/>
        </w:rPr>
        <w:t>（一）总体情况</w:t>
      </w:r>
    </w:p>
    <w:p w14:paraId="7431615B">
      <w:pPr>
        <w:pStyle w:val="7"/>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rPr>
        <w:t>2338.46</w:t>
      </w:r>
      <w:r>
        <w:rPr>
          <w:rFonts w:ascii="仿宋_GB2312" w:eastAsia="仿宋_GB2312"/>
          <w:sz w:val="32"/>
        </w:rPr>
        <w:t>万元，其中：基本支出</w:t>
      </w:r>
      <w:r>
        <w:rPr>
          <w:rFonts w:hint="eastAsia" w:ascii="仿宋_GB2312" w:eastAsia="仿宋_GB2312"/>
          <w:sz w:val="32"/>
        </w:rPr>
        <w:t>220.94</w:t>
      </w:r>
      <w:r>
        <w:rPr>
          <w:rFonts w:ascii="仿宋_GB2312" w:eastAsia="仿宋_GB2312"/>
          <w:sz w:val="32"/>
        </w:rPr>
        <w:t>万元，项目支出</w:t>
      </w:r>
      <w:r>
        <w:rPr>
          <w:rFonts w:hint="eastAsia" w:ascii="仿宋_GB2312" w:eastAsia="仿宋_GB2312"/>
          <w:sz w:val="32"/>
        </w:rPr>
        <w:t>2117.52</w:t>
      </w:r>
      <w:r>
        <w:rPr>
          <w:rFonts w:ascii="仿宋_GB2312" w:eastAsia="仿宋_GB2312"/>
          <w:sz w:val="32"/>
        </w:rPr>
        <w:t>万元。与上年相比，财政拨款支出</w:t>
      </w:r>
      <w:r>
        <w:rPr>
          <w:rFonts w:hint="eastAsia" w:ascii="仿宋_GB2312" w:eastAsia="仿宋_GB2312"/>
          <w:sz w:val="32"/>
          <w:lang w:val="en-US" w:eastAsia="zh-CN"/>
        </w:rPr>
        <w:t>增加973.06</w:t>
      </w:r>
      <w:r>
        <w:rPr>
          <w:rFonts w:ascii="仿宋_GB2312" w:eastAsia="仿宋_GB2312"/>
          <w:sz w:val="32"/>
        </w:rPr>
        <w:t>万元，增长</w:t>
      </w:r>
      <w:r>
        <w:rPr>
          <w:rFonts w:hint="eastAsia" w:ascii="仿宋_GB2312" w:eastAsia="仿宋_GB2312"/>
          <w:sz w:val="32"/>
          <w:lang w:val="en-US" w:eastAsia="zh-CN"/>
        </w:rPr>
        <w:t>71.27</w:t>
      </w:r>
      <w:r>
        <w:rPr>
          <w:rFonts w:ascii="仿宋_GB2312" w:eastAsia="仿宋_GB2312"/>
          <w:sz w:val="32"/>
        </w:rPr>
        <w:t>%，主要原因：</w:t>
      </w:r>
      <w:r>
        <w:rPr>
          <w:rFonts w:hint="eastAsia" w:ascii="仿宋_GB2312" w:eastAsia="仿宋_GB2312"/>
          <w:sz w:val="32"/>
        </w:rPr>
        <w:t>文化旅游体育与传媒支出</w:t>
      </w:r>
      <w:r>
        <w:rPr>
          <w:rFonts w:hint="eastAsia" w:ascii="仿宋_GB2312" w:eastAsia="仿宋_GB2312"/>
          <w:sz w:val="32"/>
          <w:lang w:eastAsia="zh-CN"/>
        </w:rPr>
        <w:t>增加</w:t>
      </w:r>
      <w:r>
        <w:rPr>
          <w:rFonts w:hint="eastAsia" w:ascii="仿宋_GB2312" w:eastAsia="仿宋_GB2312"/>
          <w:sz w:val="32"/>
          <w:lang w:val="en-US" w:eastAsia="zh-CN"/>
        </w:rPr>
        <w:t>。</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highlight w:val="none"/>
          <w:lang w:val="en-US" w:eastAsia="zh-CN"/>
        </w:rPr>
        <w:t>138</w:t>
      </w:r>
      <w:r>
        <w:rPr>
          <w:rFonts w:ascii="仿宋_GB2312" w:eastAsia="仿宋_GB2312"/>
          <w:sz w:val="32"/>
          <w:highlight w:val="none"/>
        </w:rPr>
        <w:t>%，</w:t>
      </w:r>
      <w:r>
        <w:rPr>
          <w:rFonts w:ascii="仿宋_GB2312" w:eastAsia="仿宋_GB2312"/>
          <w:sz w:val="32"/>
        </w:rPr>
        <w:t>其中：基本支出完成年初预算的</w:t>
      </w:r>
      <w:r>
        <w:rPr>
          <w:rFonts w:hint="eastAsia" w:ascii="仿宋_GB2312" w:eastAsia="仿宋_GB2312"/>
          <w:sz w:val="32"/>
          <w:highlight w:val="none"/>
          <w:lang w:val="en-US" w:eastAsia="zh-CN"/>
        </w:rPr>
        <w:t>120</w:t>
      </w:r>
      <w:r>
        <w:rPr>
          <w:rFonts w:ascii="仿宋_GB2312" w:eastAsia="仿宋_GB2312"/>
          <w:sz w:val="32"/>
          <w:highlight w:val="none"/>
        </w:rPr>
        <w:t>%，项</w:t>
      </w:r>
      <w:r>
        <w:rPr>
          <w:rFonts w:ascii="仿宋_GB2312" w:eastAsia="仿宋_GB2312"/>
          <w:sz w:val="32"/>
        </w:rPr>
        <w:t>目支出完成年初预算的</w:t>
      </w:r>
      <w:r>
        <w:rPr>
          <w:rFonts w:hint="eastAsia" w:ascii="仿宋_GB2312" w:eastAsia="仿宋_GB2312"/>
          <w:sz w:val="32"/>
          <w:highlight w:val="none"/>
          <w:lang w:val="en-US" w:eastAsia="zh-CN"/>
        </w:rPr>
        <w:t>148</w:t>
      </w:r>
      <w:r>
        <w:rPr>
          <w:rFonts w:ascii="仿宋_GB2312" w:eastAsia="仿宋_GB2312"/>
          <w:sz w:val="32"/>
          <w:highlight w:val="none"/>
        </w:rPr>
        <w:t>%</w:t>
      </w:r>
      <w:r>
        <w:rPr>
          <w:rFonts w:ascii="仿宋_GB2312" w:eastAsia="仿宋_GB2312"/>
          <w:sz w:val="32"/>
        </w:rPr>
        <w:t>。</w:t>
      </w:r>
    </w:p>
    <w:p w14:paraId="7F30DCA5">
      <w:pPr>
        <w:numPr>
          <w:ilvl w:val="0"/>
          <w:numId w:val="3"/>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一般公共预算财政拨款支出情况。</w:t>
      </w:r>
    </w:p>
    <w:p w14:paraId="76830BAC">
      <w:pPr>
        <w:numPr>
          <w:ilvl w:val="0"/>
          <w:numId w:val="0"/>
        </w:numPr>
        <w:spacing w:line="560" w:lineRule="exact"/>
        <w:ind w:left="660" w:leftChars="0"/>
        <w:rPr>
          <w:rFonts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rPr>
        <w:t>2338.46</w:t>
      </w:r>
      <w:r>
        <w:rPr>
          <w:rFonts w:ascii="仿宋_GB2312" w:hAnsi="宋体" w:eastAsia="仿宋_GB2312"/>
          <w:sz w:val="32"/>
          <w:szCs w:val="32"/>
        </w:rPr>
        <w:t>万元，按</w:t>
      </w:r>
    </w:p>
    <w:p w14:paraId="26C265A6">
      <w:pPr>
        <w:numPr>
          <w:ilvl w:val="0"/>
          <w:numId w:val="0"/>
        </w:numPr>
        <w:spacing w:line="560" w:lineRule="exact"/>
        <w:rPr>
          <w:rFonts w:hint="default" w:ascii="仿宋_GB2312" w:hAnsi="宋体" w:eastAsia="仿宋_GB2312"/>
          <w:sz w:val="32"/>
          <w:szCs w:val="32"/>
        </w:rPr>
      </w:pPr>
      <w:r>
        <w:rPr>
          <w:rFonts w:ascii="仿宋_GB2312" w:hAnsi="宋体" w:eastAsia="仿宋_GB2312"/>
          <w:sz w:val="32"/>
          <w:szCs w:val="32"/>
        </w:rPr>
        <w:t>支出功能分类科目分，包括：</w:t>
      </w:r>
    </w:p>
    <w:p w14:paraId="72A238DC">
      <w:pPr>
        <w:spacing w:line="560" w:lineRule="exact"/>
        <w:ind w:firstLine="660"/>
        <w:rPr>
          <w:rFonts w:hint="eastAsia" w:ascii="仿宋_GB2312" w:hAnsi="宋体" w:eastAsia="仿宋_GB2312"/>
          <w:color w:val="auto"/>
          <w:sz w:val="32"/>
          <w:szCs w:val="32"/>
          <w:lang w:val="en-US" w:eastAsia="zh-CN"/>
        </w:rPr>
      </w:pPr>
      <w:r>
        <w:rPr>
          <w:rFonts w:ascii="仿宋_GB2312" w:hAnsi="宋体" w:eastAsia="仿宋_GB2312"/>
          <w:sz w:val="32"/>
          <w:szCs w:val="32"/>
        </w:rPr>
        <w:t>1.</w:t>
      </w:r>
      <w:r>
        <w:rPr>
          <w:rFonts w:hint="eastAsia" w:ascii="仿宋_GB2312" w:hAnsi="宋体" w:eastAsia="仿宋_GB2312"/>
          <w:sz w:val="32"/>
          <w:szCs w:val="32"/>
        </w:rPr>
        <w:t>文化旅游体育与传媒支出2173.48</w:t>
      </w:r>
      <w:r>
        <w:rPr>
          <w:rFonts w:hint="eastAsia" w:ascii="仿宋_GB2312" w:hAnsi="宋体" w:eastAsia="仿宋_GB2312"/>
          <w:sz w:val="32"/>
          <w:szCs w:val="32"/>
          <w:lang w:val="en-US" w:eastAsia="zh-CN"/>
        </w:rPr>
        <w:t>万元。完成年初预算的134.26%，</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w:t>
      </w:r>
      <w:r>
        <w:rPr>
          <w:rFonts w:hint="eastAsia" w:ascii="仿宋_GB2312" w:hAnsi="宋体" w:eastAsia="仿宋_GB2312"/>
          <w:color w:val="auto"/>
          <w:sz w:val="32"/>
          <w:szCs w:val="32"/>
          <w:lang w:val="en-US" w:eastAsia="zh-CN"/>
        </w:rPr>
        <w:t>专项增加。</w:t>
      </w:r>
    </w:p>
    <w:p w14:paraId="27AA6F20">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2.社会保障和就业支出32.51万元。完成年初预算的90.60%，</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w:t>
      </w:r>
      <w:r>
        <w:rPr>
          <w:rFonts w:hint="eastAsia" w:ascii="仿宋_GB2312" w:hAnsi="宋体" w:eastAsia="仿宋_GB2312"/>
          <w:color w:val="auto"/>
          <w:sz w:val="32"/>
          <w:szCs w:val="32"/>
          <w:lang w:val="en-US" w:eastAsia="zh-CN"/>
        </w:rPr>
        <w:t>人员减少。</w:t>
      </w:r>
    </w:p>
    <w:p w14:paraId="5ADBB724">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3.卫生健康支出107.3万元。完成年初预算的1389.89%，</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w:t>
      </w:r>
      <w:r>
        <w:rPr>
          <w:rFonts w:hint="eastAsia" w:ascii="仿宋_GB2312" w:hAnsi="宋体" w:eastAsia="仿宋_GB2312"/>
          <w:color w:val="auto"/>
          <w:sz w:val="32"/>
          <w:szCs w:val="32"/>
          <w:lang w:val="en-US" w:eastAsia="zh-CN"/>
        </w:rPr>
        <w:t>因疫情原因隔离宾馆建设“三区两通道”费用支出。</w:t>
      </w:r>
    </w:p>
    <w:p w14:paraId="60AD8671">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4.住房保障支出25.16万元。完成年初预算的81.16%，</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是人员变动，公积金减少。</w:t>
      </w:r>
    </w:p>
    <w:p w14:paraId="719E6D37">
      <w:pPr>
        <w:numPr>
          <w:ilvl w:val="0"/>
          <w:numId w:val="4"/>
        </w:numPr>
        <w:spacing w:line="540" w:lineRule="exact"/>
        <w:ind w:firstLine="66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政府性基金预算财政拨款支出情况。</w:t>
      </w:r>
    </w:p>
    <w:p w14:paraId="74A9EABE">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14:paraId="091C2E9D">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14:paraId="0CFC5F72">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14:paraId="3412035B">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553715E7">
      <w:pPr>
        <w:spacing w:line="560" w:lineRule="exact"/>
        <w:ind w:firstLine="660"/>
        <w:rPr>
          <w:rFonts w:hint="eastAsia" w:ascii="仿宋_GB2312" w:hAnsi="宋体" w:eastAsia="仿宋_GB2312" w:cstheme="minorBidi"/>
          <w:sz w:val="32"/>
          <w:szCs w:val="32"/>
        </w:rPr>
      </w:pPr>
      <w:r>
        <w:rPr>
          <w:rFonts w:hint="eastAsia" w:ascii="仿宋_GB2312" w:hAnsi="宋体" w:eastAsia="仿宋_GB2312" w:cstheme="minorBidi"/>
          <w:sz w:val="32"/>
          <w:szCs w:val="32"/>
          <w:lang w:eastAsia="zh-CN"/>
        </w:rPr>
        <w:t>202</w:t>
      </w:r>
      <w:r>
        <w:rPr>
          <w:rFonts w:hint="eastAsia" w:ascii="仿宋_GB2312" w:hAnsi="宋体" w:eastAsia="仿宋_GB2312" w:cstheme="minorBidi"/>
          <w:sz w:val="32"/>
          <w:szCs w:val="32"/>
          <w:lang w:val="en-US" w:eastAsia="zh-CN"/>
        </w:rPr>
        <w:t>2</w:t>
      </w:r>
      <w:r>
        <w:rPr>
          <w:rFonts w:hint="eastAsia" w:ascii="仿宋_GB2312" w:hAnsi="宋体" w:eastAsia="仿宋_GB2312" w:cstheme="minorBidi"/>
          <w:sz w:val="32"/>
          <w:szCs w:val="32"/>
        </w:rPr>
        <w:t>年度一般公共预算财政拨款安排的“三公”经费支出</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万元，完成年初预算的</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%，决算数</w:t>
      </w:r>
      <w:r>
        <w:rPr>
          <w:rFonts w:hint="eastAsia" w:ascii="仿宋_GB2312" w:hAnsi="宋体" w:eastAsia="仿宋_GB2312" w:cstheme="minorBidi"/>
          <w:sz w:val="32"/>
          <w:szCs w:val="32"/>
          <w:lang w:eastAsia="zh-CN"/>
        </w:rPr>
        <w:t>等于</w:t>
      </w:r>
      <w:r>
        <w:rPr>
          <w:rFonts w:hint="eastAsia" w:ascii="仿宋_GB2312" w:hAnsi="宋体" w:eastAsia="仿宋_GB2312" w:cstheme="minorBidi"/>
          <w:sz w:val="32"/>
          <w:szCs w:val="32"/>
        </w:rPr>
        <w:t>年初预算数的主要原因是</w:t>
      </w:r>
      <w:r>
        <w:rPr>
          <w:rFonts w:hint="eastAsia" w:ascii="仿宋_GB2312" w:hAnsi="宋体" w:eastAsia="仿宋_GB2312" w:cstheme="minorBidi"/>
          <w:sz w:val="32"/>
          <w:szCs w:val="32"/>
          <w:lang w:eastAsia="zh-CN"/>
        </w:rPr>
        <w:t>无此项任务</w:t>
      </w:r>
      <w:r>
        <w:rPr>
          <w:rFonts w:hint="eastAsia" w:ascii="仿宋_GB2312" w:hAnsi="宋体" w:eastAsia="仿宋_GB2312" w:cstheme="minorBidi"/>
          <w:sz w:val="32"/>
          <w:szCs w:val="32"/>
        </w:rPr>
        <w:t>。其中：因公出国（境）费</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万元，公务接待费</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万元，公务用车购置及运行维护费</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万元。</w:t>
      </w:r>
    </w:p>
    <w:p w14:paraId="119C6A75">
      <w:pPr>
        <w:spacing w:line="560" w:lineRule="exact"/>
        <w:ind w:firstLine="660"/>
        <w:rPr>
          <w:rFonts w:hint="eastAsia" w:ascii="仿宋_GB2312" w:hAnsi="宋体" w:eastAsia="仿宋_GB2312" w:cstheme="minorBidi"/>
          <w:sz w:val="32"/>
          <w:szCs w:val="32"/>
          <w:lang w:eastAsia="zh-CN"/>
        </w:rPr>
      </w:pPr>
      <w:r>
        <w:rPr>
          <w:rFonts w:hint="eastAsia" w:ascii="仿宋_GB2312" w:hAnsi="宋体" w:eastAsia="仿宋_GB2312" w:cstheme="minorBidi"/>
          <w:sz w:val="32"/>
          <w:szCs w:val="32"/>
        </w:rPr>
        <w:t>1.因公出国（境）费0万元， 20</w:t>
      </w:r>
      <w:r>
        <w:rPr>
          <w:rFonts w:hint="eastAsia" w:ascii="仿宋_GB2312" w:hAnsi="宋体" w:eastAsia="仿宋_GB2312" w:cstheme="minorBidi"/>
          <w:sz w:val="32"/>
          <w:szCs w:val="32"/>
          <w:lang w:val="en-US" w:eastAsia="zh-CN"/>
        </w:rPr>
        <w:t>22</w:t>
      </w:r>
      <w:r>
        <w:rPr>
          <w:rFonts w:hint="eastAsia" w:ascii="仿宋_GB2312" w:hAnsi="宋体" w:eastAsia="仿宋_GB2312" w:cstheme="minorBidi"/>
          <w:sz w:val="32"/>
          <w:szCs w:val="32"/>
        </w:rPr>
        <w:t>年参加出国（境）团组0个，累计0人次。20</w:t>
      </w:r>
      <w:r>
        <w:rPr>
          <w:rFonts w:hint="eastAsia" w:ascii="仿宋_GB2312" w:hAnsi="宋体" w:eastAsia="仿宋_GB2312" w:cstheme="minorBidi"/>
          <w:sz w:val="32"/>
          <w:szCs w:val="32"/>
          <w:lang w:val="en-US" w:eastAsia="zh-CN"/>
        </w:rPr>
        <w:t>22</w:t>
      </w:r>
      <w:r>
        <w:rPr>
          <w:rFonts w:hint="eastAsia" w:ascii="仿宋_GB2312" w:hAnsi="宋体" w:eastAsia="仿宋_GB2312" w:cstheme="minorBidi"/>
          <w:sz w:val="32"/>
          <w:szCs w:val="32"/>
        </w:rPr>
        <w:t>年因公出国（境）费比年初预算数减少0万元，下降0%，主要是无出国任务。</w:t>
      </w:r>
    </w:p>
    <w:p w14:paraId="5E168288">
      <w:pPr>
        <w:spacing w:line="560" w:lineRule="exact"/>
        <w:ind w:firstLine="660"/>
        <w:rPr>
          <w:rFonts w:hint="eastAsia" w:ascii="仿宋_GB2312" w:hAnsi="宋体" w:eastAsia="仿宋_GB2312" w:cstheme="minorBidi"/>
          <w:sz w:val="32"/>
          <w:szCs w:val="32"/>
        </w:rPr>
      </w:pPr>
      <w:r>
        <w:rPr>
          <w:rFonts w:hint="eastAsia" w:ascii="仿宋_GB2312" w:hAnsi="宋体" w:eastAsia="仿宋_GB2312" w:cstheme="minorBidi"/>
          <w:sz w:val="32"/>
          <w:szCs w:val="32"/>
        </w:rPr>
        <w:t>2.公务接待费</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万元，</w:t>
      </w:r>
      <w:r>
        <w:rPr>
          <w:rFonts w:hint="eastAsia" w:ascii="仿宋_GB2312" w:hAnsi="宋体" w:eastAsia="仿宋_GB2312" w:cstheme="minorBidi"/>
          <w:sz w:val="32"/>
          <w:szCs w:val="32"/>
          <w:lang w:val="en-US" w:eastAsia="zh-CN"/>
        </w:rPr>
        <w:t>占</w:t>
      </w:r>
      <w:r>
        <w:rPr>
          <w:rFonts w:hint="eastAsia" w:ascii="仿宋_GB2312" w:hAnsi="宋体" w:eastAsia="仿宋_GB2312" w:cstheme="minorBidi"/>
          <w:sz w:val="32"/>
          <w:szCs w:val="32"/>
        </w:rPr>
        <w:t>“三公”经费支出</w:t>
      </w:r>
      <w:r>
        <w:rPr>
          <w:rFonts w:hint="eastAsia" w:ascii="仿宋_GB2312" w:hAnsi="宋体" w:eastAsia="仿宋_GB2312" w:cstheme="minorBidi"/>
          <w:sz w:val="32"/>
          <w:szCs w:val="32"/>
          <w:lang w:val="en-US" w:eastAsia="zh-CN"/>
        </w:rPr>
        <w:t>的0%。</w:t>
      </w:r>
      <w:r>
        <w:rPr>
          <w:rFonts w:hint="eastAsia" w:ascii="仿宋_GB2312" w:hAnsi="宋体" w:eastAsia="仿宋_GB2312" w:cstheme="minorBidi"/>
          <w:sz w:val="32"/>
          <w:szCs w:val="32"/>
          <w:lang w:eastAsia="zh-CN"/>
        </w:rPr>
        <w:t>202</w:t>
      </w:r>
      <w:r>
        <w:rPr>
          <w:rFonts w:hint="eastAsia" w:ascii="仿宋_GB2312" w:hAnsi="宋体" w:eastAsia="仿宋_GB2312" w:cstheme="minorBidi"/>
          <w:sz w:val="32"/>
          <w:szCs w:val="32"/>
          <w:lang w:val="en-US" w:eastAsia="zh-CN"/>
        </w:rPr>
        <w:t>2</w:t>
      </w:r>
      <w:r>
        <w:rPr>
          <w:rFonts w:hint="eastAsia" w:ascii="仿宋_GB2312" w:hAnsi="宋体" w:eastAsia="仿宋_GB2312" w:cstheme="minorBidi"/>
          <w:sz w:val="32"/>
          <w:szCs w:val="32"/>
        </w:rPr>
        <w:t>年国内公务接待累计</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批次</w:t>
      </w:r>
      <w:r>
        <w:rPr>
          <w:rFonts w:hint="eastAsia" w:ascii="仿宋_GB2312" w:hAnsi="宋体" w:eastAsia="仿宋_GB2312" w:cstheme="minorBidi"/>
          <w:sz w:val="32"/>
          <w:szCs w:val="32"/>
          <w:lang w:eastAsia="zh-CN"/>
        </w:rPr>
        <w:t>、</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人</w:t>
      </w:r>
      <w:r>
        <w:rPr>
          <w:rFonts w:hint="eastAsia" w:ascii="仿宋_GB2312" w:hAnsi="宋体" w:eastAsia="仿宋_GB2312" w:cstheme="minorBidi"/>
          <w:sz w:val="32"/>
          <w:szCs w:val="32"/>
          <w:lang w:eastAsia="zh-CN"/>
        </w:rPr>
        <w:t>、</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万元，主要</w:t>
      </w:r>
      <w:r>
        <w:rPr>
          <w:rFonts w:hint="eastAsia" w:ascii="仿宋_GB2312" w:hAnsi="宋体" w:eastAsia="仿宋_GB2312" w:cstheme="minorBidi"/>
          <w:sz w:val="32"/>
          <w:szCs w:val="32"/>
          <w:lang w:eastAsia="zh-CN"/>
        </w:rPr>
        <w:t>无此项任务；202</w:t>
      </w:r>
      <w:r>
        <w:rPr>
          <w:rFonts w:hint="eastAsia" w:ascii="仿宋_GB2312" w:hAnsi="宋体" w:eastAsia="仿宋_GB2312" w:cstheme="minorBidi"/>
          <w:sz w:val="32"/>
          <w:szCs w:val="32"/>
          <w:lang w:val="en-US" w:eastAsia="zh-CN"/>
        </w:rPr>
        <w:t>2</w:t>
      </w:r>
      <w:r>
        <w:rPr>
          <w:rFonts w:hint="eastAsia" w:ascii="仿宋_GB2312" w:hAnsi="宋体" w:eastAsia="仿宋_GB2312" w:cstheme="minorBidi"/>
          <w:sz w:val="32"/>
          <w:szCs w:val="32"/>
        </w:rPr>
        <w:t>年公务接待费比年初预算数减少</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万元，下降</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%，主要是</w:t>
      </w:r>
      <w:r>
        <w:rPr>
          <w:rFonts w:hint="eastAsia" w:ascii="仿宋_GB2312" w:hAnsi="宋体" w:eastAsia="仿宋_GB2312" w:cstheme="minorBidi"/>
          <w:sz w:val="32"/>
          <w:szCs w:val="32"/>
          <w:lang w:eastAsia="zh-CN"/>
        </w:rPr>
        <w:t>今年无此项任务</w:t>
      </w:r>
      <w:r>
        <w:rPr>
          <w:rFonts w:hint="eastAsia" w:ascii="仿宋_GB2312" w:hAnsi="宋体" w:eastAsia="仿宋_GB2312" w:cstheme="minorBidi"/>
          <w:sz w:val="32"/>
          <w:szCs w:val="32"/>
        </w:rPr>
        <w:t>。</w:t>
      </w:r>
    </w:p>
    <w:p w14:paraId="3A6DFAF2">
      <w:pPr>
        <w:spacing w:line="560" w:lineRule="exact"/>
        <w:ind w:firstLine="660"/>
        <w:rPr>
          <w:rFonts w:hint="eastAsia" w:ascii="仿宋_GB2312" w:hAnsi="宋体" w:eastAsia="仿宋_GB2312" w:cstheme="minorBidi"/>
          <w:sz w:val="32"/>
          <w:szCs w:val="32"/>
        </w:rPr>
      </w:pPr>
      <w:r>
        <w:rPr>
          <w:rFonts w:hint="eastAsia" w:ascii="仿宋_GB2312" w:hAnsi="宋体" w:eastAsia="仿宋_GB2312" w:cstheme="minorBidi"/>
          <w:sz w:val="32"/>
          <w:szCs w:val="32"/>
        </w:rPr>
        <w:t>3. 公务用车购置及运行费</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万元，</w:t>
      </w:r>
      <w:r>
        <w:rPr>
          <w:rFonts w:hint="eastAsia" w:ascii="仿宋_GB2312" w:hAnsi="宋体" w:eastAsia="仿宋_GB2312" w:cstheme="minorBidi"/>
          <w:sz w:val="32"/>
          <w:szCs w:val="32"/>
          <w:lang w:val="en-US" w:eastAsia="zh-CN"/>
        </w:rPr>
        <w:t>占</w:t>
      </w:r>
      <w:r>
        <w:rPr>
          <w:rFonts w:hint="eastAsia" w:ascii="仿宋_GB2312" w:hAnsi="宋体" w:eastAsia="仿宋_GB2312" w:cstheme="minorBidi"/>
          <w:sz w:val="32"/>
          <w:szCs w:val="32"/>
        </w:rPr>
        <w:t>“三公”经费支出</w:t>
      </w:r>
      <w:r>
        <w:rPr>
          <w:rFonts w:hint="eastAsia" w:ascii="仿宋_GB2312" w:hAnsi="宋体" w:eastAsia="仿宋_GB2312" w:cstheme="minorBidi"/>
          <w:sz w:val="32"/>
          <w:szCs w:val="32"/>
          <w:lang w:val="en-US" w:eastAsia="zh-CN"/>
        </w:rPr>
        <w:t>的0%。</w:t>
      </w:r>
      <w:r>
        <w:rPr>
          <w:rFonts w:hint="eastAsia" w:ascii="仿宋_GB2312" w:hAnsi="宋体" w:eastAsia="仿宋_GB2312" w:cstheme="minorBidi"/>
          <w:sz w:val="32"/>
          <w:szCs w:val="32"/>
        </w:rPr>
        <w:t>比年初预算数减少</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万元，</w:t>
      </w:r>
      <w:r>
        <w:rPr>
          <w:rFonts w:hint="eastAsia" w:ascii="仿宋_GB2312" w:hAnsi="宋体" w:eastAsia="仿宋_GB2312" w:cstheme="minorBidi"/>
          <w:sz w:val="32"/>
          <w:szCs w:val="32"/>
          <w:lang w:eastAsia="zh-CN"/>
        </w:rPr>
        <w:t>持平</w:t>
      </w:r>
      <w:r>
        <w:rPr>
          <w:rFonts w:hint="eastAsia" w:ascii="仿宋_GB2312" w:hAnsi="宋体" w:eastAsia="仿宋_GB2312" w:cstheme="minorBidi"/>
          <w:sz w:val="32"/>
          <w:szCs w:val="32"/>
        </w:rPr>
        <w:t>，主要是</w:t>
      </w:r>
      <w:r>
        <w:rPr>
          <w:rFonts w:hint="eastAsia" w:ascii="仿宋_GB2312" w:hAnsi="宋体" w:eastAsia="仿宋_GB2312" w:cstheme="minorBidi"/>
          <w:sz w:val="32"/>
          <w:szCs w:val="32"/>
          <w:lang w:eastAsia="zh-CN"/>
        </w:rPr>
        <w:t>今年无此类任务</w:t>
      </w:r>
      <w:r>
        <w:rPr>
          <w:rFonts w:hint="eastAsia" w:ascii="仿宋_GB2312" w:hAnsi="宋体" w:eastAsia="仿宋_GB2312" w:cstheme="minorBidi"/>
          <w:sz w:val="32"/>
          <w:szCs w:val="32"/>
        </w:rPr>
        <w:t>。</w:t>
      </w:r>
    </w:p>
    <w:p w14:paraId="2325602C">
      <w:pPr>
        <w:spacing w:line="560" w:lineRule="exact"/>
        <w:ind w:firstLine="660"/>
        <w:rPr>
          <w:rFonts w:hint="eastAsia" w:ascii="仿宋_GB2312" w:hAnsi="宋体" w:eastAsia="仿宋_GB2312" w:cstheme="minorBidi"/>
          <w:sz w:val="32"/>
          <w:szCs w:val="32"/>
          <w:lang w:eastAsia="zh-CN"/>
        </w:rPr>
      </w:pPr>
      <w:r>
        <w:rPr>
          <w:rFonts w:hint="eastAsia" w:ascii="仿宋_GB2312" w:hAnsi="宋体" w:eastAsia="仿宋_GB2312" w:cstheme="minorBidi"/>
          <w:sz w:val="32"/>
          <w:szCs w:val="32"/>
          <w:lang w:val="en-US" w:eastAsia="zh-CN"/>
        </w:rPr>
        <w:t>其中：</w:t>
      </w:r>
      <w:r>
        <w:rPr>
          <w:rFonts w:hint="eastAsia" w:ascii="仿宋_GB2312" w:hAnsi="宋体" w:eastAsia="仿宋_GB2312" w:cstheme="minorBidi"/>
          <w:sz w:val="32"/>
          <w:szCs w:val="32"/>
        </w:rPr>
        <w:t>公务用车购置费</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万元，主要用于</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等,当年购置公务用车</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辆。公务用车运行维护费</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万元，截至年末使用一般公共预算财政拨款开支</w:t>
      </w:r>
      <w:r>
        <w:rPr>
          <w:rFonts w:hint="eastAsia" w:ascii="仿宋_GB2312" w:hAnsi="宋体" w:eastAsia="仿宋_GB2312" w:cstheme="minorBidi"/>
          <w:sz w:val="32"/>
          <w:szCs w:val="32"/>
          <w:lang w:val="en-US" w:eastAsia="zh-CN"/>
        </w:rPr>
        <w:t>运行维护费</w:t>
      </w:r>
      <w:r>
        <w:rPr>
          <w:rFonts w:hint="eastAsia" w:ascii="仿宋_GB2312" w:hAnsi="宋体" w:eastAsia="仿宋_GB2312" w:cstheme="minorBidi"/>
          <w:sz w:val="32"/>
          <w:szCs w:val="32"/>
        </w:rPr>
        <w:t>的公务用车保有量</w:t>
      </w:r>
      <w:r>
        <w:rPr>
          <w:rFonts w:hint="eastAsia" w:ascii="仿宋_GB2312" w:hAnsi="宋体" w:eastAsia="仿宋_GB2312" w:cstheme="minorBidi"/>
          <w:sz w:val="32"/>
          <w:szCs w:val="32"/>
          <w:lang w:val="en-US" w:eastAsia="zh-CN"/>
        </w:rPr>
        <w:t>0</w:t>
      </w:r>
      <w:r>
        <w:rPr>
          <w:rFonts w:hint="eastAsia" w:ascii="仿宋_GB2312" w:hAnsi="宋体" w:eastAsia="仿宋_GB2312" w:cstheme="minorBidi"/>
          <w:sz w:val="32"/>
          <w:szCs w:val="32"/>
        </w:rPr>
        <w:t>辆。</w:t>
      </w:r>
    </w:p>
    <w:p w14:paraId="363446AC">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14:paraId="5FB72C81">
      <w:pPr>
        <w:pStyle w:val="7"/>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rPr>
        <w:t>220.94</w:t>
      </w:r>
      <w:r>
        <w:rPr>
          <w:rFonts w:ascii="仿宋_GB2312" w:eastAsia="仿宋_GB2312"/>
          <w:sz w:val="32"/>
        </w:rPr>
        <w:t>万元，其中：人员经费</w:t>
      </w:r>
      <w:r>
        <w:rPr>
          <w:rFonts w:hint="eastAsia" w:ascii="仿宋_GB2312" w:eastAsia="仿宋_GB2312"/>
          <w:sz w:val="32"/>
        </w:rPr>
        <w:t>202.72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18.22</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0FECB19D">
      <w:pPr>
        <w:pStyle w:val="7"/>
        <w:spacing w:line="560" w:lineRule="exact"/>
        <w:ind w:firstLine="640"/>
        <w:rPr>
          <w:rFonts w:hint="default" w:ascii="黑体" w:eastAsia="黑体"/>
          <w:sz w:val="32"/>
        </w:rPr>
      </w:pPr>
      <w:r>
        <w:rPr>
          <w:rFonts w:ascii="黑体" w:eastAsia="黑体"/>
          <w:sz w:val="32"/>
        </w:rPr>
        <w:t>五、其他重要事项的情况说明</w:t>
      </w:r>
    </w:p>
    <w:p w14:paraId="448C32F3">
      <w:pPr>
        <w:pStyle w:val="7"/>
        <w:spacing w:line="560" w:lineRule="exact"/>
        <w:ind w:firstLine="640"/>
        <w:rPr>
          <w:rFonts w:ascii="楷体_GB2312" w:eastAsia="楷体_GB2312"/>
          <w:b/>
          <w:sz w:val="32"/>
        </w:rPr>
      </w:pPr>
      <w:r>
        <w:rPr>
          <w:rFonts w:ascii="楷体_GB2312" w:eastAsia="楷体_GB2312"/>
          <w:b/>
          <w:sz w:val="32"/>
        </w:rPr>
        <w:t>（一）机关运行经费支出情况。</w:t>
      </w:r>
    </w:p>
    <w:p w14:paraId="14D635AF">
      <w:pPr>
        <w:pStyle w:val="7"/>
        <w:spacing w:line="560" w:lineRule="exact"/>
        <w:ind w:firstLine="640"/>
        <w:rPr>
          <w:rFonts w:hint="default" w:ascii="仿宋_GB2312" w:eastAsia="仿宋_GB2312"/>
          <w:sz w:val="32"/>
        </w:rPr>
      </w:pPr>
      <w:r>
        <w:rPr>
          <w:rFonts w:ascii="仿宋_GB2312" w:eastAsia="仿宋_GB2312"/>
          <w:sz w:val="32"/>
          <w:highlight w:val="none"/>
        </w:rPr>
        <w:t>202</w:t>
      </w:r>
      <w:r>
        <w:rPr>
          <w:rFonts w:hint="eastAsia" w:ascii="仿宋_GB2312" w:eastAsia="仿宋_GB2312"/>
          <w:sz w:val="32"/>
          <w:highlight w:val="none"/>
          <w:lang w:val="en-US" w:eastAsia="zh-CN"/>
        </w:rPr>
        <w:t>2</w:t>
      </w:r>
      <w:r>
        <w:rPr>
          <w:rFonts w:ascii="仿宋_GB2312" w:eastAsia="仿宋_GB2312"/>
          <w:sz w:val="32"/>
          <w:highlight w:val="none"/>
        </w:rPr>
        <w:t>年度机关运行经费支出</w:t>
      </w:r>
      <w:r>
        <w:rPr>
          <w:rFonts w:hint="eastAsia" w:ascii="仿宋_GB2312" w:eastAsia="仿宋_GB2312"/>
          <w:sz w:val="32"/>
          <w:highlight w:val="none"/>
          <w:lang w:val="en-US" w:eastAsia="zh-CN"/>
        </w:rPr>
        <w:t>18.22</w:t>
      </w:r>
      <w:r>
        <w:rPr>
          <w:rFonts w:ascii="仿宋_GB2312" w:eastAsia="仿宋_GB2312"/>
          <w:sz w:val="32"/>
          <w:highlight w:val="none"/>
        </w:rPr>
        <w:t>万元，比上年决算数减少</w:t>
      </w:r>
      <w:r>
        <w:rPr>
          <w:rFonts w:hint="eastAsia" w:ascii="仿宋_GB2312" w:eastAsia="仿宋_GB2312"/>
          <w:sz w:val="32"/>
          <w:highlight w:val="none"/>
          <w:lang w:val="en-US" w:eastAsia="zh-CN"/>
        </w:rPr>
        <w:t>4.17</w:t>
      </w:r>
      <w:r>
        <w:rPr>
          <w:rFonts w:ascii="仿宋_GB2312" w:eastAsia="仿宋_GB2312"/>
          <w:sz w:val="32"/>
          <w:highlight w:val="none"/>
        </w:rPr>
        <w:t>万元，降低</w:t>
      </w:r>
      <w:r>
        <w:rPr>
          <w:rFonts w:hint="eastAsia" w:ascii="仿宋_GB2312" w:eastAsia="仿宋_GB2312"/>
          <w:sz w:val="32"/>
          <w:highlight w:val="none"/>
          <w:lang w:val="en-US" w:eastAsia="zh-CN"/>
        </w:rPr>
        <w:t>18.62</w:t>
      </w:r>
      <w:r>
        <w:rPr>
          <w:rFonts w:ascii="仿宋_GB2312" w:eastAsia="仿宋_GB2312"/>
          <w:sz w:val="32"/>
          <w:highlight w:val="none"/>
        </w:rPr>
        <w:t>%，主要原因是</w:t>
      </w:r>
      <w:r>
        <w:rPr>
          <w:rFonts w:hint="eastAsia" w:ascii="仿宋_GB2312" w:hAnsi="黑体" w:eastAsia="仿宋_GB2312"/>
          <w:color w:val="auto"/>
          <w:sz w:val="32"/>
          <w:szCs w:val="32"/>
          <w:highlight w:val="none"/>
          <w:lang w:eastAsia="zh-CN"/>
        </w:rPr>
        <w:t>人员支出减少</w:t>
      </w:r>
      <w:r>
        <w:rPr>
          <w:rFonts w:ascii="仿宋_GB2312" w:eastAsia="仿宋_GB2312"/>
          <w:sz w:val="32"/>
          <w:highlight w:val="none"/>
        </w:rPr>
        <w:t>。</w:t>
      </w:r>
    </w:p>
    <w:p w14:paraId="048E653F">
      <w:pPr>
        <w:pStyle w:val="7"/>
        <w:numPr>
          <w:ilvl w:val="0"/>
          <w:numId w:val="5"/>
        </w:numPr>
        <w:spacing w:line="560" w:lineRule="exact"/>
        <w:ind w:firstLine="640"/>
        <w:rPr>
          <w:rFonts w:ascii="楷体_GB2312" w:eastAsia="楷体_GB2312"/>
          <w:b/>
          <w:sz w:val="32"/>
        </w:rPr>
      </w:pPr>
      <w:r>
        <w:rPr>
          <w:rFonts w:ascii="楷体_GB2312" w:eastAsia="楷体_GB2312"/>
          <w:b/>
          <w:sz w:val="32"/>
        </w:rPr>
        <w:t>政府采购支出情况。</w:t>
      </w:r>
    </w:p>
    <w:p w14:paraId="16E65D38">
      <w:pPr>
        <w:pStyle w:val="7"/>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389B01D0">
      <w:pPr>
        <w:numPr>
          <w:ilvl w:val="0"/>
          <w:numId w:val="6"/>
        </w:numPr>
        <w:spacing w:line="540" w:lineRule="exact"/>
        <w:ind w:left="0" w:leftChars="0" w:firstLine="660" w:firstLineChars="0"/>
        <w:rPr>
          <w:rFonts w:ascii="楷体_GB2312" w:eastAsia="楷体_GB2312"/>
          <w:b/>
          <w:sz w:val="32"/>
        </w:rPr>
      </w:pPr>
      <w:r>
        <w:rPr>
          <w:rFonts w:ascii="楷体_GB2312" w:eastAsia="楷体_GB2312"/>
          <w:b/>
          <w:sz w:val="32"/>
        </w:rPr>
        <w:t>国有资产占用情况。</w:t>
      </w:r>
    </w:p>
    <w:p w14:paraId="77FC3BD0">
      <w:pPr>
        <w:numPr>
          <w:ilvl w:val="0"/>
          <w:numId w:val="0"/>
        </w:numPr>
        <w:spacing w:line="540" w:lineRule="exact"/>
        <w:ind w:firstLine="640" w:firstLineChars="200"/>
        <w:rPr>
          <w:rFonts w:hint="eastAsia" w:ascii="仿宋_GB2312" w:hAnsi="仿宋_GB2312" w:eastAsia="仿宋_GB2312" w:cs="仿宋_GB2312"/>
          <w:b w:val="0"/>
          <w:bCs w:val="0"/>
          <w:color w:val="auto"/>
          <w:sz w:val="32"/>
          <w:szCs w:val="32"/>
          <w:highlight w:val="none"/>
          <w:lang w:eastAsia="zh-CN"/>
        </w:rPr>
      </w:pPr>
      <w:r>
        <w:rPr>
          <w:rFonts w:ascii="仿宋_GB2312" w:hAnsi="黑体" w:eastAsia="仿宋_GB2312"/>
          <w:b w:val="0"/>
          <w:bCs w:val="0"/>
          <w:color w:val="auto"/>
          <w:sz w:val="32"/>
          <w:highlight w:val="none"/>
        </w:rPr>
        <w:t>截至20</w:t>
      </w:r>
      <w:r>
        <w:rPr>
          <w:rFonts w:hint="eastAsia" w:ascii="仿宋_GB2312" w:hAnsi="黑体" w:eastAsia="仿宋_GB2312"/>
          <w:b w:val="0"/>
          <w:bCs w:val="0"/>
          <w:color w:val="auto"/>
          <w:sz w:val="32"/>
          <w:highlight w:val="none"/>
          <w:lang w:val="en-US" w:eastAsia="zh-CN"/>
        </w:rPr>
        <w:t>22</w:t>
      </w:r>
      <w:r>
        <w:rPr>
          <w:rFonts w:ascii="仿宋_GB2312" w:hAnsi="黑体" w:eastAsia="仿宋_GB2312"/>
          <w:b w:val="0"/>
          <w:bCs w:val="0"/>
          <w:color w:val="auto"/>
          <w:sz w:val="32"/>
          <w:highlight w:val="none"/>
        </w:rPr>
        <w:t>年12月31日，</w:t>
      </w:r>
      <w:r>
        <w:rPr>
          <w:rFonts w:hint="eastAsia" w:ascii="仿宋_GB2312" w:hAnsi="黑体" w:eastAsia="仿宋_GB2312"/>
          <w:b w:val="0"/>
          <w:bCs w:val="0"/>
          <w:color w:val="auto"/>
          <w:sz w:val="32"/>
          <w:highlight w:val="none"/>
          <w:lang w:eastAsia="zh-CN"/>
        </w:rPr>
        <w:t>共有</w:t>
      </w:r>
      <w:r>
        <w:rPr>
          <w:rFonts w:ascii="仿宋_GB2312" w:hAnsi="黑体" w:eastAsia="仿宋_GB2312"/>
          <w:b w:val="0"/>
          <w:bCs w:val="0"/>
          <w:color w:val="auto"/>
          <w:sz w:val="32"/>
          <w:highlight w:val="none"/>
        </w:rPr>
        <w:t>车辆0辆</w:t>
      </w:r>
      <w:r>
        <w:rPr>
          <w:rFonts w:ascii="仿宋_GB2312" w:hAnsi="仿宋_GB2312" w:eastAsia="仿宋_GB2312" w:cs="仿宋_GB2312"/>
          <w:b w:val="0"/>
          <w:bCs w:val="0"/>
          <w:color w:val="auto"/>
          <w:sz w:val="32"/>
          <w:szCs w:val="32"/>
          <w:highlight w:val="none"/>
        </w:rPr>
        <w:t>；单位价值50万元以上通用设备0台（套），单价100万元以上专用设备0台（套）</w:t>
      </w:r>
      <w:r>
        <w:rPr>
          <w:rFonts w:hint="eastAsia" w:ascii="仿宋_GB2312" w:hAnsi="仿宋_GB2312" w:eastAsia="仿宋_GB2312" w:cs="仿宋_GB2312"/>
          <w:b w:val="0"/>
          <w:bCs w:val="0"/>
          <w:color w:val="auto"/>
          <w:sz w:val="32"/>
          <w:szCs w:val="32"/>
          <w:highlight w:val="none"/>
          <w:lang w:eastAsia="zh-CN"/>
        </w:rPr>
        <w:t>。</w:t>
      </w:r>
    </w:p>
    <w:p w14:paraId="39C0CD7E">
      <w:pPr>
        <w:numPr>
          <w:ilvl w:val="0"/>
          <w:numId w:val="0"/>
        </w:numPr>
        <w:spacing w:line="540" w:lineRule="exact"/>
        <w:ind w:firstLine="640" w:firstLineChars="200"/>
        <w:rPr>
          <w:rFonts w:hint="eastAsia" w:ascii="仿宋_GB2312" w:hAnsi="仿宋_GB2312" w:eastAsia="仿宋_GB2312" w:cs="仿宋_GB2312"/>
          <w:b w:val="0"/>
          <w:bCs w:val="0"/>
          <w:color w:val="auto"/>
          <w:sz w:val="32"/>
          <w:szCs w:val="32"/>
          <w:highlight w:val="none"/>
          <w:lang w:eastAsia="zh-CN"/>
        </w:rPr>
      </w:pPr>
    </w:p>
    <w:p w14:paraId="2352D242">
      <w:pPr>
        <w:numPr>
          <w:ilvl w:val="0"/>
          <w:numId w:val="0"/>
        </w:numPr>
        <w:spacing w:line="540" w:lineRule="exact"/>
        <w:ind w:firstLine="640" w:firstLineChars="200"/>
        <w:rPr>
          <w:rFonts w:hint="eastAsia" w:ascii="仿宋_GB2312" w:hAnsi="仿宋_GB2312" w:eastAsia="仿宋_GB2312" w:cs="仿宋_GB2312"/>
          <w:b w:val="0"/>
          <w:bCs w:val="0"/>
          <w:color w:val="auto"/>
          <w:sz w:val="32"/>
          <w:szCs w:val="32"/>
          <w:highlight w:val="none"/>
          <w:lang w:eastAsia="zh-CN"/>
        </w:rPr>
      </w:pPr>
    </w:p>
    <w:p w14:paraId="5C92962A">
      <w:pPr>
        <w:numPr>
          <w:ilvl w:val="0"/>
          <w:numId w:val="0"/>
        </w:numPr>
        <w:spacing w:line="540" w:lineRule="exact"/>
        <w:ind w:firstLine="640" w:firstLineChars="200"/>
        <w:rPr>
          <w:rFonts w:hint="default" w:ascii="仿宋_GB2312" w:hAnsi="仿宋_GB2312" w:eastAsia="仿宋_GB2312" w:cs="仿宋_GB2312"/>
          <w:b w:val="0"/>
          <w:bCs w:val="0"/>
          <w:color w:val="auto"/>
          <w:sz w:val="32"/>
          <w:szCs w:val="32"/>
          <w:highlight w:val="none"/>
          <w:lang w:eastAsia="zh-CN"/>
        </w:rPr>
      </w:pPr>
    </w:p>
    <w:p w14:paraId="1B5665B8">
      <w:pPr>
        <w:keepNext w:val="0"/>
        <w:keepLines w:val="0"/>
        <w:widowControl/>
        <w:suppressLineNumbers w:val="0"/>
        <w:spacing w:before="0" w:beforeAutospacing="0" w:after="0" w:afterAutospacing="0" w:line="540" w:lineRule="exact"/>
        <w:ind w:left="0" w:right="0" w:firstLine="643" w:firstLineChars="200"/>
        <w:jc w:val="left"/>
        <w:rPr>
          <w:rFonts w:ascii="楷体_GB2312" w:eastAsia="楷体_GB2312"/>
          <w:b/>
          <w:sz w:val="32"/>
        </w:rPr>
      </w:pPr>
      <w:r>
        <w:rPr>
          <w:rFonts w:ascii="楷体_GB2312" w:eastAsia="楷体_GB2312"/>
          <w:b/>
          <w:sz w:val="32"/>
        </w:rPr>
        <w:t>（四）预算绩效管理工作开展情况。</w:t>
      </w:r>
    </w:p>
    <w:p w14:paraId="69461D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b/>
          <w:color w:val="auto"/>
          <w:kern w:val="2"/>
          <w:sz w:val="32"/>
          <w:szCs w:val="32"/>
          <w:highlight w:val="none"/>
          <w:shd w:val="clear" w:color="auto" w:fill="auto"/>
          <w:lang w:val="en-US" w:eastAsia="zh-CN" w:bidi="ar"/>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18CA59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8个（其中：一般公共预算项目8个，政府性基金预算项目0个，国有资本经营预算项目0个），涉及资金720.4万元（其中：一般公共预算资金720.4万元，政府性基金预算资金0万元，国有资本经营预算资金0万元），自评覆盖率</w:t>
      </w:r>
      <w:r>
        <w:rPr>
          <w:rFonts w:hint="eastAsia" w:ascii="仿宋_GB2312" w:hAnsi="宋体" w:eastAsia="仿宋_GB2312" w:cs="宋体"/>
          <w:color w:val="auto"/>
          <w:kern w:val="2"/>
          <w:sz w:val="32"/>
          <w:szCs w:val="32"/>
          <w:highlight w:val="none"/>
          <w:shd w:val="clear" w:color="auto" w:fill="auto"/>
          <w:lang w:val="en-US" w:eastAsia="zh-CN" w:bidi="ar"/>
        </w:rPr>
        <w:t>达到</w:t>
      </w:r>
      <w:r>
        <w:rPr>
          <w:rFonts w:hint="eastAsia" w:ascii="仿宋_GB2312" w:hAnsi="宋体" w:eastAsia="仿宋_GB2312" w:cs="仿宋_GB2312"/>
          <w:color w:val="auto"/>
          <w:kern w:val="2"/>
          <w:sz w:val="32"/>
          <w:szCs w:val="32"/>
          <w:highlight w:val="none"/>
          <w:shd w:val="clear" w:color="auto" w:fill="auto"/>
          <w:lang w:val="en-US" w:eastAsia="zh-CN" w:bidi="ar"/>
        </w:rPr>
        <w:t>80</w:t>
      </w:r>
      <w:r>
        <w:rPr>
          <w:rFonts w:hint="eastAsia" w:ascii="仿宋_GB2312" w:hAnsi="宋体" w:eastAsia="仿宋_GB2312" w:cs="宋体"/>
          <w:color w:val="auto"/>
          <w:kern w:val="2"/>
          <w:sz w:val="32"/>
          <w:szCs w:val="32"/>
          <w:highlight w:val="none"/>
          <w:shd w:val="clear" w:color="auto" w:fill="auto"/>
          <w:lang w:val="en-US" w:eastAsia="zh-CN" w:bidi="ar"/>
        </w:rPr>
        <w:t>%，自评分</w:t>
      </w:r>
      <w:r>
        <w:rPr>
          <w:rFonts w:hint="eastAsia" w:ascii="仿宋_GB2312" w:hAnsi="宋体" w:eastAsia="仿宋_GB2312" w:cs="仿宋_GB2312"/>
          <w:color w:val="auto"/>
          <w:kern w:val="2"/>
          <w:sz w:val="32"/>
          <w:szCs w:val="32"/>
          <w:highlight w:val="none"/>
          <w:shd w:val="clear" w:color="auto" w:fill="auto"/>
          <w:lang w:val="en-US" w:eastAsia="zh-CN" w:bidi="ar"/>
        </w:rPr>
        <w:t>91分。</w:t>
      </w:r>
      <w:r>
        <w:rPr>
          <w:rFonts w:hint="eastAsia" w:hAnsi="宋体" w:eastAsia="仿宋_GB2312" w:cs="仿宋_GB2312"/>
          <w:color w:val="auto"/>
          <w:kern w:val="2"/>
          <w:sz w:val="32"/>
          <w:szCs w:val="32"/>
          <w:highlight w:val="none"/>
          <w:shd w:val="clear" w:color="auto" w:fill="auto"/>
          <w:lang w:val="en-US" w:eastAsia="zh-CN" w:bidi="ar"/>
        </w:rPr>
        <w:t>《部门（单位）整体绩效自评表》见附件。</w:t>
      </w:r>
    </w:p>
    <w:p w14:paraId="18A9EC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本单位组织对“雇员经费”“</w:t>
      </w:r>
      <w:bookmarkStart w:id="0" w:name="_GoBack"/>
      <w:bookmarkEnd w:id="0"/>
      <w:r>
        <w:rPr>
          <w:rFonts w:hint="eastAsia" w:ascii="仿宋_GB2312" w:hAnsi="宋体" w:eastAsia="仿宋_GB2312" w:cs="仿宋_GB2312"/>
          <w:color w:val="auto"/>
          <w:kern w:val="2"/>
          <w:sz w:val="32"/>
          <w:szCs w:val="32"/>
          <w:highlight w:val="none"/>
          <w:shd w:val="clear" w:color="auto" w:fill="auto"/>
          <w:lang w:val="en-US" w:eastAsia="zh-CN" w:bidi="ar"/>
        </w:rPr>
        <w:t>公益性岗位经费”等8个项目开展了部门评价，涉及资金1426.33万元（其中：一般公共预算资金1426.33万元，政府性基金预算资金0万元，国有资本经营预算资金0万元）。从评价情况来看，部门预算基本支出执行率较高，项目支出执行率有待提升。</w:t>
      </w:r>
    </w:p>
    <w:p w14:paraId="29D658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14:paraId="627F30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仿宋_GB2312" w:eastAsia="仿宋_GB2312" w:cs="仿宋_GB2312"/>
          <w:b w:val="0"/>
          <w:bCs/>
          <w:color w:val="auto"/>
          <w:kern w:val="2"/>
          <w:sz w:val="32"/>
          <w:szCs w:val="32"/>
          <w:highlight w:val="none"/>
          <w:shd w:val="clear" w:color="auto" w:fill="auto"/>
          <w:lang w:val="en-US" w:eastAsia="zh-CN" w:bidi="ar"/>
        </w:rPr>
        <w:t>2022年本部门不涉及特定目标类绩效评价。</w:t>
      </w:r>
    </w:p>
    <w:p w14:paraId="42F5A6F4">
      <w:pPr>
        <w:widowControl/>
        <w:spacing w:line="520" w:lineRule="exact"/>
        <w:ind w:firstLine="643" w:firstLineChars="200"/>
        <w:jc w:val="left"/>
        <w:rPr>
          <w:rFonts w:ascii="仿宋_GB2312" w:hAnsi="宋体" w:eastAsia="仿宋_GB2312" w:cs="仿宋_GB2312"/>
          <w:b/>
          <w:bCs/>
          <w:sz w:val="32"/>
          <w:szCs w:val="32"/>
        </w:rPr>
      </w:pPr>
      <w:r>
        <w:rPr>
          <w:rFonts w:ascii="仿宋_GB2312" w:hAnsi="宋体" w:eastAsia="仿宋_GB2312" w:cs="仿宋_GB2312"/>
          <w:b/>
          <w:bCs/>
          <w:sz w:val="32"/>
          <w:szCs w:val="32"/>
        </w:rPr>
        <w:t>3.部门评价结果。</w:t>
      </w:r>
    </w:p>
    <w:p w14:paraId="79AA8D0F">
      <w:pPr>
        <w:widowControl/>
        <w:spacing w:line="520" w:lineRule="exact"/>
        <w:ind w:firstLine="640" w:firstLineChars="200"/>
        <w:jc w:val="left"/>
        <w:rPr>
          <w:rFonts w:hint="default" w:ascii="仿宋_GB2312" w:hAnsi="宋体" w:eastAsia="仿宋_GB2312" w:cs="仿宋_GB2312"/>
          <w:bCs/>
          <w:sz w:val="32"/>
          <w:szCs w:val="32"/>
        </w:rPr>
      </w:pPr>
      <w:r>
        <w:rPr>
          <w:rFonts w:ascii="仿宋_GB2312" w:hAnsi="宋体" w:eastAsia="仿宋_GB2312" w:cs="仿宋_GB2312"/>
          <w:bCs/>
          <w:sz w:val="32"/>
          <w:szCs w:val="32"/>
        </w:rPr>
        <w:t>预算执行较好，建议继续全额安排。</w:t>
      </w:r>
    </w:p>
    <w:p w14:paraId="2AA70013">
      <w:pPr>
        <w:widowControl/>
        <w:spacing w:line="520" w:lineRule="exact"/>
        <w:ind w:firstLine="643" w:firstLineChars="200"/>
        <w:jc w:val="left"/>
        <w:rPr>
          <w:rFonts w:ascii="仿宋_GB2312" w:hAnsi="宋体" w:eastAsia="仿宋_GB2312" w:cs="仿宋_GB2312"/>
          <w:b/>
          <w:bCs/>
          <w:sz w:val="32"/>
          <w:szCs w:val="32"/>
        </w:rPr>
      </w:pPr>
      <w:r>
        <w:rPr>
          <w:rFonts w:ascii="仿宋_GB2312" w:hAnsi="宋体" w:eastAsia="仿宋_GB2312" w:cs="仿宋_GB2312"/>
          <w:b/>
          <w:bCs/>
          <w:sz w:val="32"/>
          <w:szCs w:val="32"/>
        </w:rPr>
        <w:t>4.财政评价结果。</w:t>
      </w:r>
    </w:p>
    <w:p w14:paraId="7CFDB1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ascii="仿宋_GB2312" w:hAnsi="宋体" w:eastAsia="仿宋_GB2312" w:cs="仿宋_GB2312"/>
          <w:bCs/>
          <w:sz w:val="32"/>
          <w:szCs w:val="32"/>
        </w:rPr>
        <w:t>部门预算执行较好，建议继续全额安排，合理使用财政资金，使资金发挥更大效益</w:t>
      </w:r>
      <w:r>
        <w:rPr>
          <w:rFonts w:hint="eastAsia" w:ascii="仿宋_GB2312" w:hAnsi="宋体" w:eastAsia="仿宋_GB2312" w:cs="仿宋_GB2312"/>
          <w:b/>
          <w:bCs/>
          <w:color w:val="auto"/>
          <w:kern w:val="2"/>
          <w:sz w:val="32"/>
          <w:szCs w:val="32"/>
          <w:highlight w:val="none"/>
          <w:shd w:val="clear" w:color="auto" w:fill="auto"/>
          <w:lang w:val="en-US" w:eastAsia="zh-CN" w:bidi="ar"/>
        </w:rPr>
        <w:t>。</w:t>
      </w:r>
    </w:p>
    <w:p w14:paraId="751B01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jc w:val="left"/>
        <w:textAlignment w:val="auto"/>
        <w:rPr>
          <w:rFonts w:hint="default" w:ascii="仿宋_GB2312" w:hAnsi="宋体" w:eastAsia="仿宋_GB2312" w:cs="仿宋_GB2312"/>
          <w:b/>
          <w:bCs/>
          <w:color w:val="auto"/>
          <w:kern w:val="2"/>
          <w:sz w:val="32"/>
          <w:szCs w:val="32"/>
          <w:highlight w:val="none"/>
          <w:shd w:val="clear" w:color="auto" w:fill="auto"/>
          <w:lang w:val="en-US" w:eastAsia="zh-CN" w:bidi="ar"/>
        </w:rPr>
      </w:pPr>
    </w:p>
    <w:p w14:paraId="2FE46ACB">
      <w:pPr>
        <w:pStyle w:val="10"/>
        <w:autoSpaceDN w:val="0"/>
        <w:spacing w:line="560" w:lineRule="exact"/>
        <w:jc w:val="center"/>
        <w:rPr>
          <w:rFonts w:hint="eastAsia"/>
          <w:b/>
          <w:bCs/>
          <w:sz w:val="36"/>
          <w:szCs w:val="36"/>
        </w:rPr>
      </w:pPr>
      <w:r>
        <w:rPr>
          <w:rFonts w:hint="eastAsia"/>
          <w:b/>
          <w:bCs/>
          <w:sz w:val="36"/>
          <w:szCs w:val="36"/>
        </w:rPr>
        <w:t>第三部分 名词解释</w:t>
      </w:r>
    </w:p>
    <w:p w14:paraId="5C6FBB87">
      <w:pPr>
        <w:pStyle w:val="10"/>
        <w:autoSpaceDN w:val="0"/>
        <w:spacing w:line="560" w:lineRule="exact"/>
        <w:jc w:val="center"/>
        <w:rPr>
          <w:rFonts w:hint="eastAsia"/>
          <w:b/>
          <w:bCs/>
          <w:sz w:val="36"/>
          <w:szCs w:val="36"/>
        </w:rPr>
      </w:pPr>
    </w:p>
    <w:p w14:paraId="2ABA9447">
      <w:pPr>
        <w:pStyle w:val="7"/>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6846E669">
      <w:pPr>
        <w:pStyle w:val="7"/>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23E1C785">
      <w:pPr>
        <w:pStyle w:val="7"/>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410811A7">
      <w:pPr>
        <w:pStyle w:val="7"/>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7A8EE90F">
      <w:pPr>
        <w:pStyle w:val="7"/>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0F7FDE46">
      <w:pPr>
        <w:pStyle w:val="7"/>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095579FA">
      <w:pPr>
        <w:pStyle w:val="7"/>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4D22D007">
      <w:pPr>
        <w:pStyle w:val="7"/>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7B005F8F">
      <w:pPr>
        <w:pStyle w:val="7"/>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64E00330">
      <w:pPr>
        <w:pStyle w:val="7"/>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21C2CE9D">
      <w:pPr>
        <w:pStyle w:val="7"/>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17A9ED79">
      <w:pPr>
        <w:pStyle w:val="7"/>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10449C33">
      <w:pPr>
        <w:pStyle w:val="7"/>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02DD5350">
      <w:pPr>
        <w:pStyle w:val="7"/>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C80D573">
      <w:pPr>
        <w:pStyle w:val="7"/>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B62840C">
      <w:pPr>
        <w:pStyle w:val="7"/>
        <w:spacing w:line="560" w:lineRule="exact"/>
        <w:ind w:firstLine="640"/>
        <w:rPr>
          <w:rFonts w:hint="default" w:ascii="仿宋_GB2312" w:hAnsi="仿宋_GB2312" w:eastAsia="仿宋_GB2312" w:cs="仿宋_GB2312"/>
          <w:b/>
          <w:sz w:val="52"/>
          <w:szCs w:val="52"/>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5E88E358">
      <w:pPr>
        <w:pStyle w:val="7"/>
        <w:spacing w:line="560" w:lineRule="atLeast"/>
        <w:jc w:val="left"/>
        <w:rPr>
          <w:rFonts w:hint="default" w:ascii="仿宋_GB2312" w:hAnsi="仿宋_GB2312" w:eastAsia="仿宋_GB2312" w:cs="仿宋_GB2312"/>
          <w:b/>
          <w:sz w:val="52"/>
          <w:szCs w:val="52"/>
        </w:rPr>
      </w:pPr>
    </w:p>
    <w:p w14:paraId="5B077486">
      <w:pPr>
        <w:pStyle w:val="7"/>
        <w:spacing w:line="560" w:lineRule="atLeast"/>
        <w:jc w:val="left"/>
        <w:rPr>
          <w:rFonts w:hint="default" w:ascii="仿宋_GB2312" w:hAnsi="仿宋_GB2312" w:eastAsia="仿宋_GB2312" w:cs="仿宋_GB2312"/>
          <w:b/>
          <w:sz w:val="52"/>
          <w:szCs w:val="52"/>
        </w:rPr>
      </w:pPr>
    </w:p>
    <w:p w14:paraId="4E6C948B">
      <w:pPr>
        <w:pStyle w:val="7"/>
        <w:spacing w:line="560" w:lineRule="atLeast"/>
        <w:jc w:val="left"/>
        <w:rPr>
          <w:rFonts w:hint="default" w:ascii="仿宋_GB2312" w:hAnsi="仿宋_GB2312" w:eastAsia="仿宋_GB2312" w:cs="仿宋_GB2312"/>
          <w:b/>
          <w:sz w:val="52"/>
          <w:szCs w:val="52"/>
        </w:rPr>
      </w:pPr>
    </w:p>
    <w:p w14:paraId="643FEB39">
      <w:pPr>
        <w:pStyle w:val="7"/>
        <w:spacing w:line="560" w:lineRule="atLeast"/>
        <w:jc w:val="left"/>
        <w:rPr>
          <w:rFonts w:hint="default" w:ascii="仿宋_GB2312" w:hAnsi="仿宋_GB2312" w:eastAsia="仿宋_GB2312" w:cs="仿宋_GB2312"/>
          <w:b/>
          <w:sz w:val="52"/>
          <w:szCs w:val="52"/>
        </w:rPr>
      </w:pPr>
    </w:p>
    <w:p w14:paraId="40393C9C">
      <w:pPr>
        <w:numPr>
          <w:ilvl w:val="0"/>
          <w:numId w:val="7"/>
        </w:numPr>
        <w:spacing w:line="540" w:lineRule="exact"/>
        <w:jc w:val="center"/>
        <w:outlineLvl w:val="0"/>
        <w:rPr>
          <w:rFonts w:hint="eastAsia" w:ascii="仿宋_GB2312" w:eastAsia="仿宋_GB2312"/>
          <w:color w:val="auto"/>
          <w:sz w:val="52"/>
          <w:szCs w:val="52"/>
          <w:highlight w:val="none"/>
        </w:rPr>
      </w:pPr>
      <w:r>
        <w:rPr>
          <w:rFonts w:hint="eastAsia" w:ascii="宋体" w:hAnsi="宋体"/>
          <w:b/>
          <w:color w:val="auto"/>
          <w:sz w:val="52"/>
          <w:szCs w:val="52"/>
          <w:highlight w:val="none"/>
          <w:lang w:eastAsia="zh-CN"/>
        </w:rPr>
        <w:t>沈阳市浑南区文化旅游和广播电视局202</w:t>
      </w:r>
      <w:r>
        <w:rPr>
          <w:rFonts w:hint="eastAsia" w:ascii="宋体" w:hAnsi="宋体"/>
          <w:b/>
          <w:color w:val="auto"/>
          <w:sz w:val="52"/>
          <w:szCs w:val="52"/>
          <w:highlight w:val="none"/>
          <w:lang w:val="en-US" w:eastAsia="zh-CN"/>
        </w:rPr>
        <w:t>2</w:t>
      </w:r>
      <w:r>
        <w:rPr>
          <w:rFonts w:hint="eastAsia" w:ascii="宋体" w:hAnsi="宋体"/>
          <w:b/>
          <w:color w:val="auto"/>
          <w:sz w:val="52"/>
          <w:szCs w:val="52"/>
          <w:highlight w:val="none"/>
        </w:rPr>
        <w:t>年度决算表</w:t>
      </w:r>
    </w:p>
    <w:p w14:paraId="50B929C0">
      <w:pPr>
        <w:rPr>
          <w:rFonts w:hint="default" w:ascii="仿宋_GB2312" w:hAnsi="宋体" w:eastAsia="仿宋_GB2312"/>
          <w:kern w:val="0"/>
          <w:sz w:val="32"/>
        </w:rPr>
      </w:pPr>
    </w:p>
    <w:p w14:paraId="48F983BD">
      <w:pPr>
        <w:rPr>
          <w:rFonts w:hint="default" w:ascii="仿宋_GB2312" w:hAnsi="宋体" w:eastAsia="仿宋_GB2312"/>
          <w:kern w:val="0"/>
          <w:sz w:val="32"/>
        </w:rPr>
      </w:pPr>
    </w:p>
    <w:p w14:paraId="1FA89898">
      <w:pPr>
        <w:rPr>
          <w:rFonts w:hint="default" w:ascii="仿宋_GB2312" w:hAnsi="宋体" w:eastAsia="仿宋_GB2312"/>
          <w:kern w:val="0"/>
          <w:sz w:val="32"/>
        </w:rPr>
      </w:pPr>
    </w:p>
    <w:p w14:paraId="774599AF">
      <w:pPr>
        <w:rPr>
          <w:rFonts w:hint="default" w:ascii="仿宋_GB2312" w:hAnsi="宋体" w:eastAsia="仿宋_GB2312"/>
          <w:kern w:val="0"/>
          <w:sz w:val="32"/>
        </w:rPr>
      </w:pPr>
    </w:p>
    <w:p w14:paraId="4B0AC795">
      <w:pPr>
        <w:rPr>
          <w:rFonts w:hint="default" w:ascii="仿宋_GB2312" w:hAnsi="宋体" w:eastAsia="仿宋_GB2312"/>
          <w:kern w:val="0"/>
          <w:sz w:val="32"/>
        </w:rPr>
      </w:pPr>
    </w:p>
    <w:p w14:paraId="00776DD2">
      <w:pPr>
        <w:rPr>
          <w:rFonts w:hint="default" w:ascii="仿宋_GB2312" w:hAnsi="宋体" w:eastAsia="仿宋_GB2312"/>
          <w:kern w:val="0"/>
          <w:sz w:val="32"/>
        </w:rPr>
      </w:pPr>
    </w:p>
    <w:p w14:paraId="702BD0B2">
      <w:pPr>
        <w:rPr>
          <w:rFonts w:hint="default" w:ascii="仿宋_GB2312" w:hAnsi="宋体" w:eastAsia="仿宋_GB2312"/>
          <w:kern w:val="0"/>
          <w:sz w:val="32"/>
        </w:rPr>
      </w:pPr>
    </w:p>
    <w:p w14:paraId="78D4F275">
      <w:pPr>
        <w:rPr>
          <w:rFonts w:hint="default" w:ascii="仿宋_GB2312" w:hAnsi="宋体" w:eastAsia="仿宋_GB2312"/>
          <w:kern w:val="0"/>
          <w:sz w:val="32"/>
        </w:rPr>
      </w:pPr>
    </w:p>
    <w:p w14:paraId="201F5BB2">
      <w:pPr>
        <w:rPr>
          <w:rFonts w:hint="default" w:ascii="仿宋_GB2312" w:hAnsi="宋体" w:eastAsia="仿宋_GB2312"/>
          <w:kern w:val="0"/>
          <w:sz w:val="32"/>
        </w:rPr>
      </w:pPr>
    </w:p>
    <w:p w14:paraId="7133388B">
      <w:pPr>
        <w:jc w:val="center"/>
        <w:rPr>
          <w:rFonts w:hint="eastAsia" w:ascii="宋体" w:hAnsi="宋体" w:eastAsia="宋体" w:cs="宋体"/>
          <w:b/>
          <w:bCs/>
          <w:kern w:val="0"/>
          <w:sz w:val="52"/>
          <w:szCs w:val="52"/>
          <w:lang w:val="en-US" w:eastAsia="zh-CN"/>
        </w:rPr>
      </w:pPr>
      <w:r>
        <w:rPr>
          <w:rFonts w:hint="eastAsia" w:ascii="宋体" w:hAnsi="宋体" w:eastAsia="宋体" w:cs="宋体"/>
          <w:b/>
          <w:bCs/>
          <w:kern w:val="0"/>
          <w:sz w:val="52"/>
          <w:szCs w:val="52"/>
          <w:lang w:eastAsia="zh-CN"/>
        </w:rPr>
        <w:t>第五部分</w:t>
      </w:r>
      <w:r>
        <w:rPr>
          <w:rFonts w:hint="eastAsia" w:ascii="宋体" w:hAnsi="宋体" w:eastAsia="宋体" w:cs="宋体"/>
          <w:b/>
          <w:bCs/>
          <w:kern w:val="0"/>
          <w:sz w:val="52"/>
          <w:szCs w:val="52"/>
          <w:lang w:val="en-US" w:eastAsia="zh-CN"/>
        </w:rPr>
        <w:t xml:space="preserve">    附件</w:t>
      </w:r>
    </w:p>
    <w:p w14:paraId="5783B541">
      <w:pPr>
        <w:rPr>
          <w:rFonts w:hint="default" w:ascii="仿宋_GB2312" w:hAnsi="宋体" w:eastAsia="仿宋_GB2312"/>
          <w:kern w:val="0"/>
          <w:sz w:val="32"/>
        </w:rPr>
      </w:pPr>
    </w:p>
    <w:p w14:paraId="0443D88A">
      <w:pPr>
        <w:rPr>
          <w:rFonts w:hint="default" w:ascii="仿宋_GB2312" w:hAnsi="宋体" w:eastAsia="仿宋_GB2312"/>
          <w:kern w:val="0"/>
          <w:sz w:val="32"/>
        </w:rPr>
      </w:pPr>
    </w:p>
    <w:p w14:paraId="62540067">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5475A">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85E27">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12B900"/>
    <w:multiLevelType w:val="singleLevel"/>
    <w:tmpl w:val="A312B900"/>
    <w:lvl w:ilvl="0" w:tentative="0">
      <w:start w:val="2"/>
      <w:numFmt w:val="chineseCounting"/>
      <w:suff w:val="nothing"/>
      <w:lvlText w:val="（%1）"/>
      <w:lvlJc w:val="left"/>
      <w:rPr>
        <w:rFonts w:hint="eastAsia"/>
      </w:rPr>
    </w:lvl>
  </w:abstractNum>
  <w:abstractNum w:abstractNumId="1">
    <w:nsid w:val="B9D2F15B"/>
    <w:multiLevelType w:val="singleLevel"/>
    <w:tmpl w:val="B9D2F15B"/>
    <w:lvl w:ilvl="0" w:tentative="0">
      <w:start w:val="2"/>
      <w:numFmt w:val="chineseCounting"/>
      <w:suff w:val="nothing"/>
      <w:lvlText w:val="（%1）"/>
      <w:lvlJc w:val="left"/>
      <w:rPr>
        <w:rFonts w:hint="eastAsia"/>
      </w:rPr>
    </w:lvl>
  </w:abstractNum>
  <w:abstractNum w:abstractNumId="2">
    <w:nsid w:val="E9E08A24"/>
    <w:multiLevelType w:val="singleLevel"/>
    <w:tmpl w:val="E9E08A24"/>
    <w:lvl w:ilvl="0" w:tentative="0">
      <w:start w:val="3"/>
      <w:numFmt w:val="chineseCounting"/>
      <w:suff w:val="nothing"/>
      <w:lvlText w:val="（%1）"/>
      <w:lvlJc w:val="left"/>
      <w:rPr>
        <w:rFonts w:hint="eastAsia"/>
        <w:color w:val="auto"/>
      </w:rPr>
    </w:lvl>
  </w:abstractNum>
  <w:abstractNum w:abstractNumId="3">
    <w:nsid w:val="FCE9738F"/>
    <w:multiLevelType w:val="singleLevel"/>
    <w:tmpl w:val="FCE9738F"/>
    <w:lvl w:ilvl="0" w:tentative="0">
      <w:start w:val="1"/>
      <w:numFmt w:val="chineseCounting"/>
      <w:suff w:val="nothing"/>
      <w:lvlText w:val="（%1）"/>
      <w:lvlJc w:val="left"/>
      <w:rPr>
        <w:rFonts w:hint="eastAsia"/>
      </w:rPr>
    </w:lvl>
  </w:abstractNum>
  <w:abstractNum w:abstractNumId="4">
    <w:nsid w:val="2577CCAE"/>
    <w:multiLevelType w:val="singleLevel"/>
    <w:tmpl w:val="2577CCAE"/>
    <w:lvl w:ilvl="0" w:tentative="0">
      <w:start w:val="3"/>
      <w:numFmt w:val="chineseCounting"/>
      <w:suff w:val="nothing"/>
      <w:lvlText w:val="（%1）"/>
      <w:lvlJc w:val="left"/>
      <w:rPr>
        <w:rFonts w:hint="eastAsia"/>
        <w:color w:val="auto"/>
      </w:rPr>
    </w:lvl>
  </w:abstractNum>
  <w:abstractNum w:abstractNumId="5">
    <w:nsid w:val="25BFB221"/>
    <w:multiLevelType w:val="singleLevel"/>
    <w:tmpl w:val="25BFB221"/>
    <w:lvl w:ilvl="0" w:tentative="0">
      <w:start w:val="2"/>
      <w:numFmt w:val="chineseCounting"/>
      <w:suff w:val="nothing"/>
      <w:lvlText w:val="（%1）"/>
      <w:lvlJc w:val="left"/>
      <w:rPr>
        <w:rFonts w:hint="eastAsia"/>
      </w:rPr>
    </w:lvl>
  </w:abstractNum>
  <w:abstractNum w:abstractNumId="6">
    <w:nsid w:val="54011351"/>
    <w:multiLevelType w:val="singleLevel"/>
    <w:tmpl w:val="54011351"/>
    <w:lvl w:ilvl="0" w:tentative="0">
      <w:start w:val="4"/>
      <w:numFmt w:val="chineseCounting"/>
      <w:suff w:val="space"/>
      <w:lvlText w:val="第%1部分"/>
      <w:lvlJc w:val="left"/>
      <w:rPr>
        <w:rFonts w:hint="eastAsia"/>
      </w:rPr>
    </w:lvl>
  </w:abstractNum>
  <w:num w:numId="1">
    <w:abstractNumId w:val="3"/>
  </w:num>
  <w:num w:numId="2">
    <w:abstractNumId w:val="0"/>
  </w:num>
  <w:num w:numId="3">
    <w:abstractNumId w:val="5"/>
  </w:num>
  <w:num w:numId="4">
    <w:abstractNumId w:val="2"/>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126102"/>
    <w:rsid w:val="039F7AE7"/>
    <w:rsid w:val="048B7E66"/>
    <w:rsid w:val="04A22F14"/>
    <w:rsid w:val="074C1871"/>
    <w:rsid w:val="09C4782E"/>
    <w:rsid w:val="0BE6560D"/>
    <w:rsid w:val="0CDD473D"/>
    <w:rsid w:val="0ECB7368"/>
    <w:rsid w:val="11612EA5"/>
    <w:rsid w:val="15267261"/>
    <w:rsid w:val="1678782B"/>
    <w:rsid w:val="195B6188"/>
    <w:rsid w:val="1B5E4E30"/>
    <w:rsid w:val="1C635C29"/>
    <w:rsid w:val="20A07743"/>
    <w:rsid w:val="20D27B3D"/>
    <w:rsid w:val="22724796"/>
    <w:rsid w:val="228D6B72"/>
    <w:rsid w:val="23E43A82"/>
    <w:rsid w:val="25D2037B"/>
    <w:rsid w:val="264C6D95"/>
    <w:rsid w:val="29C67614"/>
    <w:rsid w:val="2D35408E"/>
    <w:rsid w:val="2E4F6256"/>
    <w:rsid w:val="2EA42359"/>
    <w:rsid w:val="2FA75892"/>
    <w:rsid w:val="2FA7745A"/>
    <w:rsid w:val="30753239"/>
    <w:rsid w:val="315E3A8E"/>
    <w:rsid w:val="31B05529"/>
    <w:rsid w:val="31D37D5B"/>
    <w:rsid w:val="322F554F"/>
    <w:rsid w:val="327E0568"/>
    <w:rsid w:val="34DD1522"/>
    <w:rsid w:val="352A7CAD"/>
    <w:rsid w:val="36230505"/>
    <w:rsid w:val="36DB6A21"/>
    <w:rsid w:val="37CA21FC"/>
    <w:rsid w:val="38093A8B"/>
    <w:rsid w:val="383B3CC3"/>
    <w:rsid w:val="3E366DDC"/>
    <w:rsid w:val="40E47808"/>
    <w:rsid w:val="420E65F8"/>
    <w:rsid w:val="42D17ED1"/>
    <w:rsid w:val="43EC5BA7"/>
    <w:rsid w:val="449175CA"/>
    <w:rsid w:val="45954AD7"/>
    <w:rsid w:val="4E794891"/>
    <w:rsid w:val="4E813A0E"/>
    <w:rsid w:val="50787C7F"/>
    <w:rsid w:val="53A2397B"/>
    <w:rsid w:val="54F6469B"/>
    <w:rsid w:val="557945C2"/>
    <w:rsid w:val="55F0435C"/>
    <w:rsid w:val="584D4A9D"/>
    <w:rsid w:val="59350C29"/>
    <w:rsid w:val="59500DC4"/>
    <w:rsid w:val="5B697371"/>
    <w:rsid w:val="5B9C643C"/>
    <w:rsid w:val="5D1425EF"/>
    <w:rsid w:val="5E60690D"/>
    <w:rsid w:val="60C86580"/>
    <w:rsid w:val="615E1CD0"/>
    <w:rsid w:val="673C6F2C"/>
    <w:rsid w:val="67EA2F3D"/>
    <w:rsid w:val="69F5427C"/>
    <w:rsid w:val="6C2156B1"/>
    <w:rsid w:val="6C3A7921"/>
    <w:rsid w:val="6FE97F7D"/>
    <w:rsid w:val="70060288"/>
    <w:rsid w:val="71812C9D"/>
    <w:rsid w:val="724179B2"/>
    <w:rsid w:val="73973493"/>
    <w:rsid w:val="748922C2"/>
    <w:rsid w:val="74A8174D"/>
    <w:rsid w:val="74CD67C5"/>
    <w:rsid w:val="751E1DA0"/>
    <w:rsid w:val="75975B1C"/>
    <w:rsid w:val="77991D4A"/>
    <w:rsid w:val="786D5194"/>
    <w:rsid w:val="7A733C63"/>
    <w:rsid w:val="7C705B15"/>
    <w:rsid w:val="7D024843"/>
    <w:rsid w:val="7DAF0807"/>
    <w:rsid w:val="7EFA11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p0"/>
    <w:basedOn w:val="1"/>
    <w:qFormat/>
    <w:uiPriority w:val="0"/>
    <w:pPr>
      <w:widowControl/>
    </w:pPr>
    <w:rPr>
      <w:rFonts w:ascii="宋体" w:hAnsi="宋体"/>
    </w:rPr>
  </w:style>
  <w:style w:type="character" w:customStyle="1" w:styleId="8">
    <w:name w:val="页眉 Char"/>
    <w:basedOn w:val="5"/>
    <w:link w:val="3"/>
    <w:qFormat/>
    <w:uiPriority w:val="0"/>
    <w:rPr>
      <w:rFonts w:ascii="Times New Roman" w:hAnsi="Times New Roman" w:eastAsia="宋体"/>
      <w:kern w:val="2"/>
      <w:sz w:val="18"/>
      <w:szCs w:val="18"/>
    </w:rPr>
  </w:style>
  <w:style w:type="character" w:customStyle="1" w:styleId="9">
    <w:name w:val="页脚 Char"/>
    <w:basedOn w:val="5"/>
    <w:link w:val="2"/>
    <w:autoRedefine/>
    <w:qFormat/>
    <w:uiPriority w:val="0"/>
    <w:rPr>
      <w:rFonts w:ascii="Times New Roman" w:hAnsi="Times New Roman" w:eastAsia="宋体"/>
      <w:kern w:val="2"/>
      <w:sz w:val="18"/>
      <w:szCs w:val="18"/>
    </w:rPr>
  </w:style>
  <w:style w:type="paragraph" w:customStyle="1" w:styleId="10">
    <w:name w:val="p15"/>
    <w:basedOn w:val="1"/>
    <w:autoRedefine/>
    <w:qFormat/>
    <w:uiPriority w:val="0"/>
    <w:pPr>
      <w:widowControl/>
    </w:pPr>
    <w:rPr>
      <w:rFonts w:hint="default" w:ascii="宋体" w:hAnsi="宋体" w:cs="宋体"/>
      <w:kern w:val="0"/>
      <w:szCs w:val="21"/>
    </w:rPr>
  </w:style>
  <w:style w:type="paragraph" w:customStyle="1" w:styleId="11">
    <w:name w:val="Body text|1"/>
    <w:basedOn w:val="1"/>
    <w:autoRedefine/>
    <w:qFormat/>
    <w:uiPriority w:val="0"/>
    <w:pPr>
      <w:widowControl w:val="0"/>
      <w:shd w:val="clear" w:color="auto" w:fill="auto"/>
      <w:spacing w:line="403" w:lineRule="auto"/>
      <w:ind w:firstLine="400"/>
    </w:pPr>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4935</Words>
  <Characters>5320</Characters>
  <Lines>37</Lines>
  <Paragraphs>10</Paragraphs>
  <TotalTime>0</TotalTime>
  <ScaleCrop>false</ScaleCrop>
  <LinksUpToDate>false</LinksUpToDate>
  <CharactersWithSpaces>5382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2025-04-17T13:33:43Z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79F3E266B19943B696371991693C79CA_13</vt:lpwstr>
  </property>
  <property fmtid="{D5CDD505-2E9C-101B-9397-08002B2CF9AE}" pid="4" name="KSOTemplateDocerSaveRecord">
    <vt:lpwstr>eyJoZGlkIjoiMGIzNzkwNzBhMjkxZjY3M2Y0M2FlNWY0ZjU5M2FmMWQiLCJ1c2VySWQiOiIyMzQ0MjI2NjQifQ==</vt:lpwstr>
  </property>
</Properties>
</file>