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辽宁省沈阳市浑南区应急管理局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辽宁省沈阳市浑南区应急管理局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辽宁省沈阳市浑南区应急管理局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辽宁省沈阳市浑南区应急管理局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辽宁省沈阳市浑南区应急管理局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辽宁省沈阳市浑南区应急管理局概况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 负责应急管理工作，指导各部门应对安全生产类、自然灾害类等突发事件和综合防灾减灾救灾工作。负责安全生产综合监督管理和工矿商贸行业安全生产监督管理工作。</w:t>
        <w:br/>
        <w:t xml:space="preserve">    (二) 拟订应急管理、安全生产等政策，组织编制全区应急 体系建设、安全生产和综合防灾减灾规划，组织实施安全生产规程、标准。</w:t>
        <w:br/>
        <w:t xml:space="preserve">    (三) 负责应急预案体系建设，建立完善事故灾难和自然灾害分级应对制度，组织编制全区总体应急预案和安全生产类、自然灾害类专项预案，综合协调应急预案衔接工作，组织开展预案 演练，推动应急避难设施建设。</w:t>
        <w:br/>
        <w:t xml:space="preserve">    (四) 牵头建立统一的应急管理信息系统，负责信息传输渠道的规划和布局，建立监测预警和灾情报告制度，健全自然灾害信息资源获取和共享机制，依法统一发布灾情。</w:t>
        <w:br/>
        <w:t xml:space="preserve">    (五) 组织指导协调安全生产类、自然灾害类等突发事件应急救援，承担区突发事件应急管理委员会日常工作，综合研判突发事件发展态势并提出应对建议，协助区委、区政府指定的负责同志组织重大灾害应急处置工作。</w:t>
        <w:br/>
        <w:t xml:space="preserve">    (六) 统一协调指挥各类应急专业队伍，建立应急协调联动机制，推进指挥平台对接，衔接解放军和武警部队参与应急救援工作。</w:t>
        <w:br/>
        <w:t xml:space="preserve">    (七) 统筹应急救援力量建设，负责消防、森林和草原火灾扑救、抗洪抢险、地震和地质灾害救援、生产安全事故救援等应急救援力量建设，指导社会应急救援力量建设。</w:t>
        <w:br/>
        <w:t xml:space="preserve">    (八) 指导消防工作。</w:t>
        <w:br/>
        <w:t xml:space="preserve">    (九) 指导协调森林和草原火灾、水旱灾害、地震和地质灾 害等防治工作，负责自然灾害综合监测预警工作，指导开展自然灾害综合风险评估工作。</w:t>
        <w:br/>
        <w:t xml:space="preserve">    (十) 组织协调灾害救助工作，组织指导灾情核查、损失评 估、救灾捐赠工作，管理、分配下拨救灾款物并监督使用。</w:t>
        <w:br/>
        <w:t xml:space="preserve">    (十一) 依法行使安全生产综合监督管理职权，指导协调、 监督检查区政府有关部门、开发区和街道办事处安全生产工作， 组织开展安全生产巡查、考核工作。</w:t>
        <w:br/>
        <w:t xml:space="preserve">    (十二) 按照分级、属地原则，依法监督检查工矿商贸生产 经营单位贯彻执行安全生产法律法规情况及其安全生产条件和有关设备(特种设备除外) 、材料、劳动防护用品的安全生产管理工作。依法组织并指导监督实施安全生产准入制度，负责危险化学品安全监督管理综合工作和烟花爆竹安全生产经营监督管理工作。</w:t>
        <w:br/>
        <w:t xml:space="preserve">    (十三) 依法组织指导生产安全事故调查处理，监督事故查处和责任追究落实情况。组织开展自然灾害类突发事件的调查评估工作。</w:t>
        <w:br/>
        <w:t xml:space="preserve">    (十四) 开展应急管理和安全生产方面的国际交流与合作。</w:t>
        <w:br/>
        <w:t xml:space="preserve">    (十五)制定应急物资储备和应急救援装备规划并组织实施， 会同区发展和改革局等部门建立健全应急物资调拨制度，在救灾时统一调度。</w:t>
        <w:br/>
        <w:t xml:space="preserve">    (十六) 负责应急管理、安全生产宣传教育和培训工作，组 织指导推广应用和信息化建设工作。</w:t>
        <w:br/>
        <w:t xml:space="preserve">    (十七) 指导区域内铁路无人看守道口(铁路专用线、专用 铁路、地方铁路的无人看守道口除外) 的安全监督管理工作。</w:t>
        <w:br/>
        <w:t xml:space="preserve">    (十八)承担全区民用机场净空保护区域净空安全管理工作。</w:t>
        <w:br/>
        <w:t xml:space="preserve">    (十九) 承担本部门权责清单和政务服务事项清单在区政府门户网站上公布职责。</w:t>
        <w:br/>
        <w:t xml:space="preserve">    (二十) 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辽宁省沈阳市浑南区应急管理局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浑南区应急管理局本级，本单位无下设机构。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2204.14</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2058.49</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93.39</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1933.89</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124.60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145.64</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6.61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主要是上级造林专项资金结余等。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减少3814.00万元，降低63.38%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本年项目类预算批复资金与上年相比减少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2058.49</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1196.41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58.12</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工资福利支出1116.47万元；商品和服务支出72.77万元；对个人和家庭的补助7.17万元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862.09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41.88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主要包括地方政府其他一般债务还本支出、其他应急管理支出、自然灾害救灾补助、安全监管、其他林业和草原支出、灾害风险防治、森林资源培育、一般行政管理事务、应急管理等业务支出。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减少3814.00万元，降低64.95%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一是本年预算资金与上年相比减少，项目类支出减少；二是厉行节约，提高了资金使用率</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145.64</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主要是上级造林专项资金结余等原因形成的结余。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结余资金未使用</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2058.49</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1196.41</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862.09</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减少1898.79万元，降低47.98%</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本年预算资金减少，厉行节约压缩成本提高资金使用率</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86.37</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87.44</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84.93</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2024年度一般公共预算财政拨款支出1933.89万元。按支出功能分类科目分，包括：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1.一般公共服务支出1.48万元，具体包括：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（1）一般公共服务支出（类）信访事务（款）信访业务（项）1.48万元,主要是救济费等支出，完成年初预算的100%，决算数与年初预算数存在差异的主要原因是信访事件资金支出，按区级预算资金支付。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2.社会保障和就业支出153.65万元，具体包括：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7.17万元,主要是退休费、生活补助等支出，完成年初预算的90.2%，决算数与年初预算数存在差异的主要原因是根据当年社保缴费基数据实发放缴纳生活补助。</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113.78万元,主要是机关事业单位基本养老保险缴费等支出，完成年初预算的95.23%，决算数与年初预算数存在差异的主要原因是根据当年社保缴费基数据实缴纳保险，预算数稍大于实际保险缴纳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32.33万元,主要是职业年金缴费等支出，完成年初预算的90.5%，决算数与年初预算数存在差异的主要原因是根据社保缴费基数据实缴纳年金，预算数稍大于实际保险缴纳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其他生活救助（款）其他农村生活救助（项）0.37万元,主要是委托业务费等支出，完成年初预算的100%，决算数与年初预算数存在差异的主要原因是该项支出为缴纳农房保险，农户参保数量与预算数量一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3.卫生健康支出45.93万元，具体包括：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45.93万元,主要是职工基本医疗保险缴费等支出，完成年初预算的89.6%，决算数与年初预算数存在差异的主要原因是据社保缴费基数据实缴纳医保，预算数稍大于实际保险缴纳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4.农林水支出6.00万元，具体包括：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（1）农林水支出（类）水利（款）防汛（项）6.00万元,主要是委托业务费等支出，完成年初预算的100%，决算数与年初预算数存在差异的主要原因是根据预算资金数相应开展防汛业务活动。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5.住房保障支出119.97万元，具体包括：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119.97万元,主要是住房公积金等支出，完成年初预算的92.63%，决算数与年初预算数存在差异的主要原因是跟据上年收入情况核算公积金缴费基数，每年需按新基数缴纳公积金，预算数稍大于实际公积金缴纳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6.灾害防治及应急管理支出1606.88万元，具体包括：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灾害防治及应急管理支出（类）应急管理事务（款）行政运行（项）877.24万元,主要是基本工资、津贴补贴、奖金、伙食补助、绩效工资等支出，完成年初预算的79.4%，决算数与年初预算数存在差异的主要原因是厉行节约，提升资金使用效率；根据财政批复预算金额及实际业务情况开展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灾害防治及应急管理支出（类）应急管理事务（款）一般行政管理事务（项）450.91万元,主要是劳务费、委托业务费、其他商品和服务等支出，完成年初预算的68.2%，决算数与年初预算数存在差异的主要原因是根据财政批复预算资金及实际业务情况开展支出；厉行节约压缩成本，提升资金使用率。</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灾害防治及应急管理支出（类）应急管理事务（款）灾害风险防治（项）30.54万元,主要是委托业务费、专业设备购置等支出，完成年初预算的92.3%，决算数与年初预算数存在差异的主要原因是根据财政批复预算资金及实际业务情况开展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灾害防治及应急管理支出（类）应急管理事务（款）安全监管（项）96.27万元,主要是劳务费、委托业务费等支出，完成年初预算的90.11%，决算数与年初预算数存在差异的主要原因是根据财政批复预算资金及实际业务情况开展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灾害防治及应急管理支出（类）应急管理事务（款）应急管理（项）91.18万元,主要是被装购置、委托业务费等支出，完成年初预算的58.41%，决算数与年初预算数存在差异的主要原因是根据财政批复预算资金及实际业务情况开展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灾害防治及应急管理支出（类）应急管理事务（款）其他应急管理支出（项）53.40万元,主要是劳务费、委托业务费等支出，完成年初预算的68.4%，决算数与年初预算数存在差异的主要原因是根根据财政批复预算资金及实际业务情况开展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灾害防治及应急管理支出（类）消防救援事务（款）消防应急救援（项）5.00万元,主要是委托业务费等支出，完成年初预算的100%，决算数与年初预算数存在差异的主要原因是根据工作要求及预算资金批复情况进行应急业务开展。</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灾害防治及应急管理支出（类）自然灾害救灾及恢复重建支出（款）自然灾害救灾补助（项）2.34万元,主要是其他对个人和家庭的补助、委托业务费等支出，完成年初预算的96.4%，决算数与年初预算数存在差异的主要原因是根据应急工作安排及预算资金拨付情况开展相应业务。</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2024年度政府性基金预算财政拨款支出124.60万元。按支出功能分类科目分，包括：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1.城乡社区支出124.60万元，具体包括：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其他国有土地使用权出让收入安排的支出（项）124.60万元,主要是基础设施建设等支出，完成年初预算的100%，决算数与年初预算数存在差异的主要原因是按照批复预算资金开展相应工程项目资金结算。</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本年度无此业务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本年度无此业务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本年度无此业务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1196.41</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1123.64</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72.77</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72.77</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比上年减少3.23万元，降低4.25%</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我单位厉行节约，提高资金使用效率</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7</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7</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具体而言，本年度我部门共组织对36个项目实施了绩效评价。从预算资金来源看，涉及一般公共预算的项目35个，涉及政府性基金预算的项目1个，涉及国有资本经营预算的项目0个。</w:t>
        <w:br/>
        <w:t xml:space="preserve">    上述评价工作共涉及财政资金2058.49万元。其中，一般公共预算资金1933.89万元，占资金总额的93.39%；政府性基金预算资金124.6万元，占6.61%；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18个；得分在80分（含）至90分、等级为“良”的项目有1个；得分在60分（含）至80分、等级为“中”的项目有1个；得分在60分以下、等级为“差”的项目有16个。各项目自评发现，部分项目存在预算执行进度偏慢、个别效益指标未能完全达成等问题，已要求相关项目部门分析原因并制定改进措施。</w:t>
        <w:br/>
        <w:t xml:space="preserve">    3.部门重点评价情况及结果。</w:t>
        <w:br/>
        <w:t xml:space="preserve">    在全面自评的基础上，本部门选取了2个资金量大、社会关注度高、具有代表性的重点项目实施了部门重点评价。评价工作通过组建评价小组、现场核查方式进行，确保了评价结果的客观性和公正性。</w:t>
        <w:br/>
        <w:t xml:space="preserve">    我单位组织对2个项目重点评价，结果显示，被评价项目整体绩效情况良好。其中：第一个重点项目为2024年专家检查重大隐患费用，涉及资金28万元，评价平均分为100分，评级情况为优；第二个重点项目为2024年防汛演练省级资金，涉及资金6万元，评价平均分为100分，评级情况为优。同时，评价也发现2024年联合和日常执法专家检查经费项目存在问题，如：绩效指标设置不够细化、资金使用效益有待进一步提升等。针对评价发现的问题，我们已督促项目责任部门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16.一般灾害防治及应急管理支出（类）应急管理事务（款）应急管理（项）：指用于应急管理法律法规修订、应急预案演练、协调保障等方面支出。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部门：辽宁省沈阳市浑南区应急管理局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1,933.89</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1.48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124.60</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153.64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45.93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124.60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6.00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119.97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jc w:val="right"/>
            </w:pPr>
            <w:r>
              <w:rPr>
                <w:rFonts w:ascii="宋体" w:eastAsia="宋体" w:hAnsi="宋体" w:cs="宋体"/>
                <w:b w:val="0"/>
                <w:i w:val="0"/>
                <w:color w:val="000000"/>
                <w:sz w:val="16"/>
              </w:rPr>
              <w:t xml:space="preserve">1,606.87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2,058.49</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2,058.49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145.64</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145.64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2,204.14</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2,204.14</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部门：辽宁省沈阳市浑南区应急管理局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2,058.49</w:t>
            </w:r>
          </w:p>
        </w:tc>
        <w:tc>
          <w:tcPr>
            <w:tcW w:w="960" w:type="dxa"/>
            <w:tcBorders/>
            <w:vAlign w:val="center"/>
          </w:tcPr>
          <w:p>
            <w:pPr>
              <w:jc w:val="right"/>
            </w:pPr>
            <w:r>
              <w:rPr>
                <w:rFonts w:ascii="宋体" w:eastAsia="宋体" w:hAnsi="宋体" w:cs="宋体"/>
                <w:b/>
                <w:i w:val="0"/>
                <w:color w:val="000000"/>
                <w:sz w:val="13"/>
              </w:rPr>
              <w:t xml:space="preserve">2,058.49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1.48</w:t>
            </w:r>
          </w:p>
        </w:tc>
        <w:tc>
          <w:tcPr>
            <w:tcW w:w="960" w:type="dxa"/>
            <w:tcBorders/>
            <w:vAlign w:val="center"/>
          </w:tcPr>
          <w:p>
            <w:pPr>
              <w:jc w:val="right"/>
            </w:pPr>
            <w:r>
              <w:rPr>
                <w:rFonts w:ascii="宋体" w:eastAsia="宋体" w:hAnsi="宋体" w:cs="宋体"/>
                <w:b w:val="0"/>
                <w:i w:val="0"/>
                <w:color w:val="000000"/>
                <w:sz w:val="13"/>
              </w:rPr>
              <w:t xml:space="preserve">1.48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1.48</w:t>
            </w:r>
          </w:p>
        </w:tc>
        <w:tc>
          <w:tcPr>
            <w:tcW w:w="960" w:type="dxa"/>
            <w:tcBorders/>
            <w:vAlign w:val="center"/>
          </w:tcPr>
          <w:p>
            <w:pPr>
              <w:jc w:val="right"/>
            </w:pPr>
            <w:r>
              <w:rPr>
                <w:rFonts w:ascii="宋体" w:eastAsia="宋体" w:hAnsi="宋体" w:cs="宋体"/>
                <w:b w:val="0"/>
                <w:i w:val="0"/>
                <w:color w:val="000000"/>
                <w:sz w:val="13"/>
              </w:rPr>
              <w:t xml:space="preserve">1.48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1.48</w:t>
            </w:r>
          </w:p>
        </w:tc>
        <w:tc>
          <w:tcPr>
            <w:tcW w:w="960" w:type="dxa"/>
            <w:tcBorders/>
            <w:vAlign w:val="center"/>
          </w:tcPr>
          <w:p>
            <w:pPr>
              <w:jc w:val="right"/>
            </w:pPr>
            <w:r>
              <w:rPr>
                <w:rFonts w:ascii="宋体" w:eastAsia="宋体" w:hAnsi="宋体" w:cs="宋体"/>
                <w:b w:val="0"/>
                <w:i w:val="0"/>
                <w:color w:val="000000"/>
                <w:sz w:val="13"/>
              </w:rPr>
              <w:t xml:space="preserve">1.48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153.65</w:t>
            </w:r>
          </w:p>
        </w:tc>
        <w:tc>
          <w:tcPr>
            <w:tcW w:w="960" w:type="dxa"/>
            <w:tcBorders/>
            <w:vAlign w:val="center"/>
          </w:tcPr>
          <w:p>
            <w:pPr>
              <w:jc w:val="right"/>
            </w:pPr>
            <w:r>
              <w:rPr>
                <w:rFonts w:ascii="宋体" w:eastAsia="宋体" w:hAnsi="宋体" w:cs="宋体"/>
                <w:b w:val="0"/>
                <w:i w:val="0"/>
                <w:color w:val="000000"/>
                <w:sz w:val="13"/>
              </w:rPr>
              <w:t xml:space="preserve">153.65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153.28</w:t>
            </w:r>
          </w:p>
        </w:tc>
        <w:tc>
          <w:tcPr>
            <w:tcW w:w="960" w:type="dxa"/>
            <w:tcBorders/>
            <w:vAlign w:val="center"/>
          </w:tcPr>
          <w:p>
            <w:pPr>
              <w:jc w:val="right"/>
            </w:pPr>
            <w:r>
              <w:rPr>
                <w:rFonts w:ascii="宋体" w:eastAsia="宋体" w:hAnsi="宋体" w:cs="宋体"/>
                <w:b w:val="0"/>
                <w:i w:val="0"/>
                <w:color w:val="000000"/>
                <w:sz w:val="13"/>
              </w:rPr>
              <w:t xml:space="preserve">153.28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7.17</w:t>
            </w:r>
          </w:p>
        </w:tc>
        <w:tc>
          <w:tcPr>
            <w:tcW w:w="960" w:type="dxa"/>
            <w:tcBorders/>
            <w:vAlign w:val="center"/>
          </w:tcPr>
          <w:p>
            <w:pPr>
              <w:jc w:val="right"/>
            </w:pPr>
            <w:r>
              <w:rPr>
                <w:rFonts w:ascii="宋体" w:eastAsia="宋体" w:hAnsi="宋体" w:cs="宋体"/>
                <w:b w:val="0"/>
                <w:i w:val="0"/>
                <w:color w:val="000000"/>
                <w:sz w:val="13"/>
              </w:rPr>
              <w:t xml:space="preserve">7.17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113.78</w:t>
            </w:r>
          </w:p>
        </w:tc>
        <w:tc>
          <w:tcPr>
            <w:tcW w:w="960" w:type="dxa"/>
            <w:tcBorders/>
            <w:vAlign w:val="center"/>
          </w:tcPr>
          <w:p>
            <w:pPr>
              <w:jc w:val="right"/>
            </w:pPr>
            <w:r>
              <w:rPr>
                <w:rFonts w:ascii="宋体" w:eastAsia="宋体" w:hAnsi="宋体" w:cs="宋体"/>
                <w:b w:val="0"/>
                <w:i w:val="0"/>
                <w:color w:val="000000"/>
                <w:sz w:val="13"/>
              </w:rPr>
              <w:t xml:space="preserve">113.78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32.33</w:t>
            </w:r>
          </w:p>
        </w:tc>
        <w:tc>
          <w:tcPr>
            <w:tcW w:w="960" w:type="dxa"/>
            <w:tcBorders/>
            <w:vAlign w:val="center"/>
          </w:tcPr>
          <w:p>
            <w:pPr>
              <w:jc w:val="right"/>
            </w:pPr>
            <w:r>
              <w:rPr>
                <w:rFonts w:ascii="宋体" w:eastAsia="宋体" w:hAnsi="宋体" w:cs="宋体"/>
                <w:b w:val="0"/>
                <w:i w:val="0"/>
                <w:color w:val="000000"/>
                <w:sz w:val="13"/>
              </w:rPr>
              <w:t xml:space="preserve">32.33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20825</w:t>
            </w:r>
          </w:p>
        </w:tc>
        <w:tc>
          <w:tcPr>
            <w:tcW w:w="3200" w:type="dxa"/>
            <w:tcBorders/>
            <w:vAlign w:val="center"/>
          </w:tcPr>
          <w:p>
            <w:pPr>
              <w:jc w:val="left"/>
            </w:pPr>
            <w:r>
              <w:rPr>
                <w:rFonts w:ascii="宋体" w:eastAsia="宋体" w:hAnsi="宋体" w:cs="宋体"/>
                <w:b w:val="0"/>
                <w:i w:val="0"/>
                <w:color w:val="000000"/>
                <w:sz w:val="13"/>
              </w:rPr>
              <w:t xml:space="preserve">其他生活救助</w:t>
            </w:r>
          </w:p>
        </w:tc>
        <w:tc>
          <w:tcPr>
            <w:tcW w:w="960" w:type="dxa"/>
            <w:tcBorders/>
            <w:vAlign w:val="center"/>
          </w:tcPr>
          <w:p>
            <w:pPr>
              <w:jc w:val="right"/>
            </w:pPr>
            <w:r>
              <w:rPr>
                <w:rFonts w:ascii="宋体" w:eastAsia="宋体" w:hAnsi="宋体" w:cs="宋体"/>
                <w:b w:val="0"/>
                <w:i w:val="0"/>
                <w:color w:val="000000"/>
                <w:sz w:val="13"/>
              </w:rPr>
              <w:t xml:space="preserve">0.37</w:t>
            </w:r>
          </w:p>
        </w:tc>
        <w:tc>
          <w:tcPr>
            <w:tcW w:w="960" w:type="dxa"/>
            <w:tcBorders/>
            <w:vAlign w:val="center"/>
          </w:tcPr>
          <w:p>
            <w:pPr>
              <w:jc w:val="right"/>
            </w:pPr>
            <w:r>
              <w:rPr>
                <w:rFonts w:ascii="宋体" w:eastAsia="宋体" w:hAnsi="宋体" w:cs="宋体"/>
                <w:b w:val="0"/>
                <w:i w:val="0"/>
                <w:color w:val="000000"/>
                <w:sz w:val="13"/>
              </w:rPr>
              <w:t xml:space="preserve">0.37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2082502</w:t>
            </w:r>
          </w:p>
        </w:tc>
        <w:tc>
          <w:tcPr>
            <w:tcW w:w="3200" w:type="dxa"/>
            <w:tcBorders/>
            <w:vAlign w:val="center"/>
          </w:tcPr>
          <w:p>
            <w:pPr>
              <w:jc w:val="left"/>
            </w:pPr>
            <w:r>
              <w:rPr>
                <w:rFonts w:ascii="宋体" w:eastAsia="宋体" w:hAnsi="宋体" w:cs="宋体"/>
                <w:b w:val="0"/>
                <w:i w:val="0"/>
                <w:color w:val="000000"/>
                <w:sz w:val="13"/>
              </w:rPr>
              <w:t xml:space="preserve">其他农村生活救助</w:t>
            </w:r>
          </w:p>
        </w:tc>
        <w:tc>
          <w:tcPr>
            <w:tcW w:w="960" w:type="dxa"/>
            <w:tcBorders/>
            <w:vAlign w:val="center"/>
          </w:tcPr>
          <w:p>
            <w:pPr>
              <w:jc w:val="right"/>
            </w:pPr>
            <w:r>
              <w:rPr>
                <w:rFonts w:ascii="宋体" w:eastAsia="宋体" w:hAnsi="宋体" w:cs="宋体"/>
                <w:b w:val="0"/>
                <w:i w:val="0"/>
                <w:color w:val="000000"/>
                <w:sz w:val="13"/>
              </w:rPr>
              <w:t xml:space="preserve">0.37</w:t>
            </w:r>
          </w:p>
        </w:tc>
        <w:tc>
          <w:tcPr>
            <w:tcW w:w="960" w:type="dxa"/>
            <w:tcBorders/>
            <w:vAlign w:val="center"/>
          </w:tcPr>
          <w:p>
            <w:pPr>
              <w:jc w:val="right"/>
            </w:pPr>
            <w:r>
              <w:rPr>
                <w:rFonts w:ascii="宋体" w:eastAsia="宋体" w:hAnsi="宋体" w:cs="宋体"/>
                <w:b w:val="0"/>
                <w:i w:val="0"/>
                <w:color w:val="000000"/>
                <w:sz w:val="13"/>
              </w:rPr>
              <w:t xml:space="preserve">0.37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45.93</w:t>
            </w:r>
          </w:p>
        </w:tc>
        <w:tc>
          <w:tcPr>
            <w:tcW w:w="960" w:type="dxa"/>
            <w:tcBorders/>
            <w:vAlign w:val="center"/>
          </w:tcPr>
          <w:p>
            <w:pPr>
              <w:jc w:val="right"/>
            </w:pPr>
            <w:r>
              <w:rPr>
                <w:rFonts w:ascii="宋体" w:eastAsia="宋体" w:hAnsi="宋体" w:cs="宋体"/>
                <w:b w:val="0"/>
                <w:i w:val="0"/>
                <w:color w:val="000000"/>
                <w:sz w:val="13"/>
              </w:rPr>
              <w:t xml:space="preserve">45.93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45.93</w:t>
            </w:r>
          </w:p>
        </w:tc>
        <w:tc>
          <w:tcPr>
            <w:tcW w:w="960" w:type="dxa"/>
            <w:tcBorders/>
            <w:vAlign w:val="center"/>
          </w:tcPr>
          <w:p>
            <w:pPr>
              <w:jc w:val="right"/>
            </w:pPr>
            <w:r>
              <w:rPr>
                <w:rFonts w:ascii="宋体" w:eastAsia="宋体" w:hAnsi="宋体" w:cs="宋体"/>
                <w:b w:val="0"/>
                <w:i w:val="0"/>
                <w:color w:val="000000"/>
                <w:sz w:val="13"/>
              </w:rPr>
              <w:t xml:space="preserve">45.93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45.93</w:t>
            </w:r>
          </w:p>
        </w:tc>
        <w:tc>
          <w:tcPr>
            <w:tcW w:w="960" w:type="dxa"/>
            <w:tcBorders/>
            <w:vAlign w:val="center"/>
          </w:tcPr>
          <w:p>
            <w:pPr>
              <w:jc w:val="right"/>
            </w:pPr>
            <w:r>
              <w:rPr>
                <w:rFonts w:ascii="宋体" w:eastAsia="宋体" w:hAnsi="宋体" w:cs="宋体"/>
                <w:b w:val="0"/>
                <w:i w:val="0"/>
                <w:color w:val="000000"/>
                <w:sz w:val="13"/>
              </w:rPr>
              <w:t xml:space="preserve">45.93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124.60</w:t>
            </w:r>
          </w:p>
        </w:tc>
        <w:tc>
          <w:tcPr>
            <w:tcW w:w="960" w:type="dxa"/>
            <w:tcBorders/>
            <w:vAlign w:val="center"/>
          </w:tcPr>
          <w:p>
            <w:pPr>
              <w:jc w:val="right"/>
            </w:pPr>
            <w:r>
              <w:rPr>
                <w:rFonts w:ascii="宋体" w:eastAsia="宋体" w:hAnsi="宋体" w:cs="宋体"/>
                <w:b w:val="0"/>
                <w:i w:val="0"/>
                <w:color w:val="000000"/>
                <w:sz w:val="13"/>
              </w:rPr>
              <w:t xml:space="preserve">124.60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124.60</w:t>
            </w:r>
          </w:p>
        </w:tc>
        <w:tc>
          <w:tcPr>
            <w:tcW w:w="960" w:type="dxa"/>
            <w:tcBorders/>
            <w:vAlign w:val="center"/>
          </w:tcPr>
          <w:p>
            <w:pPr>
              <w:jc w:val="right"/>
            </w:pPr>
            <w:r>
              <w:rPr>
                <w:rFonts w:ascii="宋体" w:eastAsia="宋体" w:hAnsi="宋体" w:cs="宋体"/>
                <w:b w:val="0"/>
                <w:i w:val="0"/>
                <w:color w:val="000000"/>
                <w:sz w:val="13"/>
              </w:rPr>
              <w:t xml:space="preserve">124.60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2120899</w:t>
            </w:r>
          </w:p>
        </w:tc>
        <w:tc>
          <w:tcPr>
            <w:tcW w:w="3200" w:type="dxa"/>
            <w:tcBorders/>
            <w:vAlign w:val="center"/>
          </w:tcPr>
          <w:p>
            <w:pPr>
              <w:jc w:val="left"/>
            </w:pPr>
            <w:r>
              <w:rPr>
                <w:rFonts w:ascii="宋体" w:eastAsia="宋体" w:hAnsi="宋体" w:cs="宋体"/>
                <w:b w:val="0"/>
                <w:i w:val="0"/>
                <w:color w:val="000000"/>
                <w:sz w:val="13"/>
              </w:rPr>
              <w:t xml:space="preserve">其他国有土地使用权出让收入安排的支出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124.60</w:t>
            </w:r>
          </w:p>
        </w:tc>
        <w:tc>
          <w:tcPr>
            <w:tcW w:w="960" w:type="dxa"/>
            <w:tcBorders/>
            <w:vAlign w:val="center"/>
          </w:tcPr>
          <w:p>
            <w:pPr>
              <w:jc w:val="right"/>
            </w:pPr>
            <w:r>
              <w:rPr>
                <w:rFonts w:ascii="宋体" w:eastAsia="宋体" w:hAnsi="宋体" w:cs="宋体"/>
                <w:b w:val="0"/>
                <w:i w:val="0"/>
                <w:color w:val="000000"/>
                <w:sz w:val="13"/>
              </w:rPr>
              <w:t xml:space="preserve">124.60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w:t>
            </w:r>
          </w:p>
        </w:tc>
        <w:tc>
          <w:tcPr>
            <w:tcW w:w="3200" w:type="dxa"/>
            <w:tcBorders/>
            <w:vAlign w:val="center"/>
          </w:tcPr>
          <w:p>
            <w:pPr>
              <w:jc w:val="left"/>
            </w:pPr>
            <w:r>
              <w:rPr>
                <w:rFonts w:ascii="宋体" w:eastAsia="宋体" w:hAnsi="宋体" w:cs="宋体"/>
                <w:b w:val="0"/>
                <w:i w:val="0"/>
                <w:color w:val="000000"/>
                <w:sz w:val="13"/>
              </w:rPr>
              <w:t xml:space="preserve">农林水支出</w:t>
            </w:r>
          </w:p>
        </w:tc>
        <w:tc>
          <w:tcPr>
            <w:tcW w:w="960" w:type="dxa"/>
            <w:tcBorders/>
            <w:vAlign w:val="center"/>
          </w:tcPr>
          <w:p>
            <w:pPr>
              <w:jc w:val="right"/>
            </w:pPr>
            <w:r>
              <w:rPr>
                <w:rFonts w:ascii="宋体" w:eastAsia="宋体" w:hAnsi="宋体" w:cs="宋体"/>
                <w:b w:val="0"/>
                <w:i w:val="0"/>
                <w:color w:val="000000"/>
                <w:sz w:val="13"/>
              </w:rPr>
              <w:t xml:space="preserve">6.00</w:t>
            </w:r>
          </w:p>
        </w:tc>
        <w:tc>
          <w:tcPr>
            <w:tcW w:w="960" w:type="dxa"/>
            <w:tcBorders/>
            <w:vAlign w:val="center"/>
          </w:tcPr>
          <w:p>
            <w:pPr>
              <w:jc w:val="right"/>
            </w:pPr>
            <w:r>
              <w:rPr>
                <w:rFonts w:ascii="宋体" w:eastAsia="宋体" w:hAnsi="宋体" w:cs="宋体"/>
                <w:b w:val="0"/>
                <w:i w:val="0"/>
                <w:color w:val="000000"/>
                <w:sz w:val="13"/>
              </w:rPr>
              <w:t xml:space="preserve">6.00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w:t>
            </w:r>
          </w:p>
        </w:tc>
        <w:tc>
          <w:tcPr>
            <w:tcW w:w="3200" w:type="dxa"/>
            <w:tcBorders/>
            <w:vAlign w:val="center"/>
          </w:tcPr>
          <w:p>
            <w:pPr>
              <w:jc w:val="left"/>
            </w:pPr>
            <w:r>
              <w:rPr>
                <w:rFonts w:ascii="宋体" w:eastAsia="宋体" w:hAnsi="宋体" w:cs="宋体"/>
                <w:b w:val="0"/>
                <w:i w:val="0"/>
                <w:color w:val="000000"/>
                <w:sz w:val="13"/>
              </w:rPr>
              <w:t xml:space="preserve">水利</w:t>
            </w:r>
          </w:p>
        </w:tc>
        <w:tc>
          <w:tcPr>
            <w:tcW w:w="960" w:type="dxa"/>
            <w:tcBorders/>
            <w:vAlign w:val="center"/>
          </w:tcPr>
          <w:p>
            <w:pPr>
              <w:jc w:val="right"/>
            </w:pPr>
            <w:r>
              <w:rPr>
                <w:rFonts w:ascii="宋体" w:eastAsia="宋体" w:hAnsi="宋体" w:cs="宋体"/>
                <w:b w:val="0"/>
                <w:i w:val="0"/>
                <w:color w:val="000000"/>
                <w:sz w:val="13"/>
              </w:rPr>
              <w:t xml:space="preserve">6.00</w:t>
            </w:r>
          </w:p>
        </w:tc>
        <w:tc>
          <w:tcPr>
            <w:tcW w:w="960" w:type="dxa"/>
            <w:tcBorders/>
            <w:vAlign w:val="center"/>
          </w:tcPr>
          <w:p>
            <w:pPr>
              <w:jc w:val="right"/>
            </w:pPr>
            <w:r>
              <w:rPr>
                <w:rFonts w:ascii="宋体" w:eastAsia="宋体" w:hAnsi="宋体" w:cs="宋体"/>
                <w:b w:val="0"/>
                <w:i w:val="0"/>
                <w:color w:val="000000"/>
                <w:sz w:val="13"/>
              </w:rPr>
              <w:t xml:space="preserve">6.00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2130314</w:t>
            </w:r>
          </w:p>
        </w:tc>
        <w:tc>
          <w:tcPr>
            <w:tcW w:w="3200" w:type="dxa"/>
            <w:tcBorders/>
            <w:vAlign w:val="center"/>
          </w:tcPr>
          <w:p>
            <w:pPr>
              <w:jc w:val="left"/>
            </w:pPr>
            <w:r>
              <w:rPr>
                <w:rFonts w:ascii="宋体" w:eastAsia="宋体" w:hAnsi="宋体" w:cs="宋体"/>
                <w:b w:val="0"/>
                <w:i w:val="0"/>
                <w:color w:val="000000"/>
                <w:sz w:val="13"/>
              </w:rPr>
              <w:t xml:space="preserve">防汛</w:t>
            </w:r>
          </w:p>
        </w:tc>
        <w:tc>
          <w:tcPr>
            <w:tcW w:w="960" w:type="dxa"/>
            <w:tcBorders/>
            <w:vAlign w:val="center"/>
          </w:tcPr>
          <w:p>
            <w:pPr>
              <w:jc w:val="right"/>
            </w:pPr>
            <w:r>
              <w:rPr>
                <w:rFonts w:ascii="宋体" w:eastAsia="宋体" w:hAnsi="宋体" w:cs="宋体"/>
                <w:b w:val="0"/>
                <w:i w:val="0"/>
                <w:color w:val="000000"/>
                <w:sz w:val="13"/>
              </w:rPr>
              <w:t xml:space="preserve">6.00</w:t>
            </w:r>
          </w:p>
        </w:tc>
        <w:tc>
          <w:tcPr>
            <w:tcW w:w="960" w:type="dxa"/>
            <w:tcBorders/>
            <w:vAlign w:val="center"/>
          </w:tcPr>
          <w:p>
            <w:pPr>
              <w:jc w:val="right"/>
            </w:pPr>
            <w:r>
              <w:rPr>
                <w:rFonts w:ascii="宋体" w:eastAsia="宋体" w:hAnsi="宋体" w:cs="宋体"/>
                <w:b w:val="0"/>
                <w:i w:val="0"/>
                <w:color w:val="000000"/>
                <w:sz w:val="13"/>
              </w:rPr>
              <w:t xml:space="preserve">6.00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119.97</w:t>
            </w:r>
          </w:p>
        </w:tc>
        <w:tc>
          <w:tcPr>
            <w:tcW w:w="960" w:type="dxa"/>
            <w:tcBorders/>
            <w:vAlign w:val="center"/>
          </w:tcPr>
          <w:p>
            <w:pPr>
              <w:jc w:val="right"/>
            </w:pPr>
            <w:r>
              <w:rPr>
                <w:rFonts w:ascii="宋体" w:eastAsia="宋体" w:hAnsi="宋体" w:cs="宋体"/>
                <w:b w:val="0"/>
                <w:i w:val="0"/>
                <w:color w:val="000000"/>
                <w:sz w:val="13"/>
              </w:rPr>
              <w:t xml:space="preserve">119.97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119.97</w:t>
            </w:r>
          </w:p>
        </w:tc>
        <w:tc>
          <w:tcPr>
            <w:tcW w:w="960" w:type="dxa"/>
            <w:tcBorders/>
            <w:vAlign w:val="center"/>
          </w:tcPr>
          <w:p>
            <w:pPr>
              <w:jc w:val="right"/>
            </w:pPr>
            <w:r>
              <w:rPr>
                <w:rFonts w:ascii="宋体" w:eastAsia="宋体" w:hAnsi="宋体" w:cs="宋体"/>
                <w:b w:val="0"/>
                <w:i w:val="0"/>
                <w:color w:val="000000"/>
                <w:sz w:val="13"/>
              </w:rPr>
              <w:t xml:space="preserve">119.97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119.97</w:t>
            </w:r>
          </w:p>
        </w:tc>
        <w:tc>
          <w:tcPr>
            <w:tcW w:w="960" w:type="dxa"/>
            <w:tcBorders/>
            <w:vAlign w:val="center"/>
          </w:tcPr>
          <w:p>
            <w:pPr>
              <w:jc w:val="right"/>
            </w:pPr>
            <w:r>
              <w:rPr>
                <w:rFonts w:ascii="宋体" w:eastAsia="宋体" w:hAnsi="宋体" w:cs="宋体"/>
                <w:b w:val="0"/>
                <w:i w:val="0"/>
                <w:color w:val="000000"/>
                <w:sz w:val="13"/>
              </w:rPr>
              <w:t xml:space="preserve">119.97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w:t>
            </w:r>
          </w:p>
        </w:tc>
        <w:tc>
          <w:tcPr>
            <w:tcW w:w="3200" w:type="dxa"/>
            <w:tcBorders/>
            <w:vAlign w:val="center"/>
          </w:tcPr>
          <w:p>
            <w:pPr>
              <w:jc w:val="left"/>
            </w:pPr>
            <w:r>
              <w:rPr>
                <w:rFonts w:ascii="宋体" w:eastAsia="宋体" w:hAnsi="宋体" w:cs="宋体"/>
                <w:b w:val="0"/>
                <w:i w:val="0"/>
                <w:color w:val="000000"/>
                <w:sz w:val="13"/>
              </w:rPr>
              <w:t xml:space="preserve">灾害防治及应急管理支出</w:t>
            </w:r>
          </w:p>
        </w:tc>
        <w:tc>
          <w:tcPr>
            <w:tcW w:w="960" w:type="dxa"/>
            <w:tcBorders/>
            <w:vAlign w:val="center"/>
          </w:tcPr>
          <w:p>
            <w:pPr>
              <w:jc w:val="right"/>
            </w:pPr>
            <w:r>
              <w:rPr>
                <w:rFonts w:ascii="宋体" w:eastAsia="宋体" w:hAnsi="宋体" w:cs="宋体"/>
                <w:b w:val="0"/>
                <w:i w:val="0"/>
                <w:color w:val="000000"/>
                <w:sz w:val="13"/>
              </w:rPr>
              <w:t xml:space="preserve">1,606.88</w:t>
            </w:r>
          </w:p>
        </w:tc>
        <w:tc>
          <w:tcPr>
            <w:tcW w:w="960" w:type="dxa"/>
            <w:tcBorders/>
            <w:vAlign w:val="center"/>
          </w:tcPr>
          <w:p>
            <w:pPr>
              <w:jc w:val="right"/>
            </w:pPr>
            <w:r>
              <w:rPr>
                <w:rFonts w:ascii="宋体" w:eastAsia="宋体" w:hAnsi="宋体" w:cs="宋体"/>
                <w:b w:val="0"/>
                <w:i w:val="0"/>
                <w:color w:val="000000"/>
                <w:sz w:val="13"/>
              </w:rPr>
              <w:t xml:space="preserve">1,606.88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22401</w:t>
            </w:r>
          </w:p>
        </w:tc>
        <w:tc>
          <w:tcPr>
            <w:tcW w:w="3200" w:type="dxa"/>
            <w:tcBorders/>
            <w:vAlign w:val="center"/>
          </w:tcPr>
          <w:p>
            <w:pPr>
              <w:jc w:val="left"/>
            </w:pPr>
            <w:r>
              <w:rPr>
                <w:rFonts w:ascii="宋体" w:eastAsia="宋体" w:hAnsi="宋体" w:cs="宋体"/>
                <w:b w:val="0"/>
                <w:i w:val="0"/>
                <w:color w:val="000000"/>
                <w:sz w:val="13"/>
              </w:rPr>
              <w:t xml:space="preserve">应急管理事务</w:t>
            </w:r>
          </w:p>
        </w:tc>
        <w:tc>
          <w:tcPr>
            <w:tcW w:w="960" w:type="dxa"/>
            <w:tcBorders/>
            <w:vAlign w:val="center"/>
          </w:tcPr>
          <w:p>
            <w:pPr>
              <w:jc w:val="right"/>
            </w:pPr>
            <w:r>
              <w:rPr>
                <w:rFonts w:ascii="宋体" w:eastAsia="宋体" w:hAnsi="宋体" w:cs="宋体"/>
                <w:b w:val="0"/>
                <w:i w:val="0"/>
                <w:color w:val="000000"/>
                <w:sz w:val="13"/>
              </w:rPr>
              <w:t xml:space="preserve">1,599.54</w:t>
            </w:r>
          </w:p>
        </w:tc>
        <w:tc>
          <w:tcPr>
            <w:tcW w:w="960" w:type="dxa"/>
            <w:tcBorders/>
            <w:vAlign w:val="center"/>
          </w:tcPr>
          <w:p>
            <w:pPr>
              <w:jc w:val="right"/>
            </w:pPr>
            <w:r>
              <w:rPr>
                <w:rFonts w:ascii="宋体" w:eastAsia="宋体" w:hAnsi="宋体" w:cs="宋体"/>
                <w:b w:val="0"/>
                <w:i w:val="0"/>
                <w:color w:val="000000"/>
                <w:sz w:val="13"/>
              </w:rPr>
              <w:t xml:space="preserve">1,599.54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877.24</w:t>
            </w:r>
          </w:p>
        </w:tc>
        <w:tc>
          <w:tcPr>
            <w:tcW w:w="960" w:type="dxa"/>
            <w:tcBorders/>
            <w:vAlign w:val="center"/>
          </w:tcPr>
          <w:p>
            <w:pPr>
              <w:jc w:val="right"/>
            </w:pPr>
            <w:r>
              <w:rPr>
                <w:rFonts w:ascii="宋体" w:eastAsia="宋体" w:hAnsi="宋体" w:cs="宋体"/>
                <w:b w:val="0"/>
                <w:i w:val="0"/>
                <w:color w:val="000000"/>
                <w:sz w:val="13"/>
              </w:rPr>
              <w:t xml:space="preserve">877.24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450.91</w:t>
            </w:r>
          </w:p>
        </w:tc>
        <w:tc>
          <w:tcPr>
            <w:tcW w:w="960" w:type="dxa"/>
            <w:tcBorders/>
            <w:vAlign w:val="center"/>
          </w:tcPr>
          <w:p>
            <w:pPr>
              <w:jc w:val="right"/>
            </w:pPr>
            <w:r>
              <w:rPr>
                <w:rFonts w:ascii="宋体" w:eastAsia="宋体" w:hAnsi="宋体" w:cs="宋体"/>
                <w:b w:val="0"/>
                <w:i w:val="0"/>
                <w:color w:val="000000"/>
                <w:sz w:val="13"/>
              </w:rPr>
              <w:t xml:space="preserve">450.91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2240104</w:t>
            </w:r>
          </w:p>
        </w:tc>
        <w:tc>
          <w:tcPr>
            <w:tcW w:w="3200" w:type="dxa"/>
            <w:tcBorders/>
            <w:vAlign w:val="center"/>
          </w:tcPr>
          <w:p>
            <w:pPr>
              <w:jc w:val="left"/>
            </w:pPr>
            <w:r>
              <w:rPr>
                <w:rFonts w:ascii="宋体" w:eastAsia="宋体" w:hAnsi="宋体" w:cs="宋体"/>
                <w:b w:val="0"/>
                <w:i w:val="0"/>
                <w:color w:val="000000"/>
                <w:sz w:val="13"/>
              </w:rPr>
              <w:t xml:space="preserve">灾害风险防治</w:t>
            </w:r>
          </w:p>
        </w:tc>
        <w:tc>
          <w:tcPr>
            <w:tcW w:w="960" w:type="dxa"/>
            <w:tcBorders/>
            <w:vAlign w:val="center"/>
          </w:tcPr>
          <w:p>
            <w:pPr>
              <w:jc w:val="right"/>
            </w:pPr>
            <w:r>
              <w:rPr>
                <w:rFonts w:ascii="宋体" w:eastAsia="宋体" w:hAnsi="宋体" w:cs="宋体"/>
                <w:b w:val="0"/>
                <w:i w:val="0"/>
                <w:color w:val="000000"/>
                <w:sz w:val="13"/>
              </w:rPr>
              <w:t xml:space="preserve">30.54</w:t>
            </w:r>
          </w:p>
        </w:tc>
        <w:tc>
          <w:tcPr>
            <w:tcW w:w="960" w:type="dxa"/>
            <w:tcBorders/>
            <w:vAlign w:val="center"/>
          </w:tcPr>
          <w:p>
            <w:pPr>
              <w:jc w:val="right"/>
            </w:pPr>
            <w:r>
              <w:rPr>
                <w:rFonts w:ascii="宋体" w:eastAsia="宋体" w:hAnsi="宋体" w:cs="宋体"/>
                <w:b w:val="0"/>
                <w:i w:val="0"/>
                <w:color w:val="000000"/>
                <w:sz w:val="13"/>
              </w:rPr>
              <w:t xml:space="preserve">30.54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2240106</w:t>
            </w:r>
          </w:p>
        </w:tc>
        <w:tc>
          <w:tcPr>
            <w:tcW w:w="3200" w:type="dxa"/>
            <w:tcBorders/>
            <w:vAlign w:val="center"/>
          </w:tcPr>
          <w:p>
            <w:pPr>
              <w:jc w:val="left"/>
            </w:pPr>
            <w:r>
              <w:rPr>
                <w:rFonts w:ascii="宋体" w:eastAsia="宋体" w:hAnsi="宋体" w:cs="宋体"/>
                <w:b w:val="0"/>
                <w:i w:val="0"/>
                <w:color w:val="000000"/>
                <w:sz w:val="13"/>
              </w:rPr>
              <w:t xml:space="preserve">安全监管</w:t>
            </w:r>
          </w:p>
        </w:tc>
        <w:tc>
          <w:tcPr>
            <w:tcW w:w="960" w:type="dxa"/>
            <w:tcBorders/>
            <w:vAlign w:val="center"/>
          </w:tcPr>
          <w:p>
            <w:pPr>
              <w:jc w:val="right"/>
            </w:pPr>
            <w:r>
              <w:rPr>
                <w:rFonts w:ascii="宋体" w:eastAsia="宋体" w:hAnsi="宋体" w:cs="宋体"/>
                <w:b w:val="0"/>
                <w:i w:val="0"/>
                <w:color w:val="000000"/>
                <w:sz w:val="13"/>
              </w:rPr>
              <w:t xml:space="preserve">96.27</w:t>
            </w:r>
          </w:p>
        </w:tc>
        <w:tc>
          <w:tcPr>
            <w:tcW w:w="960" w:type="dxa"/>
            <w:tcBorders/>
            <w:vAlign w:val="center"/>
          </w:tcPr>
          <w:p>
            <w:pPr>
              <w:jc w:val="right"/>
            </w:pPr>
            <w:r>
              <w:rPr>
                <w:rFonts w:ascii="宋体" w:eastAsia="宋体" w:hAnsi="宋体" w:cs="宋体"/>
                <w:b w:val="0"/>
                <w:i w:val="0"/>
                <w:color w:val="000000"/>
                <w:sz w:val="13"/>
              </w:rPr>
              <w:t xml:space="preserve">96.27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2240109</w:t>
            </w:r>
          </w:p>
        </w:tc>
        <w:tc>
          <w:tcPr>
            <w:tcW w:w="3200" w:type="dxa"/>
            <w:tcBorders/>
            <w:vAlign w:val="center"/>
          </w:tcPr>
          <w:p>
            <w:pPr>
              <w:jc w:val="left"/>
            </w:pPr>
            <w:r>
              <w:rPr>
                <w:rFonts w:ascii="宋体" w:eastAsia="宋体" w:hAnsi="宋体" w:cs="宋体"/>
                <w:b w:val="0"/>
                <w:i w:val="0"/>
                <w:color w:val="000000"/>
                <w:sz w:val="13"/>
              </w:rPr>
              <w:t xml:space="preserve">应急管理</w:t>
            </w:r>
          </w:p>
        </w:tc>
        <w:tc>
          <w:tcPr>
            <w:tcW w:w="960" w:type="dxa"/>
            <w:tcBorders/>
            <w:vAlign w:val="center"/>
          </w:tcPr>
          <w:p>
            <w:pPr>
              <w:jc w:val="right"/>
            </w:pPr>
            <w:r>
              <w:rPr>
                <w:rFonts w:ascii="宋体" w:eastAsia="宋体" w:hAnsi="宋体" w:cs="宋体"/>
                <w:b w:val="0"/>
                <w:i w:val="0"/>
                <w:color w:val="000000"/>
                <w:sz w:val="13"/>
              </w:rPr>
              <w:t xml:space="preserve">91.18</w:t>
            </w:r>
          </w:p>
        </w:tc>
        <w:tc>
          <w:tcPr>
            <w:tcW w:w="960" w:type="dxa"/>
            <w:tcBorders/>
            <w:vAlign w:val="center"/>
          </w:tcPr>
          <w:p>
            <w:pPr>
              <w:jc w:val="right"/>
            </w:pPr>
            <w:r>
              <w:rPr>
                <w:rFonts w:ascii="宋体" w:eastAsia="宋体" w:hAnsi="宋体" w:cs="宋体"/>
                <w:b w:val="0"/>
                <w:i w:val="0"/>
                <w:color w:val="000000"/>
                <w:sz w:val="13"/>
              </w:rPr>
              <w:t xml:space="preserve">91.18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2240199</w:t>
            </w:r>
          </w:p>
        </w:tc>
        <w:tc>
          <w:tcPr>
            <w:tcW w:w="3200" w:type="dxa"/>
            <w:tcBorders/>
            <w:vAlign w:val="center"/>
          </w:tcPr>
          <w:p>
            <w:pPr>
              <w:jc w:val="left"/>
            </w:pPr>
            <w:r>
              <w:rPr>
                <w:rFonts w:ascii="宋体" w:eastAsia="宋体" w:hAnsi="宋体" w:cs="宋体"/>
                <w:b w:val="0"/>
                <w:i w:val="0"/>
                <w:color w:val="000000"/>
                <w:sz w:val="13"/>
              </w:rPr>
              <w:t xml:space="preserve">其他应急管理支出</w:t>
            </w:r>
          </w:p>
        </w:tc>
        <w:tc>
          <w:tcPr>
            <w:tcW w:w="960" w:type="dxa"/>
            <w:tcBorders/>
            <w:vAlign w:val="center"/>
          </w:tcPr>
          <w:p>
            <w:pPr>
              <w:jc w:val="right"/>
            </w:pPr>
            <w:r>
              <w:rPr>
                <w:rFonts w:ascii="宋体" w:eastAsia="宋体" w:hAnsi="宋体" w:cs="宋体"/>
                <w:b w:val="0"/>
                <w:i w:val="0"/>
                <w:color w:val="000000"/>
                <w:sz w:val="13"/>
              </w:rPr>
              <w:t xml:space="preserve">53.40</w:t>
            </w:r>
          </w:p>
        </w:tc>
        <w:tc>
          <w:tcPr>
            <w:tcW w:w="960" w:type="dxa"/>
            <w:tcBorders/>
            <w:vAlign w:val="center"/>
          </w:tcPr>
          <w:p>
            <w:pPr>
              <w:jc w:val="right"/>
            </w:pPr>
            <w:r>
              <w:rPr>
                <w:rFonts w:ascii="宋体" w:eastAsia="宋体" w:hAnsi="宋体" w:cs="宋体"/>
                <w:b w:val="0"/>
                <w:i w:val="0"/>
                <w:color w:val="000000"/>
                <w:sz w:val="13"/>
              </w:rPr>
              <w:t xml:space="preserve">53.40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22402</w:t>
            </w:r>
          </w:p>
        </w:tc>
        <w:tc>
          <w:tcPr>
            <w:tcW w:w="3200" w:type="dxa"/>
            <w:tcBorders/>
            <w:vAlign w:val="center"/>
          </w:tcPr>
          <w:p>
            <w:pPr>
              <w:jc w:val="left"/>
            </w:pPr>
            <w:r>
              <w:rPr>
                <w:rFonts w:ascii="宋体" w:eastAsia="宋体" w:hAnsi="宋体" w:cs="宋体"/>
                <w:b w:val="0"/>
                <w:i w:val="0"/>
                <w:color w:val="000000"/>
                <w:sz w:val="13"/>
              </w:rPr>
              <w:t xml:space="preserve">消防救援事务</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2240204</w:t>
            </w:r>
          </w:p>
        </w:tc>
        <w:tc>
          <w:tcPr>
            <w:tcW w:w="3200" w:type="dxa"/>
            <w:tcBorders/>
            <w:vAlign w:val="center"/>
          </w:tcPr>
          <w:p>
            <w:pPr>
              <w:jc w:val="left"/>
            </w:pPr>
            <w:r>
              <w:rPr>
                <w:rFonts w:ascii="宋体" w:eastAsia="宋体" w:hAnsi="宋体" w:cs="宋体"/>
                <w:b w:val="0"/>
                <w:i w:val="0"/>
                <w:color w:val="000000"/>
                <w:sz w:val="13"/>
              </w:rPr>
              <w:t xml:space="preserve">消防应急救援</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22407</w:t>
            </w:r>
          </w:p>
        </w:tc>
        <w:tc>
          <w:tcPr>
            <w:tcW w:w="3200" w:type="dxa"/>
            <w:tcBorders/>
            <w:vAlign w:val="center"/>
          </w:tcPr>
          <w:p>
            <w:pPr>
              <w:jc w:val="left"/>
            </w:pPr>
            <w:r>
              <w:rPr>
                <w:rFonts w:ascii="宋体" w:eastAsia="宋体" w:hAnsi="宋体" w:cs="宋体"/>
                <w:b w:val="0"/>
                <w:i w:val="0"/>
                <w:color w:val="000000"/>
                <w:sz w:val="13"/>
              </w:rPr>
              <w:t xml:space="preserve">自然灾害救灾及恢复重建支出</w:t>
            </w:r>
          </w:p>
        </w:tc>
        <w:tc>
          <w:tcPr>
            <w:tcW w:w="960" w:type="dxa"/>
            <w:tcBorders/>
            <w:vAlign w:val="center"/>
          </w:tcPr>
          <w:p>
            <w:pPr>
              <w:jc w:val="right"/>
            </w:pPr>
            <w:r>
              <w:rPr>
                <w:rFonts w:ascii="宋体" w:eastAsia="宋体" w:hAnsi="宋体" w:cs="宋体"/>
                <w:b w:val="0"/>
                <w:i w:val="0"/>
                <w:color w:val="000000"/>
                <w:sz w:val="13"/>
              </w:rPr>
              <w:t xml:space="preserve">2.34</w:t>
            </w:r>
          </w:p>
        </w:tc>
        <w:tc>
          <w:tcPr>
            <w:tcW w:w="960" w:type="dxa"/>
            <w:tcBorders/>
            <w:vAlign w:val="center"/>
          </w:tcPr>
          <w:p>
            <w:pPr>
              <w:jc w:val="right"/>
            </w:pPr>
            <w:r>
              <w:rPr>
                <w:rFonts w:ascii="宋体" w:eastAsia="宋体" w:hAnsi="宋体" w:cs="宋体"/>
                <w:b w:val="0"/>
                <w:i w:val="0"/>
                <w:color w:val="000000"/>
                <w:sz w:val="13"/>
              </w:rPr>
              <w:t xml:space="preserve">2.34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2240703</w:t>
            </w:r>
          </w:p>
        </w:tc>
        <w:tc>
          <w:tcPr>
            <w:tcW w:w="3200" w:type="dxa"/>
            <w:tcBorders/>
            <w:vAlign w:val="center"/>
          </w:tcPr>
          <w:p>
            <w:pPr>
              <w:jc w:val="left"/>
            </w:pPr>
            <w:r>
              <w:rPr>
                <w:rFonts w:ascii="宋体" w:eastAsia="宋体" w:hAnsi="宋体" w:cs="宋体"/>
                <w:b w:val="0"/>
                <w:i w:val="0"/>
                <w:color w:val="000000"/>
                <w:sz w:val="13"/>
              </w:rPr>
              <w:t xml:space="preserve">自然灾害救灾补助</w:t>
            </w:r>
          </w:p>
        </w:tc>
        <w:tc>
          <w:tcPr>
            <w:tcW w:w="960" w:type="dxa"/>
            <w:tcBorders/>
            <w:vAlign w:val="center"/>
          </w:tcPr>
          <w:p>
            <w:pPr>
              <w:jc w:val="right"/>
            </w:pPr>
            <w:r>
              <w:rPr>
                <w:rFonts w:ascii="宋体" w:eastAsia="宋体" w:hAnsi="宋体" w:cs="宋体"/>
                <w:b w:val="0"/>
                <w:i w:val="0"/>
                <w:color w:val="000000"/>
                <w:sz w:val="13"/>
              </w:rPr>
              <w:t xml:space="preserve">2.34</w:t>
            </w:r>
          </w:p>
        </w:tc>
        <w:tc>
          <w:tcPr>
            <w:tcW w:w="960" w:type="dxa"/>
            <w:tcBorders/>
            <w:vAlign w:val="center"/>
          </w:tcPr>
          <w:p>
            <w:pPr>
              <w:jc w:val="right"/>
            </w:pPr>
            <w:r>
              <w:rPr>
                <w:rFonts w:ascii="宋体" w:eastAsia="宋体" w:hAnsi="宋体" w:cs="宋体"/>
                <w:b w:val="0"/>
                <w:i w:val="0"/>
                <w:color w:val="000000"/>
                <w:sz w:val="13"/>
              </w:rPr>
              <w:t xml:space="preserve">2.34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部门：辽宁省沈阳市浑南区应急管理局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2,058.49</w:t>
            </w:r>
          </w:p>
        </w:tc>
        <w:tc>
          <w:tcPr>
            <w:tcW w:w="1060" w:type="dxa"/>
            <w:tcBorders/>
            <w:vAlign w:val="center"/>
          </w:tcPr>
          <w:p>
            <w:pPr>
              <w:jc w:val="right"/>
            </w:pPr>
            <w:r>
              <w:rPr>
                <w:rFonts w:ascii="宋体" w:eastAsia="宋体" w:hAnsi="宋体" w:cs="宋体"/>
                <w:b/>
                <w:i w:val="0"/>
                <w:color w:val="000000"/>
                <w:sz w:val="14"/>
              </w:rPr>
              <w:t xml:space="preserve">1,196.41</w:t>
            </w:r>
          </w:p>
        </w:tc>
        <w:tc>
          <w:tcPr>
            <w:tcW w:w="1060" w:type="dxa"/>
            <w:tcBorders/>
            <w:vAlign w:val="center"/>
          </w:tcPr>
          <w:p>
            <w:pPr>
              <w:jc w:val="right"/>
            </w:pPr>
            <w:r>
              <w:rPr>
                <w:rFonts w:ascii="宋体" w:eastAsia="宋体" w:hAnsi="宋体" w:cs="宋体"/>
                <w:b/>
                <w:i w:val="0"/>
                <w:color w:val="000000"/>
                <w:sz w:val="14"/>
              </w:rPr>
              <w:t xml:space="preserve">862.09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1.48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1.48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1.48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153.65</w:t>
            </w:r>
          </w:p>
        </w:tc>
        <w:tc>
          <w:tcPr>
            <w:tcW w:w="1060" w:type="dxa"/>
            <w:tcBorders/>
            <w:vAlign w:val="center"/>
          </w:tcPr>
          <w:p>
            <w:pPr>
              <w:jc w:val="right"/>
            </w:pPr>
            <w:r>
              <w:rPr>
                <w:rFonts w:ascii="宋体" w:eastAsia="宋体" w:hAnsi="宋体" w:cs="宋体"/>
                <w:b w:val="0"/>
                <w:i w:val="0"/>
                <w:color w:val="000000"/>
                <w:sz w:val="14"/>
              </w:rPr>
              <w:t xml:space="preserve">153.28</w:t>
            </w:r>
          </w:p>
        </w:tc>
        <w:tc>
          <w:tcPr>
            <w:tcW w:w="1060" w:type="dxa"/>
            <w:tcBorders/>
            <w:vAlign w:val="center"/>
          </w:tcPr>
          <w:p>
            <w:pPr>
              <w:jc w:val="right"/>
            </w:pPr>
            <w:r>
              <w:rPr>
                <w:rFonts w:ascii="宋体" w:eastAsia="宋体" w:hAnsi="宋体" w:cs="宋体"/>
                <w:b w:val="0"/>
                <w:i w:val="0"/>
                <w:color w:val="000000"/>
                <w:sz w:val="14"/>
              </w:rPr>
              <w:t xml:space="preserve">0.37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153.28</w:t>
            </w:r>
          </w:p>
        </w:tc>
        <w:tc>
          <w:tcPr>
            <w:tcW w:w="1060" w:type="dxa"/>
            <w:tcBorders/>
            <w:vAlign w:val="center"/>
          </w:tcPr>
          <w:p>
            <w:pPr>
              <w:jc w:val="right"/>
            </w:pPr>
            <w:r>
              <w:rPr>
                <w:rFonts w:ascii="宋体" w:eastAsia="宋体" w:hAnsi="宋体" w:cs="宋体"/>
                <w:b w:val="0"/>
                <w:i w:val="0"/>
                <w:color w:val="000000"/>
                <w:sz w:val="14"/>
              </w:rPr>
              <w:t xml:space="preserve">153.28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7.17</w:t>
            </w:r>
          </w:p>
        </w:tc>
        <w:tc>
          <w:tcPr>
            <w:tcW w:w="1060" w:type="dxa"/>
            <w:tcBorders/>
            <w:vAlign w:val="center"/>
          </w:tcPr>
          <w:p>
            <w:pPr>
              <w:jc w:val="right"/>
            </w:pPr>
            <w:r>
              <w:rPr>
                <w:rFonts w:ascii="宋体" w:eastAsia="宋体" w:hAnsi="宋体" w:cs="宋体"/>
                <w:b w:val="0"/>
                <w:i w:val="0"/>
                <w:color w:val="000000"/>
                <w:sz w:val="14"/>
              </w:rPr>
              <w:t xml:space="preserve">7.17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113.78</w:t>
            </w:r>
          </w:p>
        </w:tc>
        <w:tc>
          <w:tcPr>
            <w:tcW w:w="1060" w:type="dxa"/>
            <w:tcBorders/>
            <w:vAlign w:val="center"/>
          </w:tcPr>
          <w:p>
            <w:pPr>
              <w:jc w:val="right"/>
            </w:pPr>
            <w:r>
              <w:rPr>
                <w:rFonts w:ascii="宋体" w:eastAsia="宋体" w:hAnsi="宋体" w:cs="宋体"/>
                <w:b w:val="0"/>
                <w:i w:val="0"/>
                <w:color w:val="000000"/>
                <w:sz w:val="14"/>
              </w:rPr>
              <w:t xml:space="preserve">113.78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32.33</w:t>
            </w:r>
          </w:p>
        </w:tc>
        <w:tc>
          <w:tcPr>
            <w:tcW w:w="1060" w:type="dxa"/>
            <w:tcBorders/>
            <w:vAlign w:val="center"/>
          </w:tcPr>
          <w:p>
            <w:pPr>
              <w:jc w:val="right"/>
            </w:pPr>
            <w:r>
              <w:rPr>
                <w:rFonts w:ascii="宋体" w:eastAsia="宋体" w:hAnsi="宋体" w:cs="宋体"/>
                <w:b w:val="0"/>
                <w:i w:val="0"/>
                <w:color w:val="000000"/>
                <w:sz w:val="14"/>
              </w:rPr>
              <w:t xml:space="preserve">32.33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20825</w:t>
            </w:r>
          </w:p>
        </w:tc>
        <w:tc>
          <w:tcPr>
            <w:tcW w:w="3440" w:type="dxa"/>
            <w:tcBorders/>
            <w:vAlign w:val="center"/>
          </w:tcPr>
          <w:p>
            <w:pPr>
              <w:jc w:val="left"/>
            </w:pPr>
            <w:r>
              <w:rPr>
                <w:rFonts w:ascii="宋体" w:eastAsia="宋体" w:hAnsi="宋体" w:cs="宋体"/>
                <w:b w:val="0"/>
                <w:i w:val="0"/>
                <w:color w:val="000000"/>
                <w:sz w:val="14"/>
              </w:rPr>
              <w:t xml:space="preserve">其他生活救助</w:t>
            </w:r>
          </w:p>
        </w:tc>
        <w:tc>
          <w:tcPr>
            <w:tcW w:w="1060" w:type="dxa"/>
            <w:tcBorders/>
            <w:vAlign w:val="center"/>
          </w:tcPr>
          <w:p>
            <w:pPr>
              <w:jc w:val="right"/>
            </w:pPr>
            <w:r>
              <w:rPr>
                <w:rFonts w:ascii="宋体" w:eastAsia="宋体" w:hAnsi="宋体" w:cs="宋体"/>
                <w:b w:val="0"/>
                <w:i w:val="0"/>
                <w:color w:val="000000"/>
                <w:sz w:val="14"/>
              </w:rPr>
              <w:t xml:space="preserve">0.37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0.37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2082502</w:t>
            </w:r>
          </w:p>
        </w:tc>
        <w:tc>
          <w:tcPr>
            <w:tcW w:w="3440" w:type="dxa"/>
            <w:tcBorders/>
            <w:vAlign w:val="center"/>
          </w:tcPr>
          <w:p>
            <w:pPr>
              <w:jc w:val="left"/>
            </w:pPr>
            <w:r>
              <w:rPr>
                <w:rFonts w:ascii="宋体" w:eastAsia="宋体" w:hAnsi="宋体" w:cs="宋体"/>
                <w:b w:val="0"/>
                <w:i w:val="0"/>
                <w:color w:val="000000"/>
                <w:sz w:val="14"/>
              </w:rPr>
              <w:t xml:space="preserve">其他农村生活救助</w:t>
            </w:r>
          </w:p>
        </w:tc>
        <w:tc>
          <w:tcPr>
            <w:tcW w:w="1060" w:type="dxa"/>
            <w:tcBorders/>
            <w:vAlign w:val="center"/>
          </w:tcPr>
          <w:p>
            <w:pPr>
              <w:jc w:val="right"/>
            </w:pPr>
            <w:r>
              <w:rPr>
                <w:rFonts w:ascii="宋体" w:eastAsia="宋体" w:hAnsi="宋体" w:cs="宋体"/>
                <w:b w:val="0"/>
                <w:i w:val="0"/>
                <w:color w:val="000000"/>
                <w:sz w:val="14"/>
              </w:rPr>
              <w:t xml:space="preserve">0.37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0.37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45.93</w:t>
            </w:r>
          </w:p>
        </w:tc>
        <w:tc>
          <w:tcPr>
            <w:tcW w:w="1060" w:type="dxa"/>
            <w:tcBorders/>
            <w:vAlign w:val="center"/>
          </w:tcPr>
          <w:p>
            <w:pPr>
              <w:jc w:val="right"/>
            </w:pPr>
            <w:r>
              <w:rPr>
                <w:rFonts w:ascii="宋体" w:eastAsia="宋体" w:hAnsi="宋体" w:cs="宋体"/>
                <w:b w:val="0"/>
                <w:i w:val="0"/>
                <w:color w:val="000000"/>
                <w:sz w:val="14"/>
              </w:rPr>
              <w:t xml:space="preserve">45.93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45.93</w:t>
            </w:r>
          </w:p>
        </w:tc>
        <w:tc>
          <w:tcPr>
            <w:tcW w:w="1060" w:type="dxa"/>
            <w:tcBorders/>
            <w:vAlign w:val="center"/>
          </w:tcPr>
          <w:p>
            <w:pPr>
              <w:jc w:val="right"/>
            </w:pPr>
            <w:r>
              <w:rPr>
                <w:rFonts w:ascii="宋体" w:eastAsia="宋体" w:hAnsi="宋体" w:cs="宋体"/>
                <w:b w:val="0"/>
                <w:i w:val="0"/>
                <w:color w:val="000000"/>
                <w:sz w:val="14"/>
              </w:rPr>
              <w:t xml:space="preserve">45.93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45.93</w:t>
            </w:r>
          </w:p>
        </w:tc>
        <w:tc>
          <w:tcPr>
            <w:tcW w:w="1060" w:type="dxa"/>
            <w:tcBorders/>
            <w:vAlign w:val="center"/>
          </w:tcPr>
          <w:p>
            <w:pPr>
              <w:jc w:val="right"/>
            </w:pPr>
            <w:r>
              <w:rPr>
                <w:rFonts w:ascii="宋体" w:eastAsia="宋体" w:hAnsi="宋体" w:cs="宋体"/>
                <w:b w:val="0"/>
                <w:i w:val="0"/>
                <w:color w:val="000000"/>
                <w:sz w:val="14"/>
              </w:rPr>
              <w:t xml:space="preserve">45.93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124.60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124.60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124.60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124.60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2120899</w:t>
            </w:r>
          </w:p>
        </w:tc>
        <w:tc>
          <w:tcPr>
            <w:tcW w:w="3440" w:type="dxa"/>
            <w:tcBorders/>
            <w:vAlign w:val="center"/>
          </w:tcPr>
          <w:p>
            <w:pPr>
              <w:jc w:val="left"/>
            </w:pPr>
            <w:r>
              <w:rPr>
                <w:rFonts w:ascii="宋体" w:eastAsia="宋体" w:hAnsi="宋体" w:cs="宋体"/>
                <w:b w:val="0"/>
                <w:i w:val="0"/>
                <w:color w:val="000000"/>
                <w:sz w:val="14"/>
              </w:rPr>
              <w:t xml:space="preserve">其他国有土地使用权出让收入安排的支出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124.60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124.60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w:t>
            </w:r>
          </w:p>
        </w:tc>
        <w:tc>
          <w:tcPr>
            <w:tcW w:w="3440" w:type="dxa"/>
            <w:tcBorders/>
            <w:vAlign w:val="center"/>
          </w:tcPr>
          <w:p>
            <w:pPr>
              <w:jc w:val="left"/>
            </w:pPr>
            <w:r>
              <w:rPr>
                <w:rFonts w:ascii="宋体" w:eastAsia="宋体" w:hAnsi="宋体" w:cs="宋体"/>
                <w:b w:val="0"/>
                <w:i w:val="0"/>
                <w:color w:val="000000"/>
                <w:sz w:val="14"/>
              </w:rPr>
              <w:t xml:space="preserve">农林水支出</w:t>
            </w:r>
          </w:p>
        </w:tc>
        <w:tc>
          <w:tcPr>
            <w:tcW w:w="1060" w:type="dxa"/>
            <w:tcBorders/>
            <w:vAlign w:val="center"/>
          </w:tcPr>
          <w:p>
            <w:pPr>
              <w:jc w:val="right"/>
            </w:pPr>
            <w:r>
              <w:rPr>
                <w:rFonts w:ascii="宋体" w:eastAsia="宋体" w:hAnsi="宋体" w:cs="宋体"/>
                <w:b w:val="0"/>
                <w:i w:val="0"/>
                <w:color w:val="000000"/>
                <w:sz w:val="14"/>
              </w:rPr>
              <w:t xml:space="preserve">6.00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w:t>
            </w:r>
          </w:p>
        </w:tc>
        <w:tc>
          <w:tcPr>
            <w:tcW w:w="3440" w:type="dxa"/>
            <w:tcBorders/>
            <w:vAlign w:val="center"/>
          </w:tcPr>
          <w:p>
            <w:pPr>
              <w:jc w:val="left"/>
            </w:pPr>
            <w:r>
              <w:rPr>
                <w:rFonts w:ascii="宋体" w:eastAsia="宋体" w:hAnsi="宋体" w:cs="宋体"/>
                <w:b w:val="0"/>
                <w:i w:val="0"/>
                <w:color w:val="000000"/>
                <w:sz w:val="14"/>
              </w:rPr>
              <w:t xml:space="preserve">水利</w:t>
            </w:r>
          </w:p>
        </w:tc>
        <w:tc>
          <w:tcPr>
            <w:tcW w:w="1060" w:type="dxa"/>
            <w:tcBorders/>
            <w:vAlign w:val="center"/>
          </w:tcPr>
          <w:p>
            <w:pPr>
              <w:jc w:val="right"/>
            </w:pPr>
            <w:r>
              <w:rPr>
                <w:rFonts w:ascii="宋体" w:eastAsia="宋体" w:hAnsi="宋体" w:cs="宋体"/>
                <w:b w:val="0"/>
                <w:i w:val="0"/>
                <w:color w:val="000000"/>
                <w:sz w:val="14"/>
              </w:rPr>
              <w:t xml:space="preserve">6.00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2130314</w:t>
            </w:r>
          </w:p>
        </w:tc>
        <w:tc>
          <w:tcPr>
            <w:tcW w:w="3440" w:type="dxa"/>
            <w:tcBorders/>
            <w:vAlign w:val="center"/>
          </w:tcPr>
          <w:p>
            <w:pPr>
              <w:jc w:val="left"/>
            </w:pPr>
            <w:r>
              <w:rPr>
                <w:rFonts w:ascii="宋体" w:eastAsia="宋体" w:hAnsi="宋体" w:cs="宋体"/>
                <w:b w:val="0"/>
                <w:i w:val="0"/>
                <w:color w:val="000000"/>
                <w:sz w:val="14"/>
              </w:rPr>
              <w:t xml:space="preserve">防汛</w:t>
            </w:r>
          </w:p>
        </w:tc>
        <w:tc>
          <w:tcPr>
            <w:tcW w:w="1060" w:type="dxa"/>
            <w:tcBorders/>
            <w:vAlign w:val="center"/>
          </w:tcPr>
          <w:p>
            <w:pPr>
              <w:jc w:val="right"/>
            </w:pPr>
            <w:r>
              <w:rPr>
                <w:rFonts w:ascii="宋体" w:eastAsia="宋体" w:hAnsi="宋体" w:cs="宋体"/>
                <w:b w:val="0"/>
                <w:i w:val="0"/>
                <w:color w:val="000000"/>
                <w:sz w:val="14"/>
              </w:rPr>
              <w:t xml:space="preserve">6.00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119.97</w:t>
            </w:r>
          </w:p>
        </w:tc>
        <w:tc>
          <w:tcPr>
            <w:tcW w:w="1060" w:type="dxa"/>
            <w:tcBorders/>
            <w:vAlign w:val="center"/>
          </w:tcPr>
          <w:p>
            <w:pPr>
              <w:jc w:val="right"/>
            </w:pPr>
            <w:r>
              <w:rPr>
                <w:rFonts w:ascii="宋体" w:eastAsia="宋体" w:hAnsi="宋体" w:cs="宋体"/>
                <w:b w:val="0"/>
                <w:i w:val="0"/>
                <w:color w:val="000000"/>
                <w:sz w:val="14"/>
              </w:rPr>
              <w:t xml:space="preserve">119.97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119.97</w:t>
            </w:r>
          </w:p>
        </w:tc>
        <w:tc>
          <w:tcPr>
            <w:tcW w:w="1060" w:type="dxa"/>
            <w:tcBorders/>
            <w:vAlign w:val="center"/>
          </w:tcPr>
          <w:p>
            <w:pPr>
              <w:jc w:val="right"/>
            </w:pPr>
            <w:r>
              <w:rPr>
                <w:rFonts w:ascii="宋体" w:eastAsia="宋体" w:hAnsi="宋体" w:cs="宋体"/>
                <w:b w:val="0"/>
                <w:i w:val="0"/>
                <w:color w:val="000000"/>
                <w:sz w:val="14"/>
              </w:rPr>
              <w:t xml:space="preserve">119.97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119.97</w:t>
            </w:r>
          </w:p>
        </w:tc>
        <w:tc>
          <w:tcPr>
            <w:tcW w:w="1060" w:type="dxa"/>
            <w:tcBorders/>
            <w:vAlign w:val="center"/>
          </w:tcPr>
          <w:p>
            <w:pPr>
              <w:jc w:val="right"/>
            </w:pPr>
            <w:r>
              <w:rPr>
                <w:rFonts w:ascii="宋体" w:eastAsia="宋体" w:hAnsi="宋体" w:cs="宋体"/>
                <w:b w:val="0"/>
                <w:i w:val="0"/>
                <w:color w:val="000000"/>
                <w:sz w:val="14"/>
              </w:rPr>
              <w:t xml:space="preserve">119.97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w:t>
            </w:r>
          </w:p>
        </w:tc>
        <w:tc>
          <w:tcPr>
            <w:tcW w:w="3440" w:type="dxa"/>
            <w:tcBorders/>
            <w:vAlign w:val="center"/>
          </w:tcPr>
          <w:p>
            <w:pPr>
              <w:jc w:val="left"/>
            </w:pPr>
            <w:r>
              <w:rPr>
                <w:rFonts w:ascii="宋体" w:eastAsia="宋体" w:hAnsi="宋体" w:cs="宋体"/>
                <w:b w:val="0"/>
                <w:i w:val="0"/>
                <w:color w:val="000000"/>
                <w:sz w:val="14"/>
              </w:rPr>
              <w:t xml:space="preserve">灾害防治及应急管理支出</w:t>
            </w:r>
          </w:p>
        </w:tc>
        <w:tc>
          <w:tcPr>
            <w:tcW w:w="1060" w:type="dxa"/>
            <w:tcBorders/>
            <w:vAlign w:val="center"/>
          </w:tcPr>
          <w:p>
            <w:pPr>
              <w:jc w:val="right"/>
            </w:pPr>
            <w:r>
              <w:rPr>
                <w:rFonts w:ascii="宋体" w:eastAsia="宋体" w:hAnsi="宋体" w:cs="宋体"/>
                <w:b w:val="0"/>
                <w:i w:val="0"/>
                <w:color w:val="000000"/>
                <w:sz w:val="14"/>
              </w:rPr>
              <w:t xml:space="preserve">1,606.88</w:t>
            </w:r>
          </w:p>
        </w:tc>
        <w:tc>
          <w:tcPr>
            <w:tcW w:w="1060" w:type="dxa"/>
            <w:tcBorders/>
            <w:vAlign w:val="center"/>
          </w:tcPr>
          <w:p>
            <w:pPr>
              <w:jc w:val="right"/>
            </w:pPr>
            <w:r>
              <w:rPr>
                <w:rFonts w:ascii="宋体" w:eastAsia="宋体" w:hAnsi="宋体" w:cs="宋体"/>
                <w:b w:val="0"/>
                <w:i w:val="0"/>
                <w:color w:val="000000"/>
                <w:sz w:val="14"/>
              </w:rPr>
              <w:t xml:space="preserve">877.24</w:t>
            </w:r>
          </w:p>
        </w:tc>
        <w:tc>
          <w:tcPr>
            <w:tcW w:w="1060" w:type="dxa"/>
            <w:tcBorders/>
            <w:vAlign w:val="center"/>
          </w:tcPr>
          <w:p>
            <w:pPr>
              <w:jc w:val="right"/>
            </w:pPr>
            <w:r>
              <w:rPr>
                <w:rFonts w:ascii="宋体" w:eastAsia="宋体" w:hAnsi="宋体" w:cs="宋体"/>
                <w:b w:val="0"/>
                <w:i w:val="0"/>
                <w:color w:val="000000"/>
                <w:sz w:val="14"/>
              </w:rPr>
              <w:t xml:space="preserve">729.64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22401</w:t>
            </w:r>
          </w:p>
        </w:tc>
        <w:tc>
          <w:tcPr>
            <w:tcW w:w="3440" w:type="dxa"/>
            <w:tcBorders/>
            <w:vAlign w:val="center"/>
          </w:tcPr>
          <w:p>
            <w:pPr>
              <w:jc w:val="left"/>
            </w:pPr>
            <w:r>
              <w:rPr>
                <w:rFonts w:ascii="宋体" w:eastAsia="宋体" w:hAnsi="宋体" w:cs="宋体"/>
                <w:b w:val="0"/>
                <w:i w:val="0"/>
                <w:color w:val="000000"/>
                <w:sz w:val="14"/>
              </w:rPr>
              <w:t xml:space="preserve">应急管理事务</w:t>
            </w:r>
          </w:p>
        </w:tc>
        <w:tc>
          <w:tcPr>
            <w:tcW w:w="1060" w:type="dxa"/>
            <w:tcBorders/>
            <w:vAlign w:val="center"/>
          </w:tcPr>
          <w:p>
            <w:pPr>
              <w:jc w:val="right"/>
            </w:pPr>
            <w:r>
              <w:rPr>
                <w:rFonts w:ascii="宋体" w:eastAsia="宋体" w:hAnsi="宋体" w:cs="宋体"/>
                <w:b w:val="0"/>
                <w:i w:val="0"/>
                <w:color w:val="000000"/>
                <w:sz w:val="14"/>
              </w:rPr>
              <w:t xml:space="preserve">1,599.54</w:t>
            </w:r>
          </w:p>
        </w:tc>
        <w:tc>
          <w:tcPr>
            <w:tcW w:w="1060" w:type="dxa"/>
            <w:tcBorders/>
            <w:vAlign w:val="center"/>
          </w:tcPr>
          <w:p>
            <w:pPr>
              <w:jc w:val="right"/>
            </w:pPr>
            <w:r>
              <w:rPr>
                <w:rFonts w:ascii="宋体" w:eastAsia="宋体" w:hAnsi="宋体" w:cs="宋体"/>
                <w:b w:val="0"/>
                <w:i w:val="0"/>
                <w:color w:val="000000"/>
                <w:sz w:val="14"/>
              </w:rPr>
              <w:t xml:space="preserve">877.24</w:t>
            </w:r>
          </w:p>
        </w:tc>
        <w:tc>
          <w:tcPr>
            <w:tcW w:w="1060" w:type="dxa"/>
            <w:tcBorders/>
            <w:vAlign w:val="center"/>
          </w:tcPr>
          <w:p>
            <w:pPr>
              <w:jc w:val="right"/>
            </w:pPr>
            <w:r>
              <w:rPr>
                <w:rFonts w:ascii="宋体" w:eastAsia="宋体" w:hAnsi="宋体" w:cs="宋体"/>
                <w:b w:val="0"/>
                <w:i w:val="0"/>
                <w:color w:val="000000"/>
                <w:sz w:val="14"/>
              </w:rPr>
              <w:t xml:space="preserve">722.30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877.24</w:t>
            </w:r>
          </w:p>
        </w:tc>
        <w:tc>
          <w:tcPr>
            <w:tcW w:w="1060" w:type="dxa"/>
            <w:tcBorders/>
            <w:vAlign w:val="center"/>
          </w:tcPr>
          <w:p>
            <w:pPr>
              <w:jc w:val="right"/>
            </w:pPr>
            <w:r>
              <w:rPr>
                <w:rFonts w:ascii="宋体" w:eastAsia="宋体" w:hAnsi="宋体" w:cs="宋体"/>
                <w:b w:val="0"/>
                <w:i w:val="0"/>
                <w:color w:val="000000"/>
                <w:sz w:val="14"/>
              </w:rPr>
              <w:t xml:space="preserve">877.24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450.91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450.91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2240104</w:t>
            </w:r>
          </w:p>
        </w:tc>
        <w:tc>
          <w:tcPr>
            <w:tcW w:w="3440" w:type="dxa"/>
            <w:tcBorders/>
            <w:vAlign w:val="center"/>
          </w:tcPr>
          <w:p>
            <w:pPr>
              <w:jc w:val="left"/>
            </w:pPr>
            <w:r>
              <w:rPr>
                <w:rFonts w:ascii="宋体" w:eastAsia="宋体" w:hAnsi="宋体" w:cs="宋体"/>
                <w:b w:val="0"/>
                <w:i w:val="0"/>
                <w:color w:val="000000"/>
                <w:sz w:val="14"/>
              </w:rPr>
              <w:t xml:space="preserve">灾害风险防治</w:t>
            </w:r>
          </w:p>
        </w:tc>
        <w:tc>
          <w:tcPr>
            <w:tcW w:w="1060" w:type="dxa"/>
            <w:tcBorders/>
            <w:vAlign w:val="center"/>
          </w:tcPr>
          <w:p>
            <w:pPr>
              <w:jc w:val="right"/>
            </w:pPr>
            <w:r>
              <w:rPr>
                <w:rFonts w:ascii="宋体" w:eastAsia="宋体" w:hAnsi="宋体" w:cs="宋体"/>
                <w:b w:val="0"/>
                <w:i w:val="0"/>
                <w:color w:val="000000"/>
                <w:sz w:val="14"/>
              </w:rPr>
              <w:t xml:space="preserve">30.54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30.54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2240106</w:t>
            </w:r>
          </w:p>
        </w:tc>
        <w:tc>
          <w:tcPr>
            <w:tcW w:w="3440" w:type="dxa"/>
            <w:tcBorders/>
            <w:vAlign w:val="center"/>
          </w:tcPr>
          <w:p>
            <w:pPr>
              <w:jc w:val="left"/>
            </w:pPr>
            <w:r>
              <w:rPr>
                <w:rFonts w:ascii="宋体" w:eastAsia="宋体" w:hAnsi="宋体" w:cs="宋体"/>
                <w:b w:val="0"/>
                <w:i w:val="0"/>
                <w:color w:val="000000"/>
                <w:sz w:val="14"/>
              </w:rPr>
              <w:t xml:space="preserve">安全监管</w:t>
            </w:r>
          </w:p>
        </w:tc>
        <w:tc>
          <w:tcPr>
            <w:tcW w:w="1060" w:type="dxa"/>
            <w:tcBorders/>
            <w:vAlign w:val="center"/>
          </w:tcPr>
          <w:p>
            <w:pPr>
              <w:jc w:val="right"/>
            </w:pPr>
            <w:r>
              <w:rPr>
                <w:rFonts w:ascii="宋体" w:eastAsia="宋体" w:hAnsi="宋体" w:cs="宋体"/>
                <w:b w:val="0"/>
                <w:i w:val="0"/>
                <w:color w:val="000000"/>
                <w:sz w:val="14"/>
              </w:rPr>
              <w:t xml:space="preserve">96.27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96.27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2240109</w:t>
            </w:r>
          </w:p>
        </w:tc>
        <w:tc>
          <w:tcPr>
            <w:tcW w:w="3440" w:type="dxa"/>
            <w:tcBorders/>
            <w:vAlign w:val="center"/>
          </w:tcPr>
          <w:p>
            <w:pPr>
              <w:jc w:val="left"/>
            </w:pPr>
            <w:r>
              <w:rPr>
                <w:rFonts w:ascii="宋体" w:eastAsia="宋体" w:hAnsi="宋体" w:cs="宋体"/>
                <w:b w:val="0"/>
                <w:i w:val="0"/>
                <w:color w:val="000000"/>
                <w:sz w:val="14"/>
              </w:rPr>
              <w:t xml:space="preserve">应急管理</w:t>
            </w:r>
          </w:p>
        </w:tc>
        <w:tc>
          <w:tcPr>
            <w:tcW w:w="1060" w:type="dxa"/>
            <w:tcBorders/>
            <w:vAlign w:val="center"/>
          </w:tcPr>
          <w:p>
            <w:pPr>
              <w:jc w:val="right"/>
            </w:pPr>
            <w:r>
              <w:rPr>
                <w:rFonts w:ascii="宋体" w:eastAsia="宋体" w:hAnsi="宋体" w:cs="宋体"/>
                <w:b w:val="0"/>
                <w:i w:val="0"/>
                <w:color w:val="000000"/>
                <w:sz w:val="14"/>
              </w:rPr>
              <w:t xml:space="preserve">91.18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91.18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2240199</w:t>
            </w:r>
          </w:p>
        </w:tc>
        <w:tc>
          <w:tcPr>
            <w:tcW w:w="3440" w:type="dxa"/>
            <w:tcBorders/>
            <w:vAlign w:val="center"/>
          </w:tcPr>
          <w:p>
            <w:pPr>
              <w:jc w:val="left"/>
            </w:pPr>
            <w:r>
              <w:rPr>
                <w:rFonts w:ascii="宋体" w:eastAsia="宋体" w:hAnsi="宋体" w:cs="宋体"/>
                <w:b w:val="0"/>
                <w:i w:val="0"/>
                <w:color w:val="000000"/>
                <w:sz w:val="14"/>
              </w:rPr>
              <w:t xml:space="preserve">其他应急管理支出</w:t>
            </w:r>
          </w:p>
        </w:tc>
        <w:tc>
          <w:tcPr>
            <w:tcW w:w="1060" w:type="dxa"/>
            <w:tcBorders/>
            <w:vAlign w:val="center"/>
          </w:tcPr>
          <w:p>
            <w:pPr>
              <w:jc w:val="right"/>
            </w:pPr>
            <w:r>
              <w:rPr>
                <w:rFonts w:ascii="宋体" w:eastAsia="宋体" w:hAnsi="宋体" w:cs="宋体"/>
                <w:b w:val="0"/>
                <w:i w:val="0"/>
                <w:color w:val="000000"/>
                <w:sz w:val="14"/>
              </w:rPr>
              <w:t xml:space="preserve">53.40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53.40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22402</w:t>
            </w:r>
          </w:p>
        </w:tc>
        <w:tc>
          <w:tcPr>
            <w:tcW w:w="3440" w:type="dxa"/>
            <w:tcBorders/>
            <w:vAlign w:val="center"/>
          </w:tcPr>
          <w:p>
            <w:pPr>
              <w:jc w:val="left"/>
            </w:pPr>
            <w:r>
              <w:rPr>
                <w:rFonts w:ascii="宋体" w:eastAsia="宋体" w:hAnsi="宋体" w:cs="宋体"/>
                <w:b w:val="0"/>
                <w:i w:val="0"/>
                <w:color w:val="000000"/>
                <w:sz w:val="14"/>
              </w:rPr>
              <w:t xml:space="preserve">消防救援事务</w:t>
            </w: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2240204</w:t>
            </w:r>
          </w:p>
        </w:tc>
        <w:tc>
          <w:tcPr>
            <w:tcW w:w="3440" w:type="dxa"/>
            <w:tcBorders/>
            <w:vAlign w:val="center"/>
          </w:tcPr>
          <w:p>
            <w:pPr>
              <w:jc w:val="left"/>
            </w:pPr>
            <w:r>
              <w:rPr>
                <w:rFonts w:ascii="宋体" w:eastAsia="宋体" w:hAnsi="宋体" w:cs="宋体"/>
                <w:b w:val="0"/>
                <w:i w:val="0"/>
                <w:color w:val="000000"/>
                <w:sz w:val="14"/>
              </w:rPr>
              <w:t xml:space="preserve">消防应急救援</w:t>
            </w: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22407</w:t>
            </w:r>
          </w:p>
        </w:tc>
        <w:tc>
          <w:tcPr>
            <w:tcW w:w="3440" w:type="dxa"/>
            <w:tcBorders/>
            <w:vAlign w:val="center"/>
          </w:tcPr>
          <w:p>
            <w:pPr>
              <w:jc w:val="left"/>
            </w:pPr>
            <w:r>
              <w:rPr>
                <w:rFonts w:ascii="宋体" w:eastAsia="宋体" w:hAnsi="宋体" w:cs="宋体"/>
                <w:b w:val="0"/>
                <w:i w:val="0"/>
                <w:color w:val="000000"/>
                <w:sz w:val="14"/>
              </w:rPr>
              <w:t xml:space="preserve">自然灾害救灾及恢复重建支出</w:t>
            </w:r>
          </w:p>
        </w:tc>
        <w:tc>
          <w:tcPr>
            <w:tcW w:w="1060" w:type="dxa"/>
            <w:tcBorders/>
            <w:vAlign w:val="center"/>
          </w:tcPr>
          <w:p>
            <w:pPr>
              <w:jc w:val="right"/>
            </w:pPr>
            <w:r>
              <w:rPr>
                <w:rFonts w:ascii="宋体" w:eastAsia="宋体" w:hAnsi="宋体" w:cs="宋体"/>
                <w:b w:val="0"/>
                <w:i w:val="0"/>
                <w:color w:val="000000"/>
                <w:sz w:val="14"/>
              </w:rPr>
              <w:t xml:space="preserve">2.34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2.34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2240703</w:t>
            </w:r>
          </w:p>
        </w:tc>
        <w:tc>
          <w:tcPr>
            <w:tcW w:w="3440" w:type="dxa"/>
            <w:tcBorders/>
            <w:vAlign w:val="center"/>
          </w:tcPr>
          <w:p>
            <w:pPr>
              <w:jc w:val="left"/>
            </w:pPr>
            <w:r>
              <w:rPr>
                <w:rFonts w:ascii="宋体" w:eastAsia="宋体" w:hAnsi="宋体" w:cs="宋体"/>
                <w:b w:val="0"/>
                <w:i w:val="0"/>
                <w:color w:val="000000"/>
                <w:sz w:val="14"/>
              </w:rPr>
              <w:t xml:space="preserve">自然灾害救灾补助</w:t>
            </w:r>
          </w:p>
        </w:tc>
        <w:tc>
          <w:tcPr>
            <w:tcW w:w="1060" w:type="dxa"/>
            <w:tcBorders/>
            <w:vAlign w:val="center"/>
          </w:tcPr>
          <w:p>
            <w:pPr>
              <w:jc w:val="right"/>
            </w:pPr>
            <w:r>
              <w:rPr>
                <w:rFonts w:ascii="宋体" w:eastAsia="宋体" w:hAnsi="宋体" w:cs="宋体"/>
                <w:b w:val="0"/>
                <w:i w:val="0"/>
                <w:color w:val="000000"/>
                <w:sz w:val="14"/>
              </w:rPr>
              <w:t xml:space="preserve">2.34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2.34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部门：辽宁省沈阳市浑南区应急管理局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1,933.89</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1.48</w:t>
            </w:r>
          </w:p>
        </w:tc>
        <w:tc>
          <w:tcPr>
            <w:tcW w:w="1100" w:type="dxa"/>
            <w:tcBorders/>
            <w:vAlign w:val="center"/>
          </w:tcPr>
          <w:p>
            <w:pPr>
              <w:jc w:val="right"/>
            </w:pPr>
            <w:r>
              <w:rPr>
                <w:rFonts w:ascii="宋体" w:eastAsia="宋体" w:hAnsi="宋体" w:cs="宋体"/>
                <w:b w:val="0"/>
                <w:i w:val="0"/>
                <w:color w:val="000000"/>
                <w:sz w:val="14"/>
              </w:rPr>
              <w:t xml:space="preserve">1.48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124.60</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153.64</w:t>
            </w:r>
          </w:p>
        </w:tc>
        <w:tc>
          <w:tcPr>
            <w:tcW w:w="1100" w:type="dxa"/>
            <w:tcBorders/>
            <w:vAlign w:val="center"/>
          </w:tcPr>
          <w:p>
            <w:pPr>
              <w:jc w:val="right"/>
            </w:pPr>
            <w:r>
              <w:rPr>
                <w:rFonts w:ascii="宋体" w:eastAsia="宋体" w:hAnsi="宋体" w:cs="宋体"/>
                <w:b w:val="0"/>
                <w:i w:val="0"/>
                <w:color w:val="000000"/>
                <w:sz w:val="14"/>
              </w:rPr>
              <w:t xml:space="preserve">153.64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45.93</w:t>
            </w:r>
          </w:p>
        </w:tc>
        <w:tc>
          <w:tcPr>
            <w:tcW w:w="1100" w:type="dxa"/>
            <w:tcBorders/>
            <w:vAlign w:val="center"/>
          </w:tcPr>
          <w:p>
            <w:pPr>
              <w:jc w:val="right"/>
            </w:pPr>
            <w:r>
              <w:rPr>
                <w:rFonts w:ascii="宋体" w:eastAsia="宋体" w:hAnsi="宋体" w:cs="宋体"/>
                <w:b w:val="0"/>
                <w:i w:val="0"/>
                <w:color w:val="000000"/>
                <w:sz w:val="14"/>
              </w:rPr>
              <w:t xml:space="preserve">45.93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124.60</w:t>
            </w:r>
          </w:p>
        </w:tc>
        <w:tc>
          <w:tcPr>
            <w:tcW w:w="1100" w:type="dxa"/>
            <w:tcBorders/>
            <w:vAlign w:val="center"/>
          </w:tcPr>
          <w:p>
            <w:pPr/>
          </w:p>
        </w:tc>
        <w:tc>
          <w:tcPr>
            <w:tcW w:w="1100" w:type="dxa"/>
            <w:tcBorders/>
            <w:vAlign w:val="center"/>
          </w:tcPr>
          <w:p>
            <w:pPr>
              <w:jc w:val="right"/>
            </w:pPr>
            <w:r>
              <w:rPr>
                <w:rFonts w:ascii="宋体" w:eastAsia="宋体" w:hAnsi="宋体" w:cs="宋体"/>
                <w:b w:val="0"/>
                <w:i w:val="0"/>
                <w:color w:val="000000"/>
                <w:sz w:val="14"/>
              </w:rPr>
              <w:t xml:space="preserve">124.60</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6.00</w:t>
            </w:r>
          </w:p>
        </w:tc>
        <w:tc>
          <w:tcPr>
            <w:tcW w:w="1100" w:type="dxa"/>
            <w:tcBorders/>
            <w:vAlign w:val="center"/>
          </w:tcPr>
          <w:p>
            <w:pPr>
              <w:jc w:val="right"/>
            </w:pPr>
            <w:r>
              <w:rPr>
                <w:rFonts w:ascii="宋体" w:eastAsia="宋体" w:hAnsi="宋体" w:cs="宋体"/>
                <w:b w:val="0"/>
                <w:i w:val="0"/>
                <w:color w:val="000000"/>
                <w:sz w:val="14"/>
              </w:rPr>
              <w:t xml:space="preserve">6.00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119.97</w:t>
            </w:r>
          </w:p>
        </w:tc>
        <w:tc>
          <w:tcPr>
            <w:tcW w:w="1100" w:type="dxa"/>
            <w:tcBorders/>
            <w:vAlign w:val="center"/>
          </w:tcPr>
          <w:p>
            <w:pPr>
              <w:jc w:val="right"/>
            </w:pPr>
            <w:r>
              <w:rPr>
                <w:rFonts w:ascii="宋体" w:eastAsia="宋体" w:hAnsi="宋体" w:cs="宋体"/>
                <w:b w:val="0"/>
                <w:i w:val="0"/>
                <w:color w:val="000000"/>
                <w:sz w:val="14"/>
              </w:rPr>
              <w:t xml:space="preserve">119.97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jc w:val="right"/>
            </w:pPr>
            <w:r>
              <w:rPr>
                <w:rFonts w:ascii="宋体" w:eastAsia="宋体" w:hAnsi="宋体" w:cs="宋体"/>
                <w:b w:val="0"/>
                <w:i w:val="0"/>
                <w:color w:val="000000"/>
                <w:sz w:val="14"/>
              </w:rPr>
              <w:t xml:space="preserve">1,606.87</w:t>
            </w:r>
          </w:p>
        </w:tc>
        <w:tc>
          <w:tcPr>
            <w:tcW w:w="1100" w:type="dxa"/>
            <w:tcBorders/>
            <w:vAlign w:val="center"/>
          </w:tcPr>
          <w:p>
            <w:pPr>
              <w:jc w:val="right"/>
            </w:pPr>
            <w:r>
              <w:rPr>
                <w:rFonts w:ascii="宋体" w:eastAsia="宋体" w:hAnsi="宋体" w:cs="宋体"/>
                <w:b w:val="0"/>
                <w:i w:val="0"/>
                <w:color w:val="000000"/>
                <w:sz w:val="14"/>
              </w:rPr>
              <w:t xml:space="preserve">1,606.87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2,058.49</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2,058.49</w:t>
            </w:r>
          </w:p>
        </w:tc>
        <w:tc>
          <w:tcPr>
            <w:tcW w:w="1100" w:type="dxa"/>
            <w:tcBorders/>
            <w:vAlign w:val="center"/>
          </w:tcPr>
          <w:p>
            <w:pPr>
              <w:jc w:val="right"/>
            </w:pPr>
            <w:r>
              <w:rPr>
                <w:rFonts w:ascii="宋体" w:eastAsia="宋体" w:hAnsi="宋体" w:cs="宋体"/>
                <w:b w:val="0"/>
                <w:i w:val="0"/>
                <w:color w:val="000000"/>
                <w:sz w:val="14"/>
              </w:rPr>
              <w:t xml:space="preserve">1,933.89</w:t>
            </w:r>
          </w:p>
        </w:tc>
        <w:tc>
          <w:tcPr>
            <w:tcW w:w="1100" w:type="dxa"/>
            <w:tcBorders/>
            <w:vAlign w:val="center"/>
          </w:tcPr>
          <w:p>
            <w:pPr>
              <w:jc w:val="right"/>
            </w:pPr>
            <w:r>
              <w:rPr>
                <w:rFonts w:ascii="宋体" w:eastAsia="宋体" w:hAnsi="宋体" w:cs="宋体"/>
                <w:b w:val="0"/>
                <w:i w:val="0"/>
                <w:color w:val="000000"/>
                <w:sz w:val="14"/>
              </w:rPr>
              <w:t xml:space="preserve">124.60</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2,058.49</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2,058.49</w:t>
            </w:r>
          </w:p>
        </w:tc>
        <w:tc>
          <w:tcPr>
            <w:tcW w:w="1100" w:type="dxa"/>
            <w:tcBorders/>
            <w:vAlign w:val="center"/>
          </w:tcPr>
          <w:p>
            <w:pPr>
              <w:jc w:val="right"/>
            </w:pPr>
            <w:r>
              <w:rPr>
                <w:rFonts w:ascii="宋体" w:eastAsia="宋体" w:hAnsi="宋体" w:cs="宋体"/>
                <w:b w:val="0"/>
                <w:i w:val="0"/>
                <w:color w:val="000000"/>
                <w:sz w:val="14"/>
              </w:rPr>
              <w:t xml:space="preserve">1,933.89</w:t>
            </w:r>
          </w:p>
        </w:tc>
        <w:tc>
          <w:tcPr>
            <w:tcW w:w="1100" w:type="dxa"/>
            <w:tcBorders/>
            <w:vAlign w:val="center"/>
          </w:tcPr>
          <w:p>
            <w:pPr>
              <w:jc w:val="right"/>
            </w:pPr>
            <w:r>
              <w:rPr>
                <w:rFonts w:ascii="宋体" w:eastAsia="宋体" w:hAnsi="宋体" w:cs="宋体"/>
                <w:b w:val="0"/>
                <w:i w:val="0"/>
                <w:color w:val="000000"/>
                <w:sz w:val="14"/>
              </w:rPr>
              <w:t xml:space="preserve">124.60</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部门：辽宁省沈阳市浑南区应急管理局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1,933.89</w:t>
            </w:r>
          </w:p>
        </w:tc>
        <w:tc>
          <w:tcPr>
            <w:tcW w:w="1780" w:type="dxa"/>
            <w:tcBorders/>
            <w:vAlign w:val="center"/>
          </w:tcPr>
          <w:p>
            <w:pPr>
              <w:jc w:val="right"/>
            </w:pPr>
            <w:r>
              <w:rPr>
                <w:rFonts w:ascii="宋体" w:eastAsia="宋体" w:hAnsi="宋体" w:cs="宋体"/>
                <w:b/>
                <w:i w:val="0"/>
                <w:color w:val="000000"/>
                <w:sz w:val="18"/>
              </w:rPr>
              <w:t xml:space="preserve">1,196.41</w:t>
            </w:r>
          </w:p>
        </w:tc>
        <w:tc>
          <w:tcPr>
            <w:tcW w:w="1772" w:type="dxa"/>
            <w:tcBorders/>
            <w:vAlign w:val="center"/>
          </w:tcPr>
          <w:p>
            <w:pPr>
              <w:jc w:val="right"/>
            </w:pPr>
            <w:r>
              <w:rPr>
                <w:rFonts w:ascii="宋体" w:eastAsia="宋体" w:hAnsi="宋体" w:cs="宋体"/>
                <w:b/>
                <w:i w:val="0"/>
                <w:color w:val="000000"/>
                <w:sz w:val="18"/>
              </w:rPr>
              <w:t xml:space="preserve">737.49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1.48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1.48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1.48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153.65</w:t>
            </w:r>
          </w:p>
        </w:tc>
        <w:tc>
          <w:tcPr>
            <w:tcW w:w="1780" w:type="dxa"/>
            <w:tcBorders/>
            <w:vAlign w:val="center"/>
          </w:tcPr>
          <w:p>
            <w:pPr>
              <w:jc w:val="right"/>
            </w:pPr>
            <w:r>
              <w:rPr>
                <w:rFonts w:ascii="宋体" w:eastAsia="宋体" w:hAnsi="宋体" w:cs="宋体"/>
                <w:b w:val="0"/>
                <w:i w:val="0"/>
                <w:color w:val="000000"/>
                <w:sz w:val="18"/>
              </w:rPr>
              <w:t xml:space="preserve">153.28</w:t>
            </w:r>
          </w:p>
        </w:tc>
        <w:tc>
          <w:tcPr>
            <w:tcW w:w="1772" w:type="dxa"/>
            <w:tcBorders/>
            <w:vAlign w:val="center"/>
          </w:tcPr>
          <w:p>
            <w:pPr>
              <w:jc w:val="right"/>
            </w:pPr>
            <w:r>
              <w:rPr>
                <w:rFonts w:ascii="宋体" w:eastAsia="宋体" w:hAnsi="宋体" w:cs="宋体"/>
                <w:b w:val="0"/>
                <w:i w:val="0"/>
                <w:color w:val="000000"/>
                <w:sz w:val="18"/>
              </w:rPr>
              <w:t xml:space="preserve">0.37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153.28</w:t>
            </w:r>
          </w:p>
        </w:tc>
        <w:tc>
          <w:tcPr>
            <w:tcW w:w="1780" w:type="dxa"/>
            <w:tcBorders/>
            <w:vAlign w:val="center"/>
          </w:tcPr>
          <w:p>
            <w:pPr>
              <w:jc w:val="right"/>
            </w:pPr>
            <w:r>
              <w:rPr>
                <w:rFonts w:ascii="宋体" w:eastAsia="宋体" w:hAnsi="宋体" w:cs="宋体"/>
                <w:b w:val="0"/>
                <w:i w:val="0"/>
                <w:color w:val="000000"/>
                <w:sz w:val="18"/>
              </w:rPr>
              <w:t xml:space="preserve">153.28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7.17</w:t>
            </w:r>
          </w:p>
        </w:tc>
        <w:tc>
          <w:tcPr>
            <w:tcW w:w="1780" w:type="dxa"/>
            <w:tcBorders/>
            <w:vAlign w:val="center"/>
          </w:tcPr>
          <w:p>
            <w:pPr>
              <w:jc w:val="right"/>
            </w:pPr>
            <w:r>
              <w:rPr>
                <w:rFonts w:ascii="宋体" w:eastAsia="宋体" w:hAnsi="宋体" w:cs="宋体"/>
                <w:b w:val="0"/>
                <w:i w:val="0"/>
                <w:color w:val="000000"/>
                <w:sz w:val="18"/>
              </w:rPr>
              <w:t xml:space="preserve">7.17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113.78</w:t>
            </w:r>
          </w:p>
        </w:tc>
        <w:tc>
          <w:tcPr>
            <w:tcW w:w="1780" w:type="dxa"/>
            <w:tcBorders/>
            <w:vAlign w:val="center"/>
          </w:tcPr>
          <w:p>
            <w:pPr>
              <w:jc w:val="right"/>
            </w:pPr>
            <w:r>
              <w:rPr>
                <w:rFonts w:ascii="宋体" w:eastAsia="宋体" w:hAnsi="宋体" w:cs="宋体"/>
                <w:b w:val="0"/>
                <w:i w:val="0"/>
                <w:color w:val="000000"/>
                <w:sz w:val="18"/>
              </w:rPr>
              <w:t xml:space="preserve">113.78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32.33</w:t>
            </w:r>
          </w:p>
        </w:tc>
        <w:tc>
          <w:tcPr>
            <w:tcW w:w="1780" w:type="dxa"/>
            <w:tcBorders/>
            <w:vAlign w:val="center"/>
          </w:tcPr>
          <w:p>
            <w:pPr>
              <w:jc w:val="right"/>
            </w:pPr>
            <w:r>
              <w:rPr>
                <w:rFonts w:ascii="宋体" w:eastAsia="宋体" w:hAnsi="宋体" w:cs="宋体"/>
                <w:b w:val="0"/>
                <w:i w:val="0"/>
                <w:color w:val="000000"/>
                <w:sz w:val="18"/>
              </w:rPr>
              <w:t xml:space="preserve">32.33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20825</w:t>
            </w:r>
          </w:p>
        </w:tc>
        <w:tc>
          <w:tcPr>
            <w:tcW w:w="4300" w:type="dxa"/>
            <w:tcBorders/>
            <w:vAlign w:val="center"/>
          </w:tcPr>
          <w:p>
            <w:pPr>
              <w:jc w:val="left"/>
            </w:pPr>
            <w:r>
              <w:rPr>
                <w:rFonts w:ascii="宋体" w:eastAsia="宋体" w:hAnsi="宋体" w:cs="宋体"/>
                <w:b w:val="0"/>
                <w:i w:val="0"/>
                <w:color w:val="000000"/>
                <w:sz w:val="18"/>
              </w:rPr>
              <w:t xml:space="preserve">其他生活救助</w:t>
            </w:r>
          </w:p>
        </w:tc>
        <w:tc>
          <w:tcPr>
            <w:tcW w:w="1780" w:type="dxa"/>
            <w:tcBorders/>
            <w:vAlign w:val="center"/>
          </w:tcPr>
          <w:p>
            <w:pPr>
              <w:jc w:val="right"/>
            </w:pPr>
            <w:r>
              <w:rPr>
                <w:rFonts w:ascii="宋体" w:eastAsia="宋体" w:hAnsi="宋体" w:cs="宋体"/>
                <w:b w:val="0"/>
                <w:i w:val="0"/>
                <w:color w:val="000000"/>
                <w:sz w:val="18"/>
              </w:rPr>
              <w:t xml:space="preserve">0.37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0.37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2082502</w:t>
            </w:r>
          </w:p>
        </w:tc>
        <w:tc>
          <w:tcPr>
            <w:tcW w:w="4300" w:type="dxa"/>
            <w:tcBorders/>
            <w:vAlign w:val="center"/>
          </w:tcPr>
          <w:p>
            <w:pPr>
              <w:jc w:val="left"/>
            </w:pPr>
            <w:r>
              <w:rPr>
                <w:rFonts w:ascii="宋体" w:eastAsia="宋体" w:hAnsi="宋体" w:cs="宋体"/>
                <w:b w:val="0"/>
                <w:i w:val="0"/>
                <w:color w:val="000000"/>
                <w:sz w:val="18"/>
              </w:rPr>
              <w:t xml:space="preserve">其他农村生活救助</w:t>
            </w:r>
          </w:p>
        </w:tc>
        <w:tc>
          <w:tcPr>
            <w:tcW w:w="1780" w:type="dxa"/>
            <w:tcBorders/>
            <w:vAlign w:val="center"/>
          </w:tcPr>
          <w:p>
            <w:pPr>
              <w:jc w:val="right"/>
            </w:pPr>
            <w:r>
              <w:rPr>
                <w:rFonts w:ascii="宋体" w:eastAsia="宋体" w:hAnsi="宋体" w:cs="宋体"/>
                <w:b w:val="0"/>
                <w:i w:val="0"/>
                <w:color w:val="000000"/>
                <w:sz w:val="18"/>
              </w:rPr>
              <w:t xml:space="preserve">0.37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0.37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45.93</w:t>
            </w:r>
          </w:p>
        </w:tc>
        <w:tc>
          <w:tcPr>
            <w:tcW w:w="1780" w:type="dxa"/>
            <w:tcBorders/>
            <w:vAlign w:val="center"/>
          </w:tcPr>
          <w:p>
            <w:pPr>
              <w:jc w:val="right"/>
            </w:pPr>
            <w:r>
              <w:rPr>
                <w:rFonts w:ascii="宋体" w:eastAsia="宋体" w:hAnsi="宋体" w:cs="宋体"/>
                <w:b w:val="0"/>
                <w:i w:val="0"/>
                <w:color w:val="000000"/>
                <w:sz w:val="18"/>
              </w:rPr>
              <w:t xml:space="preserve">45.93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45.93</w:t>
            </w:r>
          </w:p>
        </w:tc>
        <w:tc>
          <w:tcPr>
            <w:tcW w:w="1780" w:type="dxa"/>
            <w:tcBorders/>
            <w:vAlign w:val="center"/>
          </w:tcPr>
          <w:p>
            <w:pPr>
              <w:jc w:val="right"/>
            </w:pPr>
            <w:r>
              <w:rPr>
                <w:rFonts w:ascii="宋体" w:eastAsia="宋体" w:hAnsi="宋体" w:cs="宋体"/>
                <w:b w:val="0"/>
                <w:i w:val="0"/>
                <w:color w:val="000000"/>
                <w:sz w:val="18"/>
              </w:rPr>
              <w:t xml:space="preserve">45.93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45.93</w:t>
            </w:r>
          </w:p>
        </w:tc>
        <w:tc>
          <w:tcPr>
            <w:tcW w:w="1780" w:type="dxa"/>
            <w:tcBorders/>
            <w:vAlign w:val="center"/>
          </w:tcPr>
          <w:p>
            <w:pPr>
              <w:jc w:val="right"/>
            </w:pPr>
            <w:r>
              <w:rPr>
                <w:rFonts w:ascii="宋体" w:eastAsia="宋体" w:hAnsi="宋体" w:cs="宋体"/>
                <w:b w:val="0"/>
                <w:i w:val="0"/>
                <w:color w:val="000000"/>
                <w:sz w:val="18"/>
              </w:rPr>
              <w:t xml:space="preserve">45.93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w:t>
            </w:r>
          </w:p>
        </w:tc>
        <w:tc>
          <w:tcPr>
            <w:tcW w:w="4300" w:type="dxa"/>
            <w:tcBorders/>
            <w:vAlign w:val="center"/>
          </w:tcPr>
          <w:p>
            <w:pPr>
              <w:jc w:val="left"/>
            </w:pPr>
            <w:r>
              <w:rPr>
                <w:rFonts w:ascii="宋体" w:eastAsia="宋体" w:hAnsi="宋体" w:cs="宋体"/>
                <w:b w:val="0"/>
                <w:i w:val="0"/>
                <w:color w:val="000000"/>
                <w:sz w:val="18"/>
              </w:rPr>
              <w:t xml:space="preserve">农林水支出</w:t>
            </w:r>
          </w:p>
        </w:tc>
        <w:tc>
          <w:tcPr>
            <w:tcW w:w="1780" w:type="dxa"/>
            <w:tcBorders/>
            <w:vAlign w:val="center"/>
          </w:tcPr>
          <w:p>
            <w:pPr>
              <w:jc w:val="right"/>
            </w:pPr>
            <w:r>
              <w:rPr>
                <w:rFonts w:ascii="宋体" w:eastAsia="宋体" w:hAnsi="宋体" w:cs="宋体"/>
                <w:b w:val="0"/>
                <w:i w:val="0"/>
                <w:color w:val="000000"/>
                <w:sz w:val="18"/>
              </w:rPr>
              <w:t xml:space="preserve">6.00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w:t>
            </w:r>
          </w:p>
        </w:tc>
        <w:tc>
          <w:tcPr>
            <w:tcW w:w="4300" w:type="dxa"/>
            <w:tcBorders/>
            <w:vAlign w:val="center"/>
          </w:tcPr>
          <w:p>
            <w:pPr>
              <w:jc w:val="left"/>
            </w:pPr>
            <w:r>
              <w:rPr>
                <w:rFonts w:ascii="宋体" w:eastAsia="宋体" w:hAnsi="宋体" w:cs="宋体"/>
                <w:b w:val="0"/>
                <w:i w:val="0"/>
                <w:color w:val="000000"/>
                <w:sz w:val="18"/>
              </w:rPr>
              <w:t xml:space="preserve">水利</w:t>
            </w:r>
          </w:p>
        </w:tc>
        <w:tc>
          <w:tcPr>
            <w:tcW w:w="1780" w:type="dxa"/>
            <w:tcBorders/>
            <w:vAlign w:val="center"/>
          </w:tcPr>
          <w:p>
            <w:pPr>
              <w:jc w:val="right"/>
            </w:pPr>
            <w:r>
              <w:rPr>
                <w:rFonts w:ascii="宋体" w:eastAsia="宋体" w:hAnsi="宋体" w:cs="宋体"/>
                <w:b w:val="0"/>
                <w:i w:val="0"/>
                <w:color w:val="000000"/>
                <w:sz w:val="18"/>
              </w:rPr>
              <w:t xml:space="preserve">6.00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2130314</w:t>
            </w:r>
          </w:p>
        </w:tc>
        <w:tc>
          <w:tcPr>
            <w:tcW w:w="4300" w:type="dxa"/>
            <w:tcBorders/>
            <w:vAlign w:val="center"/>
          </w:tcPr>
          <w:p>
            <w:pPr>
              <w:jc w:val="left"/>
            </w:pPr>
            <w:r>
              <w:rPr>
                <w:rFonts w:ascii="宋体" w:eastAsia="宋体" w:hAnsi="宋体" w:cs="宋体"/>
                <w:b w:val="0"/>
                <w:i w:val="0"/>
                <w:color w:val="000000"/>
                <w:sz w:val="18"/>
              </w:rPr>
              <w:t xml:space="preserve">防汛</w:t>
            </w:r>
          </w:p>
        </w:tc>
        <w:tc>
          <w:tcPr>
            <w:tcW w:w="1780" w:type="dxa"/>
            <w:tcBorders/>
            <w:vAlign w:val="center"/>
          </w:tcPr>
          <w:p>
            <w:pPr>
              <w:jc w:val="right"/>
            </w:pPr>
            <w:r>
              <w:rPr>
                <w:rFonts w:ascii="宋体" w:eastAsia="宋体" w:hAnsi="宋体" w:cs="宋体"/>
                <w:b w:val="0"/>
                <w:i w:val="0"/>
                <w:color w:val="000000"/>
                <w:sz w:val="18"/>
              </w:rPr>
              <w:t xml:space="preserve">6.00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119.97</w:t>
            </w:r>
          </w:p>
        </w:tc>
        <w:tc>
          <w:tcPr>
            <w:tcW w:w="1780" w:type="dxa"/>
            <w:tcBorders/>
            <w:vAlign w:val="center"/>
          </w:tcPr>
          <w:p>
            <w:pPr>
              <w:jc w:val="right"/>
            </w:pPr>
            <w:r>
              <w:rPr>
                <w:rFonts w:ascii="宋体" w:eastAsia="宋体" w:hAnsi="宋体" w:cs="宋体"/>
                <w:b w:val="0"/>
                <w:i w:val="0"/>
                <w:color w:val="000000"/>
                <w:sz w:val="18"/>
              </w:rPr>
              <w:t xml:space="preserve">119.97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119.97</w:t>
            </w:r>
          </w:p>
        </w:tc>
        <w:tc>
          <w:tcPr>
            <w:tcW w:w="1780" w:type="dxa"/>
            <w:tcBorders/>
            <w:vAlign w:val="center"/>
          </w:tcPr>
          <w:p>
            <w:pPr>
              <w:jc w:val="right"/>
            </w:pPr>
            <w:r>
              <w:rPr>
                <w:rFonts w:ascii="宋体" w:eastAsia="宋体" w:hAnsi="宋体" w:cs="宋体"/>
                <w:b w:val="0"/>
                <w:i w:val="0"/>
                <w:color w:val="000000"/>
                <w:sz w:val="18"/>
              </w:rPr>
              <w:t xml:space="preserve">119.97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119.97</w:t>
            </w:r>
          </w:p>
        </w:tc>
        <w:tc>
          <w:tcPr>
            <w:tcW w:w="1780" w:type="dxa"/>
            <w:tcBorders/>
            <w:vAlign w:val="center"/>
          </w:tcPr>
          <w:p>
            <w:pPr>
              <w:jc w:val="right"/>
            </w:pPr>
            <w:r>
              <w:rPr>
                <w:rFonts w:ascii="宋体" w:eastAsia="宋体" w:hAnsi="宋体" w:cs="宋体"/>
                <w:b w:val="0"/>
                <w:i w:val="0"/>
                <w:color w:val="000000"/>
                <w:sz w:val="18"/>
              </w:rPr>
              <w:t xml:space="preserve">119.97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w:t>
            </w:r>
          </w:p>
        </w:tc>
        <w:tc>
          <w:tcPr>
            <w:tcW w:w="4300" w:type="dxa"/>
            <w:tcBorders/>
            <w:vAlign w:val="center"/>
          </w:tcPr>
          <w:p>
            <w:pPr>
              <w:jc w:val="left"/>
            </w:pPr>
            <w:r>
              <w:rPr>
                <w:rFonts w:ascii="宋体" w:eastAsia="宋体" w:hAnsi="宋体" w:cs="宋体"/>
                <w:b w:val="0"/>
                <w:i w:val="0"/>
                <w:color w:val="000000"/>
                <w:sz w:val="18"/>
              </w:rPr>
              <w:t xml:space="preserve">灾害防治及应急管理支出</w:t>
            </w:r>
          </w:p>
        </w:tc>
        <w:tc>
          <w:tcPr>
            <w:tcW w:w="1780" w:type="dxa"/>
            <w:tcBorders/>
            <w:vAlign w:val="center"/>
          </w:tcPr>
          <w:p>
            <w:pPr>
              <w:jc w:val="right"/>
            </w:pPr>
            <w:r>
              <w:rPr>
                <w:rFonts w:ascii="宋体" w:eastAsia="宋体" w:hAnsi="宋体" w:cs="宋体"/>
                <w:b w:val="0"/>
                <w:i w:val="0"/>
                <w:color w:val="000000"/>
                <w:sz w:val="18"/>
              </w:rPr>
              <w:t xml:space="preserve">1,606.88</w:t>
            </w:r>
          </w:p>
        </w:tc>
        <w:tc>
          <w:tcPr>
            <w:tcW w:w="1780" w:type="dxa"/>
            <w:tcBorders/>
            <w:vAlign w:val="center"/>
          </w:tcPr>
          <w:p>
            <w:pPr>
              <w:jc w:val="right"/>
            </w:pPr>
            <w:r>
              <w:rPr>
                <w:rFonts w:ascii="宋体" w:eastAsia="宋体" w:hAnsi="宋体" w:cs="宋体"/>
                <w:b w:val="0"/>
                <w:i w:val="0"/>
                <w:color w:val="000000"/>
                <w:sz w:val="18"/>
              </w:rPr>
              <w:t xml:space="preserve">877.24</w:t>
            </w:r>
          </w:p>
        </w:tc>
        <w:tc>
          <w:tcPr>
            <w:tcW w:w="1772" w:type="dxa"/>
            <w:tcBorders/>
            <w:vAlign w:val="center"/>
          </w:tcPr>
          <w:p>
            <w:pPr>
              <w:jc w:val="right"/>
            </w:pPr>
            <w:r>
              <w:rPr>
                <w:rFonts w:ascii="宋体" w:eastAsia="宋体" w:hAnsi="宋体" w:cs="宋体"/>
                <w:b w:val="0"/>
                <w:i w:val="0"/>
                <w:color w:val="000000"/>
                <w:sz w:val="18"/>
              </w:rPr>
              <w:t xml:space="preserve">729.64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22401</w:t>
            </w:r>
          </w:p>
        </w:tc>
        <w:tc>
          <w:tcPr>
            <w:tcW w:w="4300" w:type="dxa"/>
            <w:tcBorders/>
            <w:vAlign w:val="center"/>
          </w:tcPr>
          <w:p>
            <w:pPr>
              <w:jc w:val="left"/>
            </w:pPr>
            <w:r>
              <w:rPr>
                <w:rFonts w:ascii="宋体" w:eastAsia="宋体" w:hAnsi="宋体" w:cs="宋体"/>
                <w:b w:val="0"/>
                <w:i w:val="0"/>
                <w:color w:val="000000"/>
                <w:sz w:val="18"/>
              </w:rPr>
              <w:t xml:space="preserve">应急管理事务</w:t>
            </w:r>
          </w:p>
        </w:tc>
        <w:tc>
          <w:tcPr>
            <w:tcW w:w="1780" w:type="dxa"/>
            <w:tcBorders/>
            <w:vAlign w:val="center"/>
          </w:tcPr>
          <w:p>
            <w:pPr>
              <w:jc w:val="right"/>
            </w:pPr>
            <w:r>
              <w:rPr>
                <w:rFonts w:ascii="宋体" w:eastAsia="宋体" w:hAnsi="宋体" w:cs="宋体"/>
                <w:b w:val="0"/>
                <w:i w:val="0"/>
                <w:color w:val="000000"/>
                <w:sz w:val="18"/>
              </w:rPr>
              <w:t xml:space="preserve">1,599.54</w:t>
            </w:r>
          </w:p>
        </w:tc>
        <w:tc>
          <w:tcPr>
            <w:tcW w:w="1780" w:type="dxa"/>
            <w:tcBorders/>
            <w:vAlign w:val="center"/>
          </w:tcPr>
          <w:p>
            <w:pPr>
              <w:jc w:val="right"/>
            </w:pPr>
            <w:r>
              <w:rPr>
                <w:rFonts w:ascii="宋体" w:eastAsia="宋体" w:hAnsi="宋体" w:cs="宋体"/>
                <w:b w:val="0"/>
                <w:i w:val="0"/>
                <w:color w:val="000000"/>
                <w:sz w:val="18"/>
              </w:rPr>
              <w:t xml:space="preserve">877.24</w:t>
            </w:r>
          </w:p>
        </w:tc>
        <w:tc>
          <w:tcPr>
            <w:tcW w:w="1772" w:type="dxa"/>
            <w:tcBorders/>
            <w:vAlign w:val="center"/>
          </w:tcPr>
          <w:p>
            <w:pPr>
              <w:jc w:val="right"/>
            </w:pPr>
            <w:r>
              <w:rPr>
                <w:rFonts w:ascii="宋体" w:eastAsia="宋体" w:hAnsi="宋体" w:cs="宋体"/>
                <w:b w:val="0"/>
                <w:i w:val="0"/>
                <w:color w:val="000000"/>
                <w:sz w:val="18"/>
              </w:rPr>
              <w:t xml:space="preserve">722.30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877.24</w:t>
            </w:r>
          </w:p>
        </w:tc>
        <w:tc>
          <w:tcPr>
            <w:tcW w:w="1780" w:type="dxa"/>
            <w:tcBorders/>
            <w:vAlign w:val="center"/>
          </w:tcPr>
          <w:p>
            <w:pPr>
              <w:jc w:val="right"/>
            </w:pPr>
            <w:r>
              <w:rPr>
                <w:rFonts w:ascii="宋体" w:eastAsia="宋体" w:hAnsi="宋体" w:cs="宋体"/>
                <w:b w:val="0"/>
                <w:i w:val="0"/>
                <w:color w:val="000000"/>
                <w:sz w:val="18"/>
              </w:rPr>
              <w:t xml:space="preserve">877.24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450.91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450.91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2240104</w:t>
            </w:r>
          </w:p>
        </w:tc>
        <w:tc>
          <w:tcPr>
            <w:tcW w:w="4300" w:type="dxa"/>
            <w:tcBorders/>
            <w:vAlign w:val="center"/>
          </w:tcPr>
          <w:p>
            <w:pPr>
              <w:jc w:val="left"/>
            </w:pPr>
            <w:r>
              <w:rPr>
                <w:rFonts w:ascii="宋体" w:eastAsia="宋体" w:hAnsi="宋体" w:cs="宋体"/>
                <w:b w:val="0"/>
                <w:i w:val="0"/>
                <w:color w:val="000000"/>
                <w:sz w:val="18"/>
              </w:rPr>
              <w:t xml:space="preserve">灾害风险防治</w:t>
            </w:r>
          </w:p>
        </w:tc>
        <w:tc>
          <w:tcPr>
            <w:tcW w:w="1780" w:type="dxa"/>
            <w:tcBorders/>
            <w:vAlign w:val="center"/>
          </w:tcPr>
          <w:p>
            <w:pPr>
              <w:jc w:val="right"/>
            </w:pPr>
            <w:r>
              <w:rPr>
                <w:rFonts w:ascii="宋体" w:eastAsia="宋体" w:hAnsi="宋体" w:cs="宋体"/>
                <w:b w:val="0"/>
                <w:i w:val="0"/>
                <w:color w:val="000000"/>
                <w:sz w:val="18"/>
              </w:rPr>
              <w:t xml:space="preserve">30.54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30.54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2240106</w:t>
            </w:r>
          </w:p>
        </w:tc>
        <w:tc>
          <w:tcPr>
            <w:tcW w:w="4300" w:type="dxa"/>
            <w:tcBorders/>
            <w:vAlign w:val="center"/>
          </w:tcPr>
          <w:p>
            <w:pPr>
              <w:jc w:val="left"/>
            </w:pPr>
            <w:r>
              <w:rPr>
                <w:rFonts w:ascii="宋体" w:eastAsia="宋体" w:hAnsi="宋体" w:cs="宋体"/>
                <w:b w:val="0"/>
                <w:i w:val="0"/>
                <w:color w:val="000000"/>
                <w:sz w:val="18"/>
              </w:rPr>
              <w:t xml:space="preserve">安全监管</w:t>
            </w:r>
          </w:p>
        </w:tc>
        <w:tc>
          <w:tcPr>
            <w:tcW w:w="1780" w:type="dxa"/>
            <w:tcBorders/>
            <w:vAlign w:val="center"/>
          </w:tcPr>
          <w:p>
            <w:pPr>
              <w:jc w:val="right"/>
            </w:pPr>
            <w:r>
              <w:rPr>
                <w:rFonts w:ascii="宋体" w:eastAsia="宋体" w:hAnsi="宋体" w:cs="宋体"/>
                <w:b w:val="0"/>
                <w:i w:val="0"/>
                <w:color w:val="000000"/>
                <w:sz w:val="18"/>
              </w:rPr>
              <w:t xml:space="preserve">96.27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96.27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2240109</w:t>
            </w:r>
          </w:p>
        </w:tc>
        <w:tc>
          <w:tcPr>
            <w:tcW w:w="4300" w:type="dxa"/>
            <w:tcBorders/>
            <w:vAlign w:val="center"/>
          </w:tcPr>
          <w:p>
            <w:pPr>
              <w:jc w:val="left"/>
            </w:pPr>
            <w:r>
              <w:rPr>
                <w:rFonts w:ascii="宋体" w:eastAsia="宋体" w:hAnsi="宋体" w:cs="宋体"/>
                <w:b w:val="0"/>
                <w:i w:val="0"/>
                <w:color w:val="000000"/>
                <w:sz w:val="18"/>
              </w:rPr>
              <w:t xml:space="preserve">应急管理</w:t>
            </w:r>
          </w:p>
        </w:tc>
        <w:tc>
          <w:tcPr>
            <w:tcW w:w="1780" w:type="dxa"/>
            <w:tcBorders/>
            <w:vAlign w:val="center"/>
          </w:tcPr>
          <w:p>
            <w:pPr>
              <w:jc w:val="right"/>
            </w:pPr>
            <w:r>
              <w:rPr>
                <w:rFonts w:ascii="宋体" w:eastAsia="宋体" w:hAnsi="宋体" w:cs="宋体"/>
                <w:b w:val="0"/>
                <w:i w:val="0"/>
                <w:color w:val="000000"/>
                <w:sz w:val="18"/>
              </w:rPr>
              <w:t xml:space="preserve">91.18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91.18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2240199</w:t>
            </w:r>
          </w:p>
        </w:tc>
        <w:tc>
          <w:tcPr>
            <w:tcW w:w="4300" w:type="dxa"/>
            <w:tcBorders/>
            <w:vAlign w:val="center"/>
          </w:tcPr>
          <w:p>
            <w:pPr>
              <w:jc w:val="left"/>
            </w:pPr>
            <w:r>
              <w:rPr>
                <w:rFonts w:ascii="宋体" w:eastAsia="宋体" w:hAnsi="宋体" w:cs="宋体"/>
                <w:b w:val="0"/>
                <w:i w:val="0"/>
                <w:color w:val="000000"/>
                <w:sz w:val="18"/>
              </w:rPr>
              <w:t xml:space="preserve">其他应急管理支出</w:t>
            </w:r>
          </w:p>
        </w:tc>
        <w:tc>
          <w:tcPr>
            <w:tcW w:w="1780" w:type="dxa"/>
            <w:tcBorders/>
            <w:vAlign w:val="center"/>
          </w:tcPr>
          <w:p>
            <w:pPr>
              <w:jc w:val="right"/>
            </w:pPr>
            <w:r>
              <w:rPr>
                <w:rFonts w:ascii="宋体" w:eastAsia="宋体" w:hAnsi="宋体" w:cs="宋体"/>
                <w:b w:val="0"/>
                <w:i w:val="0"/>
                <w:color w:val="000000"/>
                <w:sz w:val="18"/>
              </w:rPr>
              <w:t xml:space="preserve">53.40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53.40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22402</w:t>
            </w:r>
          </w:p>
        </w:tc>
        <w:tc>
          <w:tcPr>
            <w:tcW w:w="4300" w:type="dxa"/>
            <w:tcBorders/>
            <w:vAlign w:val="center"/>
          </w:tcPr>
          <w:p>
            <w:pPr>
              <w:jc w:val="left"/>
            </w:pPr>
            <w:r>
              <w:rPr>
                <w:rFonts w:ascii="宋体" w:eastAsia="宋体" w:hAnsi="宋体" w:cs="宋体"/>
                <w:b w:val="0"/>
                <w:i w:val="0"/>
                <w:color w:val="000000"/>
                <w:sz w:val="18"/>
              </w:rPr>
              <w:t xml:space="preserve">消防救援事务</w:t>
            </w:r>
          </w:p>
        </w:tc>
        <w:tc>
          <w:tcPr>
            <w:tcW w:w="1780" w:type="dxa"/>
            <w:tcBorders/>
            <w:vAlign w:val="center"/>
          </w:tcPr>
          <w:p>
            <w:pPr>
              <w:jc w:val="right"/>
            </w:pPr>
            <w:r>
              <w:rPr>
                <w:rFonts w:ascii="宋体" w:eastAsia="宋体" w:hAnsi="宋体" w:cs="宋体"/>
                <w:b w:val="0"/>
                <w:i w:val="0"/>
                <w:color w:val="000000"/>
                <w:sz w:val="18"/>
              </w:rPr>
              <w:t xml:space="preserve">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2240204</w:t>
            </w:r>
          </w:p>
        </w:tc>
        <w:tc>
          <w:tcPr>
            <w:tcW w:w="4300" w:type="dxa"/>
            <w:tcBorders/>
            <w:vAlign w:val="center"/>
          </w:tcPr>
          <w:p>
            <w:pPr>
              <w:jc w:val="left"/>
            </w:pPr>
            <w:r>
              <w:rPr>
                <w:rFonts w:ascii="宋体" w:eastAsia="宋体" w:hAnsi="宋体" w:cs="宋体"/>
                <w:b w:val="0"/>
                <w:i w:val="0"/>
                <w:color w:val="000000"/>
                <w:sz w:val="18"/>
              </w:rPr>
              <w:t xml:space="preserve">消防应急救援</w:t>
            </w:r>
          </w:p>
        </w:tc>
        <w:tc>
          <w:tcPr>
            <w:tcW w:w="1780" w:type="dxa"/>
            <w:tcBorders/>
            <w:vAlign w:val="center"/>
          </w:tcPr>
          <w:p>
            <w:pPr>
              <w:jc w:val="right"/>
            </w:pPr>
            <w:r>
              <w:rPr>
                <w:rFonts w:ascii="宋体" w:eastAsia="宋体" w:hAnsi="宋体" w:cs="宋体"/>
                <w:b w:val="0"/>
                <w:i w:val="0"/>
                <w:color w:val="000000"/>
                <w:sz w:val="18"/>
              </w:rPr>
              <w:t xml:space="preserve">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22407</w:t>
            </w:r>
          </w:p>
        </w:tc>
        <w:tc>
          <w:tcPr>
            <w:tcW w:w="4300" w:type="dxa"/>
            <w:tcBorders/>
            <w:vAlign w:val="center"/>
          </w:tcPr>
          <w:p>
            <w:pPr>
              <w:jc w:val="left"/>
            </w:pPr>
            <w:r>
              <w:rPr>
                <w:rFonts w:ascii="宋体" w:eastAsia="宋体" w:hAnsi="宋体" w:cs="宋体"/>
                <w:b w:val="0"/>
                <w:i w:val="0"/>
                <w:color w:val="000000"/>
                <w:sz w:val="18"/>
              </w:rPr>
              <w:t xml:space="preserve">自然灾害救灾及恢复重建支出</w:t>
            </w:r>
          </w:p>
        </w:tc>
        <w:tc>
          <w:tcPr>
            <w:tcW w:w="1780" w:type="dxa"/>
            <w:tcBorders/>
            <w:vAlign w:val="center"/>
          </w:tcPr>
          <w:p>
            <w:pPr>
              <w:jc w:val="right"/>
            </w:pPr>
            <w:r>
              <w:rPr>
                <w:rFonts w:ascii="宋体" w:eastAsia="宋体" w:hAnsi="宋体" w:cs="宋体"/>
                <w:b w:val="0"/>
                <w:i w:val="0"/>
                <w:color w:val="000000"/>
                <w:sz w:val="18"/>
              </w:rPr>
              <w:t xml:space="preserve">2.34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2.34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2240703</w:t>
            </w:r>
          </w:p>
        </w:tc>
        <w:tc>
          <w:tcPr>
            <w:tcW w:w="4300" w:type="dxa"/>
            <w:tcBorders/>
            <w:vAlign w:val="center"/>
          </w:tcPr>
          <w:p>
            <w:pPr>
              <w:jc w:val="left"/>
            </w:pPr>
            <w:r>
              <w:rPr>
                <w:rFonts w:ascii="宋体" w:eastAsia="宋体" w:hAnsi="宋体" w:cs="宋体"/>
                <w:b w:val="0"/>
                <w:i w:val="0"/>
                <w:color w:val="000000"/>
                <w:sz w:val="18"/>
              </w:rPr>
              <w:t xml:space="preserve">自然灾害救灾补助</w:t>
            </w:r>
          </w:p>
        </w:tc>
        <w:tc>
          <w:tcPr>
            <w:tcW w:w="1780" w:type="dxa"/>
            <w:tcBorders/>
            <w:vAlign w:val="center"/>
          </w:tcPr>
          <w:p>
            <w:pPr>
              <w:jc w:val="right"/>
            </w:pPr>
            <w:r>
              <w:rPr>
                <w:rFonts w:ascii="宋体" w:eastAsia="宋体" w:hAnsi="宋体" w:cs="宋体"/>
                <w:b w:val="0"/>
                <w:i w:val="0"/>
                <w:color w:val="000000"/>
                <w:sz w:val="18"/>
              </w:rPr>
              <w:t xml:space="preserve">2.34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2.34</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部门：辽宁省沈阳市浑南区应急管理局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1,116.47</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72.77</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314.55</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12.09</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70.85</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253.22</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23.82</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139.18</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113.78</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32.33</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38.03</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45.93</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2.84</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0.57</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119.97</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7.17</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5.93</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1.24</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5.99</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16.09</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1,123.64</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72.77</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部门：辽宁省沈阳市浑南区应急管理局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部门：辽宁省沈阳市浑南区应急管理局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124.60</w:t>
            </w:r>
          </w:p>
        </w:tc>
        <w:tc>
          <w:tcPr>
            <w:tcW w:w="1040" w:type="dxa"/>
            <w:tcBorders/>
            <w:vAlign w:val="center"/>
          </w:tcPr>
          <w:p>
            <w:pPr>
              <w:jc w:val="right"/>
            </w:pPr>
            <w:r>
              <w:rPr>
                <w:rFonts w:ascii="宋体" w:eastAsia="宋体" w:hAnsi="宋体" w:cs="宋体"/>
                <w:b/>
                <w:i w:val="0"/>
                <w:color w:val="000000"/>
                <w:sz w:val="15"/>
              </w:rPr>
              <w:t xml:space="preserve">124.60</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124.60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124.60</w:t>
            </w:r>
          </w:p>
        </w:tc>
        <w:tc>
          <w:tcPr>
            <w:tcW w:w="1040" w:type="dxa"/>
            <w:tcBorders/>
            <w:vAlign w:val="center"/>
          </w:tcPr>
          <w:p>
            <w:pPr>
              <w:jc w:val="right"/>
            </w:pPr>
            <w:r>
              <w:rPr>
                <w:rFonts w:ascii="宋体" w:eastAsia="宋体" w:hAnsi="宋体" w:cs="宋体"/>
                <w:b w:val="0"/>
                <w:i w:val="0"/>
                <w:color w:val="000000"/>
                <w:sz w:val="15"/>
              </w:rPr>
              <w:t xml:space="preserve">124.60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124.60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124.60</w:t>
            </w:r>
          </w:p>
        </w:tc>
        <w:tc>
          <w:tcPr>
            <w:tcW w:w="1040" w:type="dxa"/>
            <w:tcBorders/>
            <w:vAlign w:val="center"/>
          </w:tcPr>
          <w:p>
            <w:pPr>
              <w:jc w:val="right"/>
            </w:pPr>
            <w:r>
              <w:rPr>
                <w:rFonts w:ascii="宋体" w:eastAsia="宋体" w:hAnsi="宋体" w:cs="宋体"/>
                <w:b w:val="0"/>
                <w:i w:val="0"/>
                <w:color w:val="000000"/>
                <w:sz w:val="15"/>
              </w:rPr>
              <w:t xml:space="preserve">124.60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124.60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2120899</w:t>
            </w:r>
          </w:p>
        </w:tc>
        <w:tc>
          <w:tcPr>
            <w:tcW w:w="3540" w:type="dxa"/>
            <w:tcBorders/>
            <w:vAlign w:val="center"/>
          </w:tcPr>
          <w:p>
            <w:pPr>
              <w:jc w:val="left"/>
            </w:pPr>
            <w:r>
              <w:rPr>
                <w:rFonts w:ascii="宋体" w:eastAsia="宋体" w:hAnsi="宋体" w:cs="宋体"/>
                <w:b w:val="0"/>
                <w:i w:val="0"/>
                <w:color w:val="000000"/>
                <w:sz w:val="15"/>
              </w:rPr>
              <w:t xml:space="preserve">其他国有土地使用权出让收入安排的支出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124.60</w:t>
            </w:r>
          </w:p>
        </w:tc>
        <w:tc>
          <w:tcPr>
            <w:tcW w:w="1040" w:type="dxa"/>
            <w:tcBorders/>
            <w:vAlign w:val="center"/>
          </w:tcPr>
          <w:p>
            <w:pPr>
              <w:jc w:val="right"/>
            </w:pPr>
            <w:r>
              <w:rPr>
                <w:rFonts w:ascii="宋体" w:eastAsia="宋体" w:hAnsi="宋体" w:cs="宋体"/>
                <w:b w:val="0"/>
                <w:i w:val="0"/>
                <w:color w:val="000000"/>
                <w:sz w:val="15"/>
              </w:rPr>
              <w:t xml:space="preserve">124.60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124.60</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部门：辽宁省沈阳市浑南区应急管理局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042001沈阳市浑南区应急管理局本级-210112000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1368.3</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1368.3</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36.19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36.19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20.83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20.82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271.53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271.52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867.86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867.86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高质量完成本年度预算  减少经费结余</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已按照预算项目向财政申请资金，基本完成预算目标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安全生产培训达标率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受训学员满意度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执法办案行为投诉率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人才培养机制健全性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多部门协同联动</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快速及时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安全文化基地付款（第六次）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教育体验馆作为公众打造一个学习生命安全科普知识、提高安全意识的集中阵地，应当利用科技化、信息化、数字化、虚拟化等高科技手段，通过主题式、沉浸式、互动式、体验式等全新安全教育模式，开展全方位、全覆盖、高效率的生命安全教育。“一个”中心、“两种”方式一个中心即建设全市/区统一的数字城市安全运营中心，应用凡拓智联孪生平台，整合行业应用安全数据资源，实现城市运行态势感知、监测预警、决策分析及重大事件的全景式指挥，为城市运营、管理决策提供数据支撑，提升城市应急处置能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已完成安全教育基地建设，实现应急安全科普功能，提升群众应急科普能力。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铁路监护道口安全生产宣传次数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评审工贸行业安全生产标准化一级企业数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安全生产标准化一级企业抽查合格率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安全生产工作培训常态化，保证安全生产意识深入人心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安全生产工作人员满意度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办公区域设施改造（一）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业务开展需要，我局需对部分办公设施进行维修维护，主要是办案询问室和备勤室等办公设施的维修改善。同时为做好沈阳市应急系统信息化建设现场会承办工作，使现场会各项应急设施达到应急系统标准化要求，响应省应急厅对我局信息化建设配备硬件设施的整体要求，我局将询问室和备勤室在维修基础上进行改造升级，打造应急系统标准化办案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按照既定目标要求，已完成备勤室及办公设施改造工作。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维修办公用房数量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改造办公用房数量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办公用房等基础设施维修改造工程验收合格率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办公文件与信息无纸化程度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打造良好的办公环境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办公楼内电梯设备安全持续使用时间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应急局维稳经费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次为处理肖庆财信访案件，在区信访局的协调下，决定给予肖庆财困难救助金14800元，资金来源从我局信访维稳资金中支出。按照《浑南区信访维稳资金使用相关规定》额度在50万元以下的，可以由各委办局召开信访工作联席会议讨论通过，报区财政局予以拨付。该事项已通过我局信访联席会议及我局党委会议讨论通过，同意使用我局信访维稳资金，支付肖庆财困难救助金14800元整。</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已按约定时效发放信访人员维稳资金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环境信访工作人员人数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满足省政府确定的标准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信访事件处理及时率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环境信访工作的保障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信访转诉案件结案率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项目区村民满意度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2018年森林消防营房维修首笔款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2018年森林消防营房维修项目及2018年森林消防营房修缮项目，上述项目由浑南区林业局于2018年经政府采购招标并组织施工，因2019年浑南区机构改革，债权债务划转至浑南区应急管理局，故2021年由浑南区应急管理局上报工程结算审核委托书进行工程审核定案。</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应急局代管期间林业工程项目，开展棋盘山营房修缮。</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维修办公用房数量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办公用房等基础设施维修改造建筑面积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维修改造项目质量达标率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办公用房等基础设施维修改造工程验收合格率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日常维修成本节约率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维修改造项目投入使用率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当地群众满意度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2022年储备中心疫情期间服装更换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疫情期间，为规范管理需求统一着装，树立浑南区应急物资储备中心形象。现申请购买工作用服装，用于对破旧工装的更换。其中包括：冬季作训服、春秋作训服、夏季作训服、体能训练服（夏季）、体能训练服（春秋）、体能训练服（单件）、作训鞋各30件（双），毛领长款棉服、棉夹克各15件。所需资金共计45150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疫情期间物资储备库搬运物资 服装磨损较为严重，申请购买服装，保障正常工作开展。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执法服装（冬）数量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执法服装（春秋）数量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执法制式服装配备率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执法服装使用率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对投保装备推广应用的拉动作用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促进青少年发展问题研究深入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2022年专家深度检查费用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市应急管理局的部署和要求，我局开展对所有可能有安全隐患的生产经营使用企业，街道和公共设施进行深度检查指导服务工作，遏制较大及以上和重大社会影响的生产安全事故发生，确保我区企业生产安全及公共安全，我局会同辽宁安科安全评价有限公司和辽宁东安安全技术咨询服务有限公司的专家对上述企业、街道和公共设施进行安全条件确认。</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聘请三方专家辅助开展安全检查工作，督促企业整改，打造安全生产环境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支持岗位专家人数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聘用专家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专家评审准确率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组织第三方专家对抽查工作结果复核合格率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33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建立并完善健康科普专家库和资源库，构建健康科普知识发布和传播机制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参与专家的满意度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2023年度数字化建设项目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86.04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一企一档”（内业预警、安全综合评分、企业画像）系统建设是根据浑南区目前重点企业缺乏动态安全信息监管及落实企业安全生产主体责任制度所量身打造的动态监管模块。“互联网+执法”版块升级内容为对执法流程信息及执法文书进行固化。生产安全事故执法系统在辽宁省属于首创，事故处理全过程转由线上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按上级部门要求，搭建一企一档数字化平台，实现企业安全线上监管，提升应急管理治理效能。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制造业数字化转型对接交流会次数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建设数字化升级改造示范专业数量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古籍数字化达标率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数字化加工准确率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防范和减少安全生产事故的发生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储备库安全生产责任事故发生率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2023年专家检查重大隐患费用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按照《工贸企业重大事故隐患判定标准》（中华人民共和国应急管理部令 第10号）的执行标准，并依照《沈阳市应急管理局关于印发全市工贸行业重大事故隐患专项排查整治2023行动方案的通知》（沈应急发〔2023〕27号）通知和阶段节点要求进行专项安全生产检查。为满足重大隐患专项检查的需要沈阳市浑南区应急管理局面向社会第三方安全技术服务机构采购行业专家专项检查重大隐患服务，经过三家询价后与中安力盾（辽宁）咨询有限公司达成合作，专家服务费用共280，000元（贰拾捌万元整）。</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聘请三方专家 对工矿商贸企业走访，辅助发现安全隐患，督促企业及时整改。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商贸企业隐患排查率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地质灾害隐患点避险移民搬迁户数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隐患整改率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安全隐患排查率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特大和重大生产安全事故隐患排查及时率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特大和重大生产安全事故隐患排查及时率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消除闭坑矿山的滑坡隐患</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排查化学品隐患，保障人民生产设施安全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自然资源管理部门满意度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2024年12350举报奖励</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事故隐患举报奖励标准分为五个等次：①轻微事故隐患举报奖励标准为500元（含）以下；②一般事故隐患举报奖励标准为500元至3000元；③较大事故隐患举报奖励标准为3000元至1万元；④重大事故隐患举报奖励标准为1万元至2万元；⑤特别重大事故隐患举报奖励标准为2万元至3万元。由于举报等次的数量不确定，预估每年需要费用为2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为鼓励广大群众参与安全生产建设工作，特设举报奖励，提升社会群众参与度，构建安全和谐的社会环境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处理12350安全生产举报投诉案件数量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处理12350安全生产举报投诉案件数量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投诉举报办结率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投诉举报问题处置率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防范和减少安全生产事故的发生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提升专业人员安全生产知识储备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2024年安全生产宣传经费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市考项目：《2022年度安全生产考核评分标准任务分解表》第六大项：推进宣传教育和社会化治理。第36小项第47款                                               安全生产月宣传活动经费、应急安全宣传“五进”活动经费、安全生产大宣传行动经费等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按照应急部门工作部署，每年6月为安全生产活动月，开展一系列宣传活动加强群众应急安全知识科普</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制定安全生产标准化评定标准或评分办法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评审工贸行业安全生产标准化一级企业数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安全生产标准化评定标准或评分办法制定数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安全生产调研达标率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安全生产标准化一级企业抽查合格率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经费下达及时率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31.44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2024年安全协管员市级补助资金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59.48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负责安全生产协管员具体协管范围、标准的确定，每天听取安全生产协管员关于协管工作的报告。负责建立安全生产协管员个人档案，如实记录安全生产协管员出勤、工作、请假和培训等情况，遵纪守法、遵守机关工作纪律以及本单位制度规定等情况，出现不能胜任专职安全生产监督检查协管员岗位等情况应及时报告区应急管理局，提出处理建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为加强安全生产监管工作，特招聘安全协管员辅助做好应急监管。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组织完成安全生产月活动次数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制修订安全生产标准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安全生产调研达标率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防范和减少安全生产事故的发生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提高安全生产人员专业素质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安全生产工作人员满意度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2024年残疾人就业保障金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97.71%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总体方案针对残疾人就业的难点、堵点，提出了全面摸排残疾人就业需求信息、做好残疾人人力资源开发、推动用人单位设置残疾人就业岗位、支持就业服务平台发展、推动信息互通资源共享、完善残疾人就业服务保障机制、建立残疾人就业信息跟踪反馈机制等七项具体措施，推动构建涵盖“人力开发—就业指导—供需对接—就业维护”全链条的残疾人就业服务体系。</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按残联工作要求，已在规定时间内申报残疾人就业保障金。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省内残疾人体验服务次数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补助贫困残疾人家庭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改善残疾人和残疾儿童生活状况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丰富残疾人文体生活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7岁以下贫困残疾儿童生活补助救助补贴发放及时率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对残疾人个体创业给予资金补助标准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促进残疾人就业增收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贫困残疾人生活质量得到改善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促进残疾人技能提升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2024年防汛演练省级资金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以此次实战演练为契机，以加强应急管理体系和能力建设为抓手，把防汛工作做实、做深、做细，深入开展汛前督导检查、隐患排查整改和应急演练工作，重点落实安全责任制、方案预案修订等工作。同时及时开展防灾减灾的宣传教育培训，做好短时和持续强降雨预警、监测和预报，从防汛值班值守、隐患排查、人员物资准备等方面全力做好防汛备汛工作，坚决打赢防汛救灾主动仗。</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已按时保质保量完成应急演练工作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防汛信息化保障范围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防汛抢险队伍演练参与率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防汛抗旱物资入库率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应急监测演练及应急处置的</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应急演练覆盖范围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2024年防汛运输及砂石物料和防汛补助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预防及应急专项资金（以下简称专项资金）是指中央财政通过一般公共预算和国有资本经营预算安排，专门用于支持全国性的安全生产预防工作和国家级安全生产应急能力建设等方面的资金。专项资金旨在引导加大安全生产预防和应急投入，加快排除安全隐患，解决历史遗留问题，强化安全生产基础能力建设，形成安全生产保障长效机制，促使安全生产形势稳定向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本年度已按照工作部署加强应急管理方面资金投入，排除安全隐患，加强安全基础能力建设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铁路专用线操作人员培训合格率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铁路专用线操作人员培训合格率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道口维护工作质量合格率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道口监护成本控制率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道口监护员满意度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2024年海洋王照明尾款支付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市、区领导前期防疫期间对我区防疫卡点检查时多次明确指出照明设备配备单薄，需要加强基础设施的要求，经我局党委会研究决定，购买5台大型照明灯组及80个多功能工作灯，总价为24.89万元。用于提升一线防疫能力，随时应对疫情突然爆发的可能，同时也可以配备到今年防汛一线使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已支付完毕照明设备尾款。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编制地质灾害防治方案数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编制地质灾害防治方案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份</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地质灾害防治工作完成率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基层人才培训合格率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群众山洪灾害防治意识普及率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提高地质灾害防治管理水平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参与地质灾害防治相关政府部门满意度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2024年重点行业安全生产测评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专家团队组成第三方测评小组，每月通过明查暗访、督导抽查以及“回头看”等方式对重点行业领域和街道管辖企事业单位/场所安全生产工作落实情况开展安全生产专项测评工作，结合全区阶段性安全生产重点工作，运用数据分析，找出工作短板及薄弱项，提出合理化建议，形成安全生产测评报告。每月开展一次测评，共计12次，每次测评2.4万元，共计28.8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已按工作要求组织专家开启并完成对企业测评工作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重大灾害及安全生产事故风险监测试点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安全生产标准化评定标准或评分办法制定数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评审工贸行业安全生产标准化一级企业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安全生产标准化一级企业抽查合格率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安全生产调研达标率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经费下达及时率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2024年执法服装经费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1、中共沈阳市办公室 沈阳市人民政府办公室关于印发《沈阳市深化应急管理综合行政执法改革实施方案》的通知（沈委办发〖2022〗20号）                                                                                               2、辽宁省司法厅 辽宁省财政厅关于印发《辽宁省综合行政执法制式服装和标志管理实施办法（试行）》的通知（辽司【2021】81号）         3、沈阳市应急管理局关于印发《沈阳市应急管理系统综合行政执法制式服装和标志首次配发实施方案》的通知（沈应急发【2022】20号）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已按预算要求，对应急局新增人员配发执法服装，并完成资金支付。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评审非煤矿山安全生产标准化一级企业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组织完成安全生产月活动次数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制修订安全生产标准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安全生产标准化一级企业抽查合格率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安全生产调研达标率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经费下达及时率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2024年应急预案培训及应急演练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市考项目：《2022年度安全生产考核评分标准任务分解表》第六大项：强化基础保障建设。第32小项第42款                                                         我区应急预案为2020年签发，至今已有3年，2023年需对我区综合应急预案和专项应急预案进行修订。</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已按规定要求完成预案演练工作。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制修订安全生产标准编制数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评审工贸行业安全生产标准化一级企业数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安全生产标准化评定标准或评分办法制定数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安全生产标准化一级企业抽查合格率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安全生产调研达标率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经费下达及时率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31.2844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2024年应急局社区电子显示屏维护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街道社区电子信息显示屏升级维护工作：通过升级维护街道社区电子信息显示屏，实现防灾减灾、便民利民等信息的持续统一发布，为防灾减灾知识“进社区”提供有效信息载体，解决各类信息发布落地的实际问题，增强服务民生能力，充分发挥政府提供基本公共服务的功能。全区共83个街道社区电子信息显示屏，无线终端服务费83个×240元/年=19920元/年，社区信息发布终端控制系统维护费73个×300元=21900元/年，社区原有显示屏维护费10个×500元=5000元/年，合计46820元/年</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结合工作实际情况，已定期对社区电子屏使用情况进行排查检修工作。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设备维修维护次数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维护工作量完成率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新建、维护视频监控系统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设备设施维护验收合格率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监管专用软件维护更新频率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设施维护验收合格率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设施维护保养及时率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设备维护成本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2024年应急局派遣制体检费和意外险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买意外险的意义就在于，一是能够给买者充足的保障，二是能换得买者的一份安心。要知道，身为普通百姓的我们，根本就不能够预测到，哪一天我们将 会发生什么样的意外，这是谁都不愿意碰上的，但也是无法避免的，但拥有一份意外保险，会大大增加应对能力，提高对风险的抵抗力。花钱买放心，遇到风险就可 化为保障。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为了加强职工保障，以应对应急行业特殊性质，为职工购买意外险。</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经费下达及时率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2024年应急局派遣制费用（安全协管员）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329.34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84.15%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加强我区非在编人员规范管理，针对近期管理中出现的问题，现作出工作要求如下，以下要求适用于区人社局统一管理的雇员及派遣制人员各单位应按要求及时提报各种材料，如考勤表、转正说明、人员变动表等，所有材料应使用人社局制定的统一表格样式，按要求履行签字盖章手续，否则不予收取。请各单位注意留存最新表格样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已定期申请安全协管员人员经费，做好人员资金保障工作，更好开展辅助应急管理工作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培训人均费用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群众医疗费用支出合理性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98.41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2024年应急局派遣人员误餐补助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15.77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促进大浑南建设，提高政府工作效能，吸纳优秀人才，建立更加灵活有效的用人机制，根据《中华人民共和国劳动合同法》等有关法规，结合我区派遣人员管理实际情况，特修订我区派遣人员管理办法。政府派遣人员由受政府委托的人才服务机构（以下简称派遣机构），从社会上公开招聘和雇用，并派遣到相关部门或岗位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根据应急局实际情况，应急指挥中心需24小时值守，为保障固定值班人员及带班领导及工作人员休息日、节假日就餐问题，特此申请值班就餐经费保障职工就餐，做好应急值守工作。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2024年应急局派遣人员经费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93.64%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促进大浑南建设，提高政府工作效能，吸纳优秀人才，建立更加灵活有效的用人机制，根据《中华人民共和国劳动合同法》等有关法规，结合我区派遣人员管理实际情况，特修订我区派遣人员管理办法。政府派遣人员由受政府委托的人才服务机构（以下简称派遣机构），从社会上公开招聘和雇用，并派遣到相关部门或岗位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为加强安全生产监管，招聘派遣制人员辅助做好安全生产监管工作。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在职人员经费变动率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2024年应急局和应急储备中心防汛补助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应急局：防汛补助经费。根据国家防总防汛值班补贴标准每人80元/天。汛期110天，日常排班每天7人，小计6.16万元；如遇强降雨每班增加3人，结合2022年预警次数25次计算，补助为0.6万元，合计6.76万元。                                                                                                                              应急储备中心：1.防汛补助：112天（6月1日-9月20日）×6人×80元/人/天=53760元    2.值班加班误餐费：25470元①工作日：3人×30元/人/天×163天=14670元②双休及法定节假日：4人×30元/人/天×90天=10800元。合计7.93万元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按照相关文件要求，应急局承担汛期防汛抢险24小时值守工作，对汛期开展值守工作人员应给予相应补助。</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防汛演练补助（个）</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防汛抗旱物资入库率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防汛抗旱物资验收合格率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发挥防汛抗旱作用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2024年应急局管理综合平台费用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浑南区应急管理综合应用平台：主要包括应急管理综合应用平台系统维护费5.8万/年；系统平台服务器托管费1.2万/年、系统平台手持终端50台流量费为每台每月128元，全年76800元，共计146800元。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已按上级部门要求完成应急平台建设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设备维修维护次数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维护工作量完成率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新建、维护视频监控系统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监管专用软件维护更新频率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设施维护验收合格率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设备设施维护验收合格率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年度维护成本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办公经费节约率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基础设备设施维护保养制度健全性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2024年应急局雇员经费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22.71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21.57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94.98%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促进大浑南建设，提高政府工作效能，吸纳优秀人才，建立更加灵活有效的用人机制，根据《中华人民共和国劳动合同法》等有关法规，结合我区雇员管理实际情况，特修订我区雇员管理办法.政府雇员由受政府委托的人才服务机构（以下简称派遣机构），从社会上公开招聘和雇用，并派遣到相关部门或岗位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已按时完成雇员办公经费等日常经费的申请及使用工作。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在职人员经费变动率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各类补助经费发放合规性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地方政府满意度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2024年应急储备中心经费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项水电费依据2021年月使用额度上浮20%估算得出。3项取暖费依据沈阳浑南热力有限责任公司现场测量供暖面积计算得出。5项保安工资依据《关于古城子应急物资储备库续签安保服务合同的请示》沈浑南应急中心[2021]43号。4、6至9项依据储备库日常管理需要及特种设备保养规范。"1项依据《辽宁省水利厅关于规范防汛值班补助工作的通知》（辽水规计〔2014〕21号）。2项依据2019年9月3日下发的区长办公会议纪要《关于提高机关食堂用餐标准有关事宜》[2019年第11号]规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应急物资储备库作为浑南区物资储备的中心，负责区内大型物资保管存储工作，以保障区内各单位正常取用物资。</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评审工贸行业安全生产标准化一级企业数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安全生产标准化评定标准或评分办法制定数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制修订安全生产标准编制数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安全生产标准化一级企业抽查合格率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安全生产调研达标率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经费下达及时率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17.3304016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2024年危化事故检测鉴定费用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55家危化品、矿山企业销毁罚没物品费，技术鉴定费，查封扣押物品保管费。技术鉴定费4000元/家*40家，共计16万元，销毁罚没物品费2000元/家*10家，共计2万元，查封扣押物品保管费，4000元/家*5家，共计2万元。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针对应急安全巡查过程中存在违法存储危化品进行查处，并对其进行保管扣押鉴定工作。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评审工贸行业安全生产标准化一级企业数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安全生产标准化评定标准或评分办法制定数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制修订安全生产标准编制数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安全生产标准化一级企业抽查合格率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安全生产调研达标率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经费下达及时率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2024年网络服务费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预防及应急专项资金（以下简称专项资金）是指中央财政通过一般公共预算和国有资本经营预算安排，专门用于支持全国性的安全生产预防工作和国家级安全生产应急能力建设等方面的资金。专项资金旨在引导加大安全生产预防和应急投入，加快排除安全隐患，解决历史遗留问题，强化安全生产基础能力建设，形成安全生产保障长效机制，促使安全生产形势稳定向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已按时完成安全生产网络专线请款工作，加大安全生产网络建设工作。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疫情应急处置次数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处置重大网络安全应急事件时限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应急广播终端建设成本控制率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储备物资应急保障率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2024年三级标准化评审费用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市局要求，2022年未开展，2023年必须开展      2023年：三级标准化需评审企业99家99*0.3万元，费用合计29.7万元 1.《关于推进工业企业安全生产标准化工作建设的通知》 （沈安办[2020]15号）                                                 2.应急管理部关于印发《企业安全生产标准化建设定级办法》的通知（应急[2021]83号）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按市局要求需要为工矿商贸企业开展三级标准化评审工作。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2024年农房保险市级资金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根据《沈阳市应急管理局 沈阳市财政局关于全面推进沈阳市农村住房保险工作的通知》（沈应急发〔2021〕35号）文件精神，经统计我区2023年度现有农村低保户、低保边缘户和分散五保户共731户，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按上级部门要求，已为浑南区农村住房开展农房保险工作。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保险赔付率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农村住房保险费补贴比例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农村住房保险理赔率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保险结案率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农业保险总额费用率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降低农村住房保险费个人承担比例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参保农户满意度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2024年农房保险省级资金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根据《沈阳市应急管理局 沈阳市财政局关于全面推进沈阳市农村住房保险工作的通知》（沈应急发〔2021〕35号）文件精神，经统计我区2023年度现有农村低保户、低保边缘户和分散五保户共731户。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为保障农民房屋安全，省市区三级配套资金为浑南区农村房屋进行参保，保障群众财产安全。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社会保险基金监管业务培训人次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农村住房保险费补贴比例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农村住房保险理赔率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全省参加农房保险投保的农户补贴标准达标率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农业保险综合费用率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降低农村住房保险费个人承担比例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保险机构满意度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2024年农房保险（含上级资金）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10.23%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房保险：通过参保农房保险，最大限度对农村低保户、低保边缘户、分散五保户和一般户的居住房屋予以安全保障。农村低保户、低保边缘户和分散五保户的住房参加农房保险，区级（每户5元）补贴资金，2022年共计691户，3455元；一般户的住房参加农房保险，区级（每户5元）补贴资金，2023年预计10000户参保，补贴为50000元。合计53455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为保障农民房屋安全，省市区三级配套资金为浑南区农村房屋进行参保，保障群众财产安全。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发放低保工作经费补助困难县区的数量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0.0015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32.02336449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2024年联合和日常执法专家检查经费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59.47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71.25%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查工矿商贸企业聘请专家咨询及技术服务,咨询论证及聘请中介经费。主要包括日常安排行业专家陪同检查，需聘请正高级专家参与检查为每人每天1000元，负责我区规上252家工业企业以及粉尘涉爆、液氨制冷、受限空间等重点领域企业10家及大型综合体15家监管企业每年2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已聘请三方专家开展对工矿商贸企业进行检查，完成相应工作任务。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督导寄递企业开展安全生产应急演练次数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安全生产标准化评定标准或评分办法制定数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制修订安全生产标准编制数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安全生产标准化一级企业抽查合格率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安全生产调研达标率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经费下达及时率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8.12460064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2024年救灾物资采购</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预防及应急专项资金（以下简称专项资金）是指中央财政通过一般公共预算和国有资本经营预算安排，专门用于支持全国性的安全生产预防工作和国家级安全生产应急能力建设等方面的资金。专项资金旨在引导加大安全生产预防和应急投入，加快排除安全隐患，解决历史遗留问题，强化安全生产基础能力建设，形成安全生产保障长效机制，促使安全生产形势稳定向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已按工作要求，及时采购防汛救灾物资，保障群众生命财产安全。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经费下达及时率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应急保障物资采购成本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储备物资应急保障率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2024年浑南区铁路道口上级专项经费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沈阳市浑南区应急管理局本级-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遵照《沈阳市财政局关于下达2024年铁路道口监护专项资金的通知》指示，开展浑南区铁路监护道口监管工作。市应急局道口管理改为属地化管理，同时道口管理的相关经费由市财政下拨给各区县应急局道口办自行支配。拨付浑南区的专项经费为45.4万元，其中包含道口监护人员劳务经费、道口监护维护及人员后勤保障经费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应急局承担浑南区铁路道口管理工作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道口监管人员人数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道口管理维护次数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道口维护工作质量合格率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道口维护工作质量合格率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确保铁路安全运行，最大限度的保护人民的生命和财产安全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无人监控铁道口安全得到持续性保障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