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辽宁省沈阳市浑南区营商环境建设局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辽宁省沈阳市浑南区营商环境建设局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辽宁省沈阳市浑南区营商环境建设局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辽宁省沈阳市浑南区营商环境建设局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辽宁省沈阳市浑南区营商环境建设局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辽宁省沈阳市浑南区营商环境建设局概况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党中央、国务院、省委、省政府和市委、市政府关于加强和优化营商环境建设的法律法规和方针政策，组织贯彻落实《辽宁省优化营商环境条例》、《沈阳市优化营商环境办法》，以及区委、区政府的具体工作要求。</w:t>
        <w:br/>
        <w:t xml:space="preserve">    （二）拟订全区营商环境建设工作规划和年度计划，拟订加强和优化全区营商环境建设的政策、措施和制度并组织实施、组织指导、统筹协调各部门、各单位、各地区营商环境建设工作。</w:t>
        <w:br/>
        <w:t xml:space="preserve">    （三）负责全区营商环境建设监督检查工作，受理相关投诉、举报、协助有关部门查处营商环境建设违法违纪行为。</w:t>
        <w:br/>
        <w:t xml:space="preserve">    （四）按照上级要求开展营商环境评估，配合区有关部门对全区优化营商环境建设工作进行绩效考评。</w:t>
        <w:br/>
        <w:t xml:space="preserve">    （五）承担区营商环境建设领导小组日常工作。</w:t>
        <w:br/>
        <w:t xml:space="preserve">    （六）负责统筹全区各行政审批职能单位推进全区“放管服”及行政审批制度改革。</w:t>
        <w:br/>
        <w:t xml:space="preserve">    （七）负责区政务服务中心管理，负责统筹对行政审批和政务服务流程进行优化再造；负责进驻区政务服务中心的行政审批和政务服务事项的组织协调、监督管理和指导服务。</w:t>
        <w:br/>
        <w:t xml:space="preserve">    （八）负责统筹推进三级政务服务体系“互联网+政务服务”的建设、管理、指导及督查等方面工作。</w:t>
        <w:br/>
        <w:t xml:space="preserve">    （九）负责城市建设行政审批、工程项目开工条件和施工许可证的发放、全区结建人防工程的建设审批、核发人防工程使用证、区管人防设施的建设审批、建设工程消防设计审查及验收、重点项目的档案验收、农保金审批、楼门牌号审批；按规定权限负责行政审批事项的受理和审批工作，政府投资项目审批，石油天然气管道保护范围内特定施工作业许可；负责企业、事业单位、社会团体等投资建设的固定资产项目备案工作，负责固定资产投资项目节能评估和审查工作；负责粮食收购许可证的审批发放及年审工作；负责安全生产行政审批事项的受理和审批、取水许可、河道管理范围内建设项目审批、生产建设项目水土保持方案等行政审批工作。</w:t>
        <w:br/>
        <w:t xml:space="preserve">    （十）负责全区各类企业和从事经营活动的单位等市场主体的登记注册和监督管理工作；负责市场监督管理相关行政审批事项的受理、审批工作；负责电影放映、出版物零售单位和个体商户设立审批、对外贸易经营备案等行政审批工作。</w:t>
        <w:br/>
        <w:t xml:space="preserve">    （十一）负责全区文化旅游体育行政审批事项的受理和审批、文化类民办非企业单位设立前置审查、民办培训机构年检、市容景观、环境卫生、园林绿化等行政审批、全区交通行政审批工作和道路货物运输服务业备案等行政审批工作。</w:t>
        <w:br/>
        <w:t xml:space="preserve">    （十二）本部门权责清单和政务服务事项清单在区政府门户网站上公布。</w:t>
        <w:br/>
        <w:t xml:space="preserve">    （十三）负责本单位安全生产工作。</w:t>
        <w:br/>
        <w:t xml:space="preserve">    （十四）负责本单位党组织建设相关工作。</w:t>
        <w:br/>
        <w:t xml:space="preserve">    （十五）完成区委、区政府交办的其他任务。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辽宁省沈阳市浑南区营商环境建设局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1、沈阳市浑南区营商环境建设局本级</w:t>
        <w:br/>
        <w:t xml:space="preserve">    2、沈阳市浑南区营商环境建设事务服务中心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8039.47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8039.44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8039.44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增加5877.29万元，增长271.82%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2020年6月至2025年3月办公用房租赁费及物业费等收入增加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8039.47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753.14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9.37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工资福利支出690.89万元；商品和服务支出61.71万元；对个人和家庭的补助0.55万元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7286.33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90.63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主要包括支付2020年6月至2025年3月办公用房租赁费及物业费、购买浑南会客厅及人才厅产业服务费用、浑南会客厅提供免费刻章服务费用、审批项目评审费等业务支出。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增加5877.31万元，增长271.83%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支付2020年6月至2025年3月办公用房租赁费及物业费等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主要是机关工委等部门转入党建奖励经费余额34.3元未完全使用（转换量纲单位后显示为0万元）等原因形成的结余。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减少0.03万元，降低88.31%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探访困难家庭购买慰问品及购买党建展板耗材</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8039.44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753.14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7286.30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增加5877.29万元，增长271.83%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支付2020年6月至2025年3月办公用房租赁费及物业费等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205.32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86.42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239.35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2024年度一般公共预算财政拨款支出8039.44万元。按支出功能分类科目分，包括：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1.一般公共服务支出1620.87万元，具体包括：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407.23万元,主要是基本工资、津贴补贴、奖金、伙食补助费、其他社会保障缴费、办公费、印刷费、邮电费、差旅费、工会经费、交通费用等支出，完成年初预算的87.24%，决算数与年初预算数存在差异的主要原因是奖金拨付较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94.43万元,主要是劳务费、商品和服务等支出，完成年初预算的93.22%，决算数与年初预算数存在差异的主要原因是业务会议费、业务宣传经费未使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政务公开审批（项）956.58万元,主要是邮电费、劳务费、委托业务费等支出，完成年初预算的63.85%，决算数与年初预算数存在差异的主要原因是购买服务岗位补充经费、审批业务评审费、浑南会客厅为新开办企业免费刻章服务费用、浑南会客厅便民服务费用、审批专网网费等拨付较少，浑南区智能踏勘管理系统建设费用、档案电子化建设及归档管理、注册证照及法律文书印制费等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政府办公厅（室）及相关机构事务（款）事业运行（项）160.86万元,主要是基本工资、津贴补贴、奖金、伙食补助费、绩效工资、其他社会保障缴费、办公费、邮电费、工会经费等支出，完成年初预算的83.64%，决算数与年初预算数存在差异的主要原因是绩效工资发放较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政府办公厅（室）及相关机构事务（款）其他政府办公厅（室）及相关机构事务支出（项）1.77万元,主要是缴纳残疾人就业保障金等支出，完成年初预算的85.92%，决算数与年初预算数存在差异的主要原因是年初预算按预估的2023年社平工资及在职职工人数初步测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2.社会保障和就业支出79.20万元，具体包括：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0.27万元,主要是退休费等支出，完成年初预算的51.92%，决算数与年初预算数存在差异的主要原因是退休人员一次性补贴、医疗补助、活动费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0.27万元,主要是退休费等支出，完成年初预算的84.38%，决算数与年初预算数存在差异的主要原因是退休人员一次性补贴、医疗补助、活动费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71.19万元,主要是机关事业单位基本养老保险缴费等支出，完成年初预算的98.9%，决算数与年初预算数存在差异的主要原因是年初预算按预估工资总额测算基数，与实际缴费基数稍有差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7.47万元,主要是职业年金缴费等支出，完成年初预算的100%，决算数与年初预算数存在差异的主要原因是职业年金缴费为退休人员一次性补缴，经社保机构确认金额后，再向财政请款拨付，故年初未填列此项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3.卫生健康支出28.75万元，具体包括：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19.76万元,主要是职工基本医疗保险缴费等支出，完成年初预算的98.31%，决算数与年初预算数存在差异的主要原因是年初预算按预估工资总额测算基数，与实际缴费基数稍有差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8.99万元,主要是职工基本医疗保险缴费等支出，完成年初预算的105.64%，决算数与年初预算数存在差异的主要原因是年初预算按预估工资总额测算基数，与实际缴费基数稍有差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4.商业服务业等支出6233.53万元，具体包括：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其他商业服务业等支出（款）服务业基础设施建设（项）8.11万元,主要是浑南会客厅硬件设备采购项目尾款等支出，完成年初预算的0%，决算数与年初预算数存在差异的主要原因是年初预算未填列此项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商业服务业等支出（类）其他商业服务业等支出（款）其他商业服务业等支出（项）6225.42万元,主要是电费、物业管理费、租赁费等支出，完成年初预算的439.19%，决算数与年初预算数存在差异的主要原因是年初预算仅填列一年办公用房租赁费及物业费，实际拨付2020年6月至2025年3月办公用房租赁费、物业费、电费等。</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5.住房保障支出77.09万元，具体包括：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77.09万元,主要是住房公积金等支出，完成年初预算的69.11%，决算数与年初预算数存在差异的主要原因是年初预算包含住房货币化补贴部分，本年度未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未安排年初预算，实际未发生“三公”经费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未安排年初预算，实际无公务接待任务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未安排年初预算，实际无公务用车</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753.15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691.44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61.71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50.50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比上年增加8.43万元，增长20.04%</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本年度比上年度行政人员交通补贴发放较多</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具体而言，本年度我部门共组织对24个项目实施了绩效评价。从预算资金来源看，涉及一般公共预算的项目24个，涉及政府性基金预算的项目0个，涉及国有资本经营预算的项目0个。</w:t>
        <w:br/>
        <w:t xml:space="preserve">    上述评价工作共涉及财政资金5265.53万元。其中，一般公共预算资金5263.76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3个；得分在60分（含）至80分、等级为“中”的项目有1个；得分在60分以下、等级为“差”的项目有15个。各项目自评发现，部分项目存在预算执行率极低问题，如：水利项目审批专家评审费、软件购买经费，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机关办公楼租赁费，涉及资金2857.93万元，评价平均分为100分，评级情况为优；第二个重点项目为物业管理费，涉及资金1355.39万元，评价平均分为100分，评级情况为优；第三个重点项目为购买服务岗位补充经费，涉及资金805.97万元，评价平均分为83.26分，评级情况为良。同时，评价也发现1个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8,039.44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1,620.89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79.20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28.76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6,233.53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77.09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8,039.44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8,039.47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0.03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8,039.47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8,039.47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8,039.44</w:t>
            </w:r>
          </w:p>
        </w:tc>
        <w:tc>
          <w:tcPr>
            <w:tcW w:w="960" w:type="dxa"/>
            <w:tcBorders/>
            <w:vAlign w:val="center"/>
          </w:tcPr>
          <w:p>
            <w:pPr>
              <w:jc w:val="right"/>
            </w:pPr>
            <w:r>
              <w:rPr>
                <w:rFonts w:ascii="宋体" w:eastAsia="宋体" w:hAnsi="宋体" w:cs="宋体"/>
                <w:b/>
                <w:i w:val="0"/>
                <w:color w:val="000000"/>
                <w:sz w:val="13"/>
              </w:rPr>
              <w:t xml:space="preserve">8,039.44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1,620.87</w:t>
            </w:r>
          </w:p>
        </w:tc>
        <w:tc>
          <w:tcPr>
            <w:tcW w:w="960" w:type="dxa"/>
            <w:tcBorders/>
            <w:vAlign w:val="center"/>
          </w:tcPr>
          <w:p>
            <w:pPr>
              <w:jc w:val="right"/>
            </w:pPr>
            <w:r>
              <w:rPr>
                <w:rFonts w:ascii="宋体" w:eastAsia="宋体" w:hAnsi="宋体" w:cs="宋体"/>
                <w:b w:val="0"/>
                <w:i w:val="0"/>
                <w:color w:val="000000"/>
                <w:sz w:val="13"/>
              </w:rPr>
              <w:t xml:space="preserve">1,620.87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1,620.87</w:t>
            </w:r>
          </w:p>
        </w:tc>
        <w:tc>
          <w:tcPr>
            <w:tcW w:w="960" w:type="dxa"/>
            <w:tcBorders/>
            <w:vAlign w:val="center"/>
          </w:tcPr>
          <w:p>
            <w:pPr>
              <w:jc w:val="right"/>
            </w:pPr>
            <w:r>
              <w:rPr>
                <w:rFonts w:ascii="宋体" w:eastAsia="宋体" w:hAnsi="宋体" w:cs="宋体"/>
                <w:b w:val="0"/>
                <w:i w:val="0"/>
                <w:color w:val="000000"/>
                <w:sz w:val="13"/>
              </w:rPr>
              <w:t xml:space="preserve">1,620.87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407.23</w:t>
            </w:r>
          </w:p>
        </w:tc>
        <w:tc>
          <w:tcPr>
            <w:tcW w:w="960" w:type="dxa"/>
            <w:tcBorders/>
            <w:vAlign w:val="center"/>
          </w:tcPr>
          <w:p>
            <w:pPr>
              <w:jc w:val="right"/>
            </w:pPr>
            <w:r>
              <w:rPr>
                <w:rFonts w:ascii="宋体" w:eastAsia="宋体" w:hAnsi="宋体" w:cs="宋体"/>
                <w:b w:val="0"/>
                <w:i w:val="0"/>
                <w:color w:val="000000"/>
                <w:sz w:val="13"/>
              </w:rPr>
              <w:t xml:space="preserve">407.23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94.43</w:t>
            </w:r>
          </w:p>
        </w:tc>
        <w:tc>
          <w:tcPr>
            <w:tcW w:w="960" w:type="dxa"/>
            <w:tcBorders/>
            <w:vAlign w:val="center"/>
          </w:tcPr>
          <w:p>
            <w:pPr>
              <w:jc w:val="right"/>
            </w:pPr>
            <w:r>
              <w:rPr>
                <w:rFonts w:ascii="宋体" w:eastAsia="宋体" w:hAnsi="宋体" w:cs="宋体"/>
                <w:b w:val="0"/>
                <w:i w:val="0"/>
                <w:color w:val="000000"/>
                <w:sz w:val="13"/>
              </w:rPr>
              <w:t xml:space="preserve">94.43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2010306</w:t>
            </w:r>
          </w:p>
        </w:tc>
        <w:tc>
          <w:tcPr>
            <w:tcW w:w="3200" w:type="dxa"/>
            <w:tcBorders/>
            <w:vAlign w:val="center"/>
          </w:tcPr>
          <w:p>
            <w:pPr>
              <w:jc w:val="left"/>
            </w:pPr>
            <w:r>
              <w:rPr>
                <w:rFonts w:ascii="宋体" w:eastAsia="宋体" w:hAnsi="宋体" w:cs="宋体"/>
                <w:b w:val="0"/>
                <w:i w:val="0"/>
                <w:color w:val="000000"/>
                <w:sz w:val="13"/>
              </w:rPr>
              <w:t xml:space="preserve">政务公开审批</w:t>
            </w:r>
          </w:p>
        </w:tc>
        <w:tc>
          <w:tcPr>
            <w:tcW w:w="960" w:type="dxa"/>
            <w:tcBorders/>
            <w:vAlign w:val="center"/>
          </w:tcPr>
          <w:p>
            <w:pPr>
              <w:jc w:val="right"/>
            </w:pPr>
            <w:r>
              <w:rPr>
                <w:rFonts w:ascii="宋体" w:eastAsia="宋体" w:hAnsi="宋体" w:cs="宋体"/>
                <w:b w:val="0"/>
                <w:i w:val="0"/>
                <w:color w:val="000000"/>
                <w:sz w:val="13"/>
              </w:rPr>
              <w:t xml:space="preserve">956.58</w:t>
            </w:r>
          </w:p>
        </w:tc>
        <w:tc>
          <w:tcPr>
            <w:tcW w:w="960" w:type="dxa"/>
            <w:tcBorders/>
            <w:vAlign w:val="center"/>
          </w:tcPr>
          <w:p>
            <w:pPr>
              <w:jc w:val="right"/>
            </w:pPr>
            <w:r>
              <w:rPr>
                <w:rFonts w:ascii="宋体" w:eastAsia="宋体" w:hAnsi="宋体" w:cs="宋体"/>
                <w:b w:val="0"/>
                <w:i w:val="0"/>
                <w:color w:val="000000"/>
                <w:sz w:val="13"/>
              </w:rPr>
              <w:t xml:space="preserve">956.58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160.86</w:t>
            </w:r>
          </w:p>
        </w:tc>
        <w:tc>
          <w:tcPr>
            <w:tcW w:w="960" w:type="dxa"/>
            <w:tcBorders/>
            <w:vAlign w:val="center"/>
          </w:tcPr>
          <w:p>
            <w:pPr>
              <w:jc w:val="right"/>
            </w:pPr>
            <w:r>
              <w:rPr>
                <w:rFonts w:ascii="宋体" w:eastAsia="宋体" w:hAnsi="宋体" w:cs="宋体"/>
                <w:b w:val="0"/>
                <w:i w:val="0"/>
                <w:color w:val="000000"/>
                <w:sz w:val="13"/>
              </w:rPr>
              <w:t xml:space="preserve">160.86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1.77</w:t>
            </w:r>
          </w:p>
        </w:tc>
        <w:tc>
          <w:tcPr>
            <w:tcW w:w="960" w:type="dxa"/>
            <w:tcBorders/>
            <w:vAlign w:val="center"/>
          </w:tcPr>
          <w:p>
            <w:pPr>
              <w:jc w:val="right"/>
            </w:pPr>
            <w:r>
              <w:rPr>
                <w:rFonts w:ascii="宋体" w:eastAsia="宋体" w:hAnsi="宋体" w:cs="宋体"/>
                <w:b w:val="0"/>
                <w:i w:val="0"/>
                <w:color w:val="000000"/>
                <w:sz w:val="13"/>
              </w:rPr>
              <w:t xml:space="preserve">1.77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79.20</w:t>
            </w:r>
          </w:p>
        </w:tc>
        <w:tc>
          <w:tcPr>
            <w:tcW w:w="960" w:type="dxa"/>
            <w:tcBorders/>
            <w:vAlign w:val="center"/>
          </w:tcPr>
          <w:p>
            <w:pPr>
              <w:jc w:val="right"/>
            </w:pPr>
            <w:r>
              <w:rPr>
                <w:rFonts w:ascii="宋体" w:eastAsia="宋体" w:hAnsi="宋体" w:cs="宋体"/>
                <w:b w:val="0"/>
                <w:i w:val="0"/>
                <w:color w:val="000000"/>
                <w:sz w:val="13"/>
              </w:rPr>
              <w:t xml:space="preserve">79.20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79.20</w:t>
            </w:r>
          </w:p>
        </w:tc>
        <w:tc>
          <w:tcPr>
            <w:tcW w:w="960" w:type="dxa"/>
            <w:tcBorders/>
            <w:vAlign w:val="center"/>
          </w:tcPr>
          <w:p>
            <w:pPr>
              <w:jc w:val="right"/>
            </w:pPr>
            <w:r>
              <w:rPr>
                <w:rFonts w:ascii="宋体" w:eastAsia="宋体" w:hAnsi="宋体" w:cs="宋体"/>
                <w:b w:val="0"/>
                <w:i w:val="0"/>
                <w:color w:val="000000"/>
                <w:sz w:val="13"/>
              </w:rPr>
              <w:t xml:space="preserve">79.20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71.19</w:t>
            </w:r>
          </w:p>
        </w:tc>
        <w:tc>
          <w:tcPr>
            <w:tcW w:w="960" w:type="dxa"/>
            <w:tcBorders/>
            <w:vAlign w:val="center"/>
          </w:tcPr>
          <w:p>
            <w:pPr>
              <w:jc w:val="right"/>
            </w:pPr>
            <w:r>
              <w:rPr>
                <w:rFonts w:ascii="宋体" w:eastAsia="宋体" w:hAnsi="宋体" w:cs="宋体"/>
                <w:b w:val="0"/>
                <w:i w:val="0"/>
                <w:color w:val="000000"/>
                <w:sz w:val="13"/>
              </w:rPr>
              <w:t xml:space="preserve">71.19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7.47</w:t>
            </w:r>
          </w:p>
        </w:tc>
        <w:tc>
          <w:tcPr>
            <w:tcW w:w="960" w:type="dxa"/>
            <w:tcBorders/>
            <w:vAlign w:val="center"/>
          </w:tcPr>
          <w:p>
            <w:pPr>
              <w:jc w:val="right"/>
            </w:pPr>
            <w:r>
              <w:rPr>
                <w:rFonts w:ascii="宋体" w:eastAsia="宋体" w:hAnsi="宋体" w:cs="宋体"/>
                <w:b w:val="0"/>
                <w:i w:val="0"/>
                <w:color w:val="000000"/>
                <w:sz w:val="13"/>
              </w:rPr>
              <w:t xml:space="preserve">7.47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28.75</w:t>
            </w:r>
          </w:p>
        </w:tc>
        <w:tc>
          <w:tcPr>
            <w:tcW w:w="960" w:type="dxa"/>
            <w:tcBorders/>
            <w:vAlign w:val="center"/>
          </w:tcPr>
          <w:p>
            <w:pPr>
              <w:jc w:val="right"/>
            </w:pPr>
            <w:r>
              <w:rPr>
                <w:rFonts w:ascii="宋体" w:eastAsia="宋体" w:hAnsi="宋体" w:cs="宋体"/>
                <w:b w:val="0"/>
                <w:i w:val="0"/>
                <w:color w:val="000000"/>
                <w:sz w:val="13"/>
              </w:rPr>
              <w:t xml:space="preserve">28.75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28.75</w:t>
            </w:r>
          </w:p>
        </w:tc>
        <w:tc>
          <w:tcPr>
            <w:tcW w:w="960" w:type="dxa"/>
            <w:tcBorders/>
            <w:vAlign w:val="center"/>
          </w:tcPr>
          <w:p>
            <w:pPr>
              <w:jc w:val="right"/>
            </w:pPr>
            <w:r>
              <w:rPr>
                <w:rFonts w:ascii="宋体" w:eastAsia="宋体" w:hAnsi="宋体" w:cs="宋体"/>
                <w:b w:val="0"/>
                <w:i w:val="0"/>
                <w:color w:val="000000"/>
                <w:sz w:val="13"/>
              </w:rPr>
              <w:t xml:space="preserve">28.75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jc w:val="right"/>
            </w:pPr>
            <w:r>
              <w:rPr>
                <w:rFonts w:ascii="宋体" w:eastAsia="宋体" w:hAnsi="宋体" w:cs="宋体"/>
                <w:b w:val="0"/>
                <w:i w:val="0"/>
                <w:color w:val="000000"/>
                <w:sz w:val="13"/>
              </w:rPr>
              <w:t xml:space="preserve">19.76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jc w:val="right"/>
            </w:pPr>
            <w:r>
              <w:rPr>
                <w:rFonts w:ascii="宋体" w:eastAsia="宋体" w:hAnsi="宋体" w:cs="宋体"/>
                <w:b w:val="0"/>
                <w:i w:val="0"/>
                <w:color w:val="000000"/>
                <w:sz w:val="13"/>
              </w:rPr>
              <w:t xml:space="preserve">8.99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jc w:val="right"/>
            </w:pPr>
            <w:r>
              <w:rPr>
                <w:rFonts w:ascii="宋体" w:eastAsia="宋体" w:hAnsi="宋体" w:cs="宋体"/>
                <w:b w:val="0"/>
                <w:i w:val="0"/>
                <w:color w:val="000000"/>
                <w:sz w:val="13"/>
              </w:rPr>
              <w:t xml:space="preserve">6,233.53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2169901</w:t>
            </w:r>
          </w:p>
        </w:tc>
        <w:tc>
          <w:tcPr>
            <w:tcW w:w="3200" w:type="dxa"/>
            <w:tcBorders/>
            <w:vAlign w:val="center"/>
          </w:tcPr>
          <w:p>
            <w:pPr>
              <w:jc w:val="left"/>
            </w:pPr>
            <w:r>
              <w:rPr>
                <w:rFonts w:ascii="宋体" w:eastAsia="宋体" w:hAnsi="宋体" w:cs="宋体"/>
                <w:b w:val="0"/>
                <w:i w:val="0"/>
                <w:color w:val="000000"/>
                <w:sz w:val="13"/>
              </w:rPr>
              <w:t xml:space="preserve">服务业基础设施建设</w:t>
            </w:r>
          </w:p>
        </w:tc>
        <w:tc>
          <w:tcPr>
            <w:tcW w:w="960" w:type="dxa"/>
            <w:tcBorders/>
            <w:vAlign w:val="center"/>
          </w:tcPr>
          <w:p>
            <w:pPr>
              <w:jc w:val="right"/>
            </w:pPr>
            <w:r>
              <w:rPr>
                <w:rFonts w:ascii="宋体" w:eastAsia="宋体" w:hAnsi="宋体" w:cs="宋体"/>
                <w:b w:val="0"/>
                <w:i w:val="0"/>
                <w:color w:val="000000"/>
                <w:sz w:val="13"/>
              </w:rPr>
              <w:t xml:space="preserve">8.11</w:t>
            </w:r>
          </w:p>
        </w:tc>
        <w:tc>
          <w:tcPr>
            <w:tcW w:w="960" w:type="dxa"/>
            <w:tcBorders/>
            <w:vAlign w:val="center"/>
          </w:tcPr>
          <w:p>
            <w:pPr>
              <w:jc w:val="right"/>
            </w:pPr>
            <w:r>
              <w:rPr>
                <w:rFonts w:ascii="宋体" w:eastAsia="宋体" w:hAnsi="宋体" w:cs="宋体"/>
                <w:b w:val="0"/>
                <w:i w:val="0"/>
                <w:color w:val="000000"/>
                <w:sz w:val="13"/>
              </w:rPr>
              <w:t xml:space="preserve">8.11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6,225.42</w:t>
            </w:r>
          </w:p>
        </w:tc>
        <w:tc>
          <w:tcPr>
            <w:tcW w:w="960" w:type="dxa"/>
            <w:tcBorders/>
            <w:vAlign w:val="center"/>
          </w:tcPr>
          <w:p>
            <w:pPr>
              <w:jc w:val="right"/>
            </w:pPr>
            <w:r>
              <w:rPr>
                <w:rFonts w:ascii="宋体" w:eastAsia="宋体" w:hAnsi="宋体" w:cs="宋体"/>
                <w:b w:val="0"/>
                <w:i w:val="0"/>
                <w:color w:val="000000"/>
                <w:sz w:val="13"/>
              </w:rPr>
              <w:t xml:space="preserve">6,225.42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77.09</w:t>
            </w:r>
          </w:p>
        </w:tc>
        <w:tc>
          <w:tcPr>
            <w:tcW w:w="960" w:type="dxa"/>
            <w:tcBorders/>
            <w:vAlign w:val="center"/>
          </w:tcPr>
          <w:p>
            <w:pPr>
              <w:jc w:val="right"/>
            </w:pPr>
            <w:r>
              <w:rPr>
                <w:rFonts w:ascii="宋体" w:eastAsia="宋体" w:hAnsi="宋体" w:cs="宋体"/>
                <w:b w:val="0"/>
                <w:i w:val="0"/>
                <w:color w:val="000000"/>
                <w:sz w:val="13"/>
              </w:rPr>
              <w:t xml:space="preserve">77.09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77.09</w:t>
            </w:r>
          </w:p>
        </w:tc>
        <w:tc>
          <w:tcPr>
            <w:tcW w:w="960" w:type="dxa"/>
            <w:tcBorders/>
            <w:vAlign w:val="center"/>
          </w:tcPr>
          <w:p>
            <w:pPr>
              <w:jc w:val="right"/>
            </w:pPr>
            <w:r>
              <w:rPr>
                <w:rFonts w:ascii="宋体" w:eastAsia="宋体" w:hAnsi="宋体" w:cs="宋体"/>
                <w:b w:val="0"/>
                <w:i w:val="0"/>
                <w:color w:val="000000"/>
                <w:sz w:val="13"/>
              </w:rPr>
              <w:t xml:space="preserve">77.09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77.09</w:t>
            </w:r>
          </w:p>
        </w:tc>
        <w:tc>
          <w:tcPr>
            <w:tcW w:w="960" w:type="dxa"/>
            <w:tcBorders/>
            <w:vAlign w:val="center"/>
          </w:tcPr>
          <w:p>
            <w:pPr>
              <w:jc w:val="right"/>
            </w:pPr>
            <w:r>
              <w:rPr>
                <w:rFonts w:ascii="宋体" w:eastAsia="宋体" w:hAnsi="宋体" w:cs="宋体"/>
                <w:b w:val="0"/>
                <w:i w:val="0"/>
                <w:color w:val="000000"/>
                <w:sz w:val="13"/>
              </w:rPr>
              <w:t xml:space="preserve">77.09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8,039.47</w:t>
            </w:r>
          </w:p>
        </w:tc>
        <w:tc>
          <w:tcPr>
            <w:tcW w:w="1060" w:type="dxa"/>
            <w:tcBorders/>
            <w:vAlign w:val="center"/>
          </w:tcPr>
          <w:p>
            <w:pPr>
              <w:jc w:val="right"/>
            </w:pPr>
            <w:r>
              <w:rPr>
                <w:rFonts w:ascii="宋体" w:eastAsia="宋体" w:hAnsi="宋体" w:cs="宋体"/>
                <w:b/>
                <w:i w:val="0"/>
                <w:color w:val="000000"/>
                <w:sz w:val="14"/>
              </w:rPr>
              <w:t xml:space="preserve">753.14</w:t>
            </w:r>
          </w:p>
        </w:tc>
        <w:tc>
          <w:tcPr>
            <w:tcW w:w="1060" w:type="dxa"/>
            <w:tcBorders/>
            <w:vAlign w:val="center"/>
          </w:tcPr>
          <w:p>
            <w:pPr>
              <w:jc w:val="right"/>
            </w:pPr>
            <w:r>
              <w:rPr>
                <w:rFonts w:ascii="宋体" w:eastAsia="宋体" w:hAnsi="宋体" w:cs="宋体"/>
                <w:b/>
                <w:i w:val="0"/>
                <w:color w:val="000000"/>
                <w:sz w:val="14"/>
              </w:rPr>
              <w:t xml:space="preserve">7,286.33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1,620.89</w:t>
            </w:r>
          </w:p>
        </w:tc>
        <w:tc>
          <w:tcPr>
            <w:tcW w:w="1060" w:type="dxa"/>
            <w:tcBorders/>
            <w:vAlign w:val="center"/>
          </w:tcPr>
          <w:p>
            <w:pPr>
              <w:jc w:val="right"/>
            </w:pPr>
            <w:r>
              <w:rPr>
                <w:rFonts w:ascii="宋体" w:eastAsia="宋体" w:hAnsi="宋体" w:cs="宋体"/>
                <w:b w:val="0"/>
                <w:i w:val="0"/>
                <w:color w:val="000000"/>
                <w:sz w:val="14"/>
              </w:rPr>
              <w:t xml:space="preserve">568.09</w:t>
            </w:r>
          </w:p>
        </w:tc>
        <w:tc>
          <w:tcPr>
            <w:tcW w:w="1060" w:type="dxa"/>
            <w:tcBorders/>
            <w:vAlign w:val="center"/>
          </w:tcPr>
          <w:p>
            <w:pPr>
              <w:jc w:val="right"/>
            </w:pPr>
            <w:r>
              <w:rPr>
                <w:rFonts w:ascii="宋体" w:eastAsia="宋体" w:hAnsi="宋体" w:cs="宋体"/>
                <w:b w:val="0"/>
                <w:i w:val="0"/>
                <w:color w:val="000000"/>
                <w:sz w:val="14"/>
              </w:rPr>
              <w:t xml:space="preserve">1,052.80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1,620.89</w:t>
            </w:r>
          </w:p>
        </w:tc>
        <w:tc>
          <w:tcPr>
            <w:tcW w:w="1060" w:type="dxa"/>
            <w:tcBorders/>
            <w:vAlign w:val="center"/>
          </w:tcPr>
          <w:p>
            <w:pPr>
              <w:jc w:val="right"/>
            </w:pPr>
            <w:r>
              <w:rPr>
                <w:rFonts w:ascii="宋体" w:eastAsia="宋体" w:hAnsi="宋体" w:cs="宋体"/>
                <w:b w:val="0"/>
                <w:i w:val="0"/>
                <w:color w:val="000000"/>
                <w:sz w:val="14"/>
              </w:rPr>
              <w:t xml:space="preserve">568.09</w:t>
            </w:r>
          </w:p>
        </w:tc>
        <w:tc>
          <w:tcPr>
            <w:tcW w:w="1060" w:type="dxa"/>
            <w:tcBorders/>
            <w:vAlign w:val="center"/>
          </w:tcPr>
          <w:p>
            <w:pPr>
              <w:jc w:val="right"/>
            </w:pPr>
            <w:r>
              <w:rPr>
                <w:rFonts w:ascii="宋体" w:eastAsia="宋体" w:hAnsi="宋体" w:cs="宋体"/>
                <w:b w:val="0"/>
                <w:i w:val="0"/>
                <w:color w:val="000000"/>
                <w:sz w:val="14"/>
              </w:rPr>
              <w:t xml:space="preserve">1,052.80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407.23</w:t>
            </w:r>
          </w:p>
        </w:tc>
        <w:tc>
          <w:tcPr>
            <w:tcW w:w="1060" w:type="dxa"/>
            <w:tcBorders/>
            <w:vAlign w:val="center"/>
          </w:tcPr>
          <w:p>
            <w:pPr>
              <w:jc w:val="right"/>
            </w:pPr>
            <w:r>
              <w:rPr>
                <w:rFonts w:ascii="宋体" w:eastAsia="宋体" w:hAnsi="宋体" w:cs="宋体"/>
                <w:b w:val="0"/>
                <w:i w:val="0"/>
                <w:color w:val="000000"/>
                <w:sz w:val="14"/>
              </w:rPr>
              <w:t xml:space="preserve">407.23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94.43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94.43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2010306</w:t>
            </w:r>
          </w:p>
        </w:tc>
        <w:tc>
          <w:tcPr>
            <w:tcW w:w="3440" w:type="dxa"/>
            <w:tcBorders/>
            <w:vAlign w:val="center"/>
          </w:tcPr>
          <w:p>
            <w:pPr>
              <w:jc w:val="left"/>
            </w:pPr>
            <w:r>
              <w:rPr>
                <w:rFonts w:ascii="宋体" w:eastAsia="宋体" w:hAnsi="宋体" w:cs="宋体"/>
                <w:b w:val="0"/>
                <w:i w:val="0"/>
                <w:color w:val="000000"/>
                <w:sz w:val="14"/>
              </w:rPr>
              <w:t xml:space="preserve">政务公开审批</w:t>
            </w:r>
          </w:p>
        </w:tc>
        <w:tc>
          <w:tcPr>
            <w:tcW w:w="1060" w:type="dxa"/>
            <w:tcBorders/>
            <w:vAlign w:val="center"/>
          </w:tcPr>
          <w:p>
            <w:pPr>
              <w:jc w:val="right"/>
            </w:pPr>
            <w:r>
              <w:rPr>
                <w:rFonts w:ascii="宋体" w:eastAsia="宋体" w:hAnsi="宋体" w:cs="宋体"/>
                <w:b w:val="0"/>
                <w:i w:val="0"/>
                <w:color w:val="000000"/>
                <w:sz w:val="14"/>
              </w:rPr>
              <w:t xml:space="preserve">956.58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956.58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160.86</w:t>
            </w:r>
          </w:p>
        </w:tc>
        <w:tc>
          <w:tcPr>
            <w:tcW w:w="1060" w:type="dxa"/>
            <w:tcBorders/>
            <w:vAlign w:val="center"/>
          </w:tcPr>
          <w:p>
            <w:pPr>
              <w:jc w:val="right"/>
            </w:pPr>
            <w:r>
              <w:rPr>
                <w:rFonts w:ascii="宋体" w:eastAsia="宋体" w:hAnsi="宋体" w:cs="宋体"/>
                <w:b w:val="0"/>
                <w:i w:val="0"/>
                <w:color w:val="000000"/>
                <w:sz w:val="14"/>
              </w:rPr>
              <w:t xml:space="preserve">160.86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1.79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79.20</w:t>
            </w:r>
          </w:p>
        </w:tc>
        <w:tc>
          <w:tcPr>
            <w:tcW w:w="1060" w:type="dxa"/>
            <w:tcBorders/>
            <w:vAlign w:val="center"/>
          </w:tcPr>
          <w:p>
            <w:pPr>
              <w:jc w:val="right"/>
            </w:pPr>
            <w:r>
              <w:rPr>
                <w:rFonts w:ascii="宋体" w:eastAsia="宋体" w:hAnsi="宋体" w:cs="宋体"/>
                <w:b w:val="0"/>
                <w:i w:val="0"/>
                <w:color w:val="000000"/>
                <w:sz w:val="14"/>
              </w:rPr>
              <w:t xml:space="preserve">79.20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79.20</w:t>
            </w:r>
          </w:p>
        </w:tc>
        <w:tc>
          <w:tcPr>
            <w:tcW w:w="1060" w:type="dxa"/>
            <w:tcBorders/>
            <w:vAlign w:val="center"/>
          </w:tcPr>
          <w:p>
            <w:pPr>
              <w:jc w:val="right"/>
            </w:pPr>
            <w:r>
              <w:rPr>
                <w:rFonts w:ascii="宋体" w:eastAsia="宋体" w:hAnsi="宋体" w:cs="宋体"/>
                <w:b w:val="0"/>
                <w:i w:val="0"/>
                <w:color w:val="000000"/>
                <w:sz w:val="14"/>
              </w:rPr>
              <w:t xml:space="preserve">79.20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71.19</w:t>
            </w:r>
          </w:p>
        </w:tc>
        <w:tc>
          <w:tcPr>
            <w:tcW w:w="1060" w:type="dxa"/>
            <w:tcBorders/>
            <w:vAlign w:val="center"/>
          </w:tcPr>
          <w:p>
            <w:pPr>
              <w:jc w:val="right"/>
            </w:pPr>
            <w:r>
              <w:rPr>
                <w:rFonts w:ascii="宋体" w:eastAsia="宋体" w:hAnsi="宋体" w:cs="宋体"/>
                <w:b w:val="0"/>
                <w:i w:val="0"/>
                <w:color w:val="000000"/>
                <w:sz w:val="14"/>
              </w:rPr>
              <w:t xml:space="preserve">71.19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7.47</w:t>
            </w:r>
          </w:p>
        </w:tc>
        <w:tc>
          <w:tcPr>
            <w:tcW w:w="1060" w:type="dxa"/>
            <w:tcBorders/>
            <w:vAlign w:val="center"/>
          </w:tcPr>
          <w:p>
            <w:pPr>
              <w:jc w:val="right"/>
            </w:pPr>
            <w:r>
              <w:rPr>
                <w:rFonts w:ascii="宋体" w:eastAsia="宋体" w:hAnsi="宋体" w:cs="宋体"/>
                <w:b w:val="0"/>
                <w:i w:val="0"/>
                <w:color w:val="000000"/>
                <w:sz w:val="14"/>
              </w:rPr>
              <w:t xml:space="preserve">7.47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28.75</w:t>
            </w:r>
          </w:p>
        </w:tc>
        <w:tc>
          <w:tcPr>
            <w:tcW w:w="1060" w:type="dxa"/>
            <w:tcBorders/>
            <w:vAlign w:val="center"/>
          </w:tcPr>
          <w:p>
            <w:pPr>
              <w:jc w:val="right"/>
            </w:pPr>
            <w:r>
              <w:rPr>
                <w:rFonts w:ascii="宋体" w:eastAsia="宋体" w:hAnsi="宋体" w:cs="宋体"/>
                <w:b w:val="0"/>
                <w:i w:val="0"/>
                <w:color w:val="000000"/>
                <w:sz w:val="14"/>
              </w:rPr>
              <w:t xml:space="preserve">28.75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28.75</w:t>
            </w:r>
          </w:p>
        </w:tc>
        <w:tc>
          <w:tcPr>
            <w:tcW w:w="1060" w:type="dxa"/>
            <w:tcBorders/>
            <w:vAlign w:val="center"/>
          </w:tcPr>
          <w:p>
            <w:pPr>
              <w:jc w:val="right"/>
            </w:pPr>
            <w:r>
              <w:rPr>
                <w:rFonts w:ascii="宋体" w:eastAsia="宋体" w:hAnsi="宋体" w:cs="宋体"/>
                <w:b w:val="0"/>
                <w:i w:val="0"/>
                <w:color w:val="000000"/>
                <w:sz w:val="14"/>
              </w:rPr>
              <w:t xml:space="preserve">28.75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jc w:val="right"/>
            </w:pPr>
            <w:r>
              <w:rPr>
                <w:rFonts w:ascii="宋体" w:eastAsia="宋体" w:hAnsi="宋体" w:cs="宋体"/>
                <w:b w:val="0"/>
                <w:i w:val="0"/>
                <w:color w:val="000000"/>
                <w:sz w:val="14"/>
              </w:rPr>
              <w:t xml:space="preserve">19.76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jc w:val="right"/>
            </w:pPr>
            <w:r>
              <w:rPr>
                <w:rFonts w:ascii="宋体" w:eastAsia="宋体" w:hAnsi="宋体" w:cs="宋体"/>
                <w:b w:val="0"/>
                <w:i w:val="0"/>
                <w:color w:val="000000"/>
                <w:sz w:val="14"/>
              </w:rPr>
              <w:t xml:space="preserve">8.99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6,233.53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2169901</w:t>
            </w:r>
          </w:p>
        </w:tc>
        <w:tc>
          <w:tcPr>
            <w:tcW w:w="3440" w:type="dxa"/>
            <w:tcBorders/>
            <w:vAlign w:val="center"/>
          </w:tcPr>
          <w:p>
            <w:pPr>
              <w:jc w:val="left"/>
            </w:pPr>
            <w:r>
              <w:rPr>
                <w:rFonts w:ascii="宋体" w:eastAsia="宋体" w:hAnsi="宋体" w:cs="宋体"/>
                <w:b w:val="0"/>
                <w:i w:val="0"/>
                <w:color w:val="000000"/>
                <w:sz w:val="14"/>
              </w:rPr>
              <w:t xml:space="preserve">服务业基础设施建设</w:t>
            </w:r>
          </w:p>
        </w:tc>
        <w:tc>
          <w:tcPr>
            <w:tcW w:w="1060" w:type="dxa"/>
            <w:tcBorders/>
            <w:vAlign w:val="center"/>
          </w:tcPr>
          <w:p>
            <w:pPr>
              <w:jc w:val="right"/>
            </w:pPr>
            <w:r>
              <w:rPr>
                <w:rFonts w:ascii="宋体" w:eastAsia="宋体" w:hAnsi="宋体" w:cs="宋体"/>
                <w:b w:val="0"/>
                <w:i w:val="0"/>
                <w:color w:val="000000"/>
                <w:sz w:val="14"/>
              </w:rPr>
              <w:t xml:space="preserve">8.11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6,225.42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6,225.42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77.09</w:t>
            </w:r>
          </w:p>
        </w:tc>
        <w:tc>
          <w:tcPr>
            <w:tcW w:w="1060" w:type="dxa"/>
            <w:tcBorders/>
            <w:vAlign w:val="center"/>
          </w:tcPr>
          <w:p>
            <w:pPr>
              <w:jc w:val="right"/>
            </w:pPr>
            <w:r>
              <w:rPr>
                <w:rFonts w:ascii="宋体" w:eastAsia="宋体" w:hAnsi="宋体" w:cs="宋体"/>
                <w:b w:val="0"/>
                <w:i w:val="0"/>
                <w:color w:val="000000"/>
                <w:sz w:val="14"/>
              </w:rPr>
              <w:t xml:space="preserve">77.09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77.09</w:t>
            </w:r>
          </w:p>
        </w:tc>
        <w:tc>
          <w:tcPr>
            <w:tcW w:w="1060" w:type="dxa"/>
            <w:tcBorders/>
            <w:vAlign w:val="center"/>
          </w:tcPr>
          <w:p>
            <w:pPr>
              <w:jc w:val="right"/>
            </w:pPr>
            <w:r>
              <w:rPr>
                <w:rFonts w:ascii="宋体" w:eastAsia="宋体" w:hAnsi="宋体" w:cs="宋体"/>
                <w:b w:val="0"/>
                <w:i w:val="0"/>
                <w:color w:val="000000"/>
                <w:sz w:val="14"/>
              </w:rPr>
              <w:t xml:space="preserve">77.09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77.09</w:t>
            </w:r>
          </w:p>
        </w:tc>
        <w:tc>
          <w:tcPr>
            <w:tcW w:w="1060" w:type="dxa"/>
            <w:tcBorders/>
            <w:vAlign w:val="center"/>
          </w:tcPr>
          <w:p>
            <w:pPr>
              <w:jc w:val="right"/>
            </w:pPr>
            <w:r>
              <w:rPr>
                <w:rFonts w:ascii="宋体" w:eastAsia="宋体" w:hAnsi="宋体" w:cs="宋体"/>
                <w:b w:val="0"/>
                <w:i w:val="0"/>
                <w:color w:val="000000"/>
                <w:sz w:val="14"/>
              </w:rPr>
              <w:t xml:space="preserve">77.09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8,039.44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1,620.86</w:t>
            </w:r>
          </w:p>
        </w:tc>
        <w:tc>
          <w:tcPr>
            <w:tcW w:w="1100" w:type="dxa"/>
            <w:tcBorders/>
            <w:vAlign w:val="center"/>
          </w:tcPr>
          <w:p>
            <w:pPr>
              <w:jc w:val="right"/>
            </w:pPr>
            <w:r>
              <w:rPr>
                <w:rFonts w:ascii="宋体" w:eastAsia="宋体" w:hAnsi="宋体" w:cs="宋体"/>
                <w:b w:val="0"/>
                <w:i w:val="0"/>
                <w:color w:val="000000"/>
                <w:sz w:val="14"/>
              </w:rPr>
              <w:t xml:space="preserve">1,620.86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79.20</w:t>
            </w:r>
          </w:p>
        </w:tc>
        <w:tc>
          <w:tcPr>
            <w:tcW w:w="1100" w:type="dxa"/>
            <w:tcBorders/>
            <w:vAlign w:val="center"/>
          </w:tcPr>
          <w:p>
            <w:pPr>
              <w:jc w:val="right"/>
            </w:pPr>
            <w:r>
              <w:rPr>
                <w:rFonts w:ascii="宋体" w:eastAsia="宋体" w:hAnsi="宋体" w:cs="宋体"/>
                <w:b w:val="0"/>
                <w:i w:val="0"/>
                <w:color w:val="000000"/>
                <w:sz w:val="14"/>
              </w:rPr>
              <w:t xml:space="preserve">79.20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28.76</w:t>
            </w:r>
          </w:p>
        </w:tc>
        <w:tc>
          <w:tcPr>
            <w:tcW w:w="1100" w:type="dxa"/>
            <w:tcBorders/>
            <w:vAlign w:val="center"/>
          </w:tcPr>
          <w:p>
            <w:pPr>
              <w:jc w:val="right"/>
            </w:pPr>
            <w:r>
              <w:rPr>
                <w:rFonts w:ascii="宋体" w:eastAsia="宋体" w:hAnsi="宋体" w:cs="宋体"/>
                <w:b w:val="0"/>
                <w:i w:val="0"/>
                <w:color w:val="000000"/>
                <w:sz w:val="14"/>
              </w:rPr>
              <w:t xml:space="preserve">28.76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6,233.53</w:t>
            </w:r>
          </w:p>
        </w:tc>
        <w:tc>
          <w:tcPr>
            <w:tcW w:w="1100" w:type="dxa"/>
            <w:tcBorders/>
            <w:vAlign w:val="center"/>
          </w:tcPr>
          <w:p>
            <w:pPr>
              <w:jc w:val="right"/>
            </w:pPr>
            <w:r>
              <w:rPr>
                <w:rFonts w:ascii="宋体" w:eastAsia="宋体" w:hAnsi="宋体" w:cs="宋体"/>
                <w:b w:val="0"/>
                <w:i w:val="0"/>
                <w:color w:val="000000"/>
                <w:sz w:val="14"/>
              </w:rPr>
              <w:t xml:space="preserve">6,233.53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77.09</w:t>
            </w:r>
          </w:p>
        </w:tc>
        <w:tc>
          <w:tcPr>
            <w:tcW w:w="1100" w:type="dxa"/>
            <w:tcBorders/>
            <w:vAlign w:val="center"/>
          </w:tcPr>
          <w:p>
            <w:pPr>
              <w:jc w:val="right"/>
            </w:pPr>
            <w:r>
              <w:rPr>
                <w:rFonts w:ascii="宋体" w:eastAsia="宋体" w:hAnsi="宋体" w:cs="宋体"/>
                <w:b w:val="0"/>
                <w:i w:val="0"/>
                <w:color w:val="000000"/>
                <w:sz w:val="14"/>
              </w:rPr>
              <w:t xml:space="preserve">77.09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8,039.44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8,039.44</w:t>
            </w:r>
          </w:p>
        </w:tc>
        <w:tc>
          <w:tcPr>
            <w:tcW w:w="1100" w:type="dxa"/>
            <w:tcBorders/>
            <w:vAlign w:val="center"/>
          </w:tcPr>
          <w:p>
            <w:pPr>
              <w:jc w:val="right"/>
            </w:pPr>
            <w:r>
              <w:rPr>
                <w:rFonts w:ascii="宋体" w:eastAsia="宋体" w:hAnsi="宋体" w:cs="宋体"/>
                <w:b w:val="0"/>
                <w:i w:val="0"/>
                <w:color w:val="000000"/>
                <w:sz w:val="14"/>
              </w:rPr>
              <w:t xml:space="preserve">8,039.44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8,039.44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8,039.44</w:t>
            </w:r>
          </w:p>
        </w:tc>
        <w:tc>
          <w:tcPr>
            <w:tcW w:w="1100" w:type="dxa"/>
            <w:tcBorders/>
            <w:vAlign w:val="center"/>
          </w:tcPr>
          <w:p>
            <w:pPr>
              <w:jc w:val="right"/>
            </w:pPr>
            <w:r>
              <w:rPr>
                <w:rFonts w:ascii="宋体" w:eastAsia="宋体" w:hAnsi="宋体" w:cs="宋体"/>
                <w:b w:val="0"/>
                <w:i w:val="0"/>
                <w:color w:val="000000"/>
                <w:sz w:val="14"/>
              </w:rPr>
              <w:t xml:space="preserve">8,039.44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8,039.44</w:t>
            </w:r>
          </w:p>
        </w:tc>
        <w:tc>
          <w:tcPr>
            <w:tcW w:w="1780" w:type="dxa"/>
            <w:tcBorders/>
            <w:vAlign w:val="center"/>
          </w:tcPr>
          <w:p>
            <w:pPr>
              <w:jc w:val="right"/>
            </w:pPr>
            <w:r>
              <w:rPr>
                <w:rFonts w:ascii="宋体" w:eastAsia="宋体" w:hAnsi="宋体" w:cs="宋体"/>
                <w:b/>
                <w:i w:val="0"/>
                <w:color w:val="000000"/>
                <w:sz w:val="18"/>
              </w:rPr>
              <w:t xml:space="preserve">753.14</w:t>
            </w:r>
          </w:p>
        </w:tc>
        <w:tc>
          <w:tcPr>
            <w:tcW w:w="1772" w:type="dxa"/>
            <w:tcBorders/>
            <w:vAlign w:val="center"/>
          </w:tcPr>
          <w:p>
            <w:pPr>
              <w:jc w:val="right"/>
            </w:pPr>
            <w:r>
              <w:rPr>
                <w:rFonts w:ascii="宋体" w:eastAsia="宋体" w:hAnsi="宋体" w:cs="宋体"/>
                <w:b/>
                <w:i w:val="0"/>
                <w:color w:val="000000"/>
                <w:sz w:val="18"/>
              </w:rPr>
              <w:t xml:space="preserve">7,286.30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1,620.87</w:t>
            </w:r>
          </w:p>
        </w:tc>
        <w:tc>
          <w:tcPr>
            <w:tcW w:w="1780" w:type="dxa"/>
            <w:tcBorders/>
            <w:vAlign w:val="center"/>
          </w:tcPr>
          <w:p>
            <w:pPr>
              <w:jc w:val="right"/>
            </w:pPr>
            <w:r>
              <w:rPr>
                <w:rFonts w:ascii="宋体" w:eastAsia="宋体" w:hAnsi="宋体" w:cs="宋体"/>
                <w:b w:val="0"/>
                <w:i w:val="0"/>
                <w:color w:val="000000"/>
                <w:sz w:val="18"/>
              </w:rPr>
              <w:t xml:space="preserve">568.09</w:t>
            </w:r>
          </w:p>
        </w:tc>
        <w:tc>
          <w:tcPr>
            <w:tcW w:w="1772" w:type="dxa"/>
            <w:tcBorders/>
            <w:vAlign w:val="center"/>
          </w:tcPr>
          <w:p>
            <w:pPr>
              <w:jc w:val="right"/>
            </w:pPr>
            <w:r>
              <w:rPr>
                <w:rFonts w:ascii="宋体" w:eastAsia="宋体" w:hAnsi="宋体" w:cs="宋体"/>
                <w:b w:val="0"/>
                <w:i w:val="0"/>
                <w:color w:val="000000"/>
                <w:sz w:val="18"/>
              </w:rPr>
              <w:t xml:space="preserve">1,052.78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1,620.87</w:t>
            </w:r>
          </w:p>
        </w:tc>
        <w:tc>
          <w:tcPr>
            <w:tcW w:w="1780" w:type="dxa"/>
            <w:tcBorders/>
            <w:vAlign w:val="center"/>
          </w:tcPr>
          <w:p>
            <w:pPr>
              <w:jc w:val="right"/>
            </w:pPr>
            <w:r>
              <w:rPr>
                <w:rFonts w:ascii="宋体" w:eastAsia="宋体" w:hAnsi="宋体" w:cs="宋体"/>
                <w:b w:val="0"/>
                <w:i w:val="0"/>
                <w:color w:val="000000"/>
                <w:sz w:val="18"/>
              </w:rPr>
              <w:t xml:space="preserve">568.09</w:t>
            </w:r>
          </w:p>
        </w:tc>
        <w:tc>
          <w:tcPr>
            <w:tcW w:w="1772" w:type="dxa"/>
            <w:tcBorders/>
            <w:vAlign w:val="center"/>
          </w:tcPr>
          <w:p>
            <w:pPr>
              <w:jc w:val="right"/>
            </w:pPr>
            <w:r>
              <w:rPr>
                <w:rFonts w:ascii="宋体" w:eastAsia="宋体" w:hAnsi="宋体" w:cs="宋体"/>
                <w:b w:val="0"/>
                <w:i w:val="0"/>
                <w:color w:val="000000"/>
                <w:sz w:val="18"/>
              </w:rPr>
              <w:t xml:space="preserve">1,052.78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407.23</w:t>
            </w:r>
          </w:p>
        </w:tc>
        <w:tc>
          <w:tcPr>
            <w:tcW w:w="1780" w:type="dxa"/>
            <w:tcBorders/>
            <w:vAlign w:val="center"/>
          </w:tcPr>
          <w:p>
            <w:pPr>
              <w:jc w:val="right"/>
            </w:pPr>
            <w:r>
              <w:rPr>
                <w:rFonts w:ascii="宋体" w:eastAsia="宋体" w:hAnsi="宋体" w:cs="宋体"/>
                <w:b w:val="0"/>
                <w:i w:val="0"/>
                <w:color w:val="000000"/>
                <w:sz w:val="18"/>
              </w:rPr>
              <w:t xml:space="preserve">407.23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94.43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94.43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2010306</w:t>
            </w:r>
          </w:p>
        </w:tc>
        <w:tc>
          <w:tcPr>
            <w:tcW w:w="4300" w:type="dxa"/>
            <w:tcBorders/>
            <w:vAlign w:val="center"/>
          </w:tcPr>
          <w:p>
            <w:pPr>
              <w:jc w:val="left"/>
            </w:pPr>
            <w:r>
              <w:rPr>
                <w:rFonts w:ascii="宋体" w:eastAsia="宋体" w:hAnsi="宋体" w:cs="宋体"/>
                <w:b w:val="0"/>
                <w:i w:val="0"/>
                <w:color w:val="000000"/>
                <w:sz w:val="18"/>
              </w:rPr>
              <w:t xml:space="preserve">政务公开审批</w:t>
            </w:r>
          </w:p>
        </w:tc>
        <w:tc>
          <w:tcPr>
            <w:tcW w:w="1780" w:type="dxa"/>
            <w:tcBorders/>
            <w:vAlign w:val="center"/>
          </w:tcPr>
          <w:p>
            <w:pPr>
              <w:jc w:val="right"/>
            </w:pPr>
            <w:r>
              <w:rPr>
                <w:rFonts w:ascii="宋体" w:eastAsia="宋体" w:hAnsi="宋体" w:cs="宋体"/>
                <w:b w:val="0"/>
                <w:i w:val="0"/>
                <w:color w:val="000000"/>
                <w:sz w:val="18"/>
              </w:rPr>
              <w:t xml:space="preserve">956.58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956.58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160.86</w:t>
            </w:r>
          </w:p>
        </w:tc>
        <w:tc>
          <w:tcPr>
            <w:tcW w:w="1780" w:type="dxa"/>
            <w:tcBorders/>
            <w:vAlign w:val="center"/>
          </w:tcPr>
          <w:p>
            <w:pPr>
              <w:jc w:val="right"/>
            </w:pPr>
            <w:r>
              <w:rPr>
                <w:rFonts w:ascii="宋体" w:eastAsia="宋体" w:hAnsi="宋体" w:cs="宋体"/>
                <w:b w:val="0"/>
                <w:i w:val="0"/>
                <w:color w:val="000000"/>
                <w:sz w:val="18"/>
              </w:rPr>
              <w:t xml:space="preserve">160.86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79.20</w:t>
            </w:r>
          </w:p>
        </w:tc>
        <w:tc>
          <w:tcPr>
            <w:tcW w:w="1780" w:type="dxa"/>
            <w:tcBorders/>
            <w:vAlign w:val="center"/>
          </w:tcPr>
          <w:p>
            <w:pPr>
              <w:jc w:val="right"/>
            </w:pPr>
            <w:r>
              <w:rPr>
                <w:rFonts w:ascii="宋体" w:eastAsia="宋体" w:hAnsi="宋体" w:cs="宋体"/>
                <w:b w:val="0"/>
                <w:i w:val="0"/>
                <w:color w:val="000000"/>
                <w:sz w:val="18"/>
              </w:rPr>
              <w:t xml:space="preserve">79.20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79.20</w:t>
            </w:r>
          </w:p>
        </w:tc>
        <w:tc>
          <w:tcPr>
            <w:tcW w:w="1780" w:type="dxa"/>
            <w:tcBorders/>
            <w:vAlign w:val="center"/>
          </w:tcPr>
          <w:p>
            <w:pPr>
              <w:jc w:val="right"/>
            </w:pPr>
            <w:r>
              <w:rPr>
                <w:rFonts w:ascii="宋体" w:eastAsia="宋体" w:hAnsi="宋体" w:cs="宋体"/>
                <w:b w:val="0"/>
                <w:i w:val="0"/>
                <w:color w:val="000000"/>
                <w:sz w:val="18"/>
              </w:rPr>
              <w:t xml:space="preserve">79.20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71.19</w:t>
            </w:r>
          </w:p>
        </w:tc>
        <w:tc>
          <w:tcPr>
            <w:tcW w:w="1780" w:type="dxa"/>
            <w:tcBorders/>
            <w:vAlign w:val="center"/>
          </w:tcPr>
          <w:p>
            <w:pPr>
              <w:jc w:val="right"/>
            </w:pPr>
            <w:r>
              <w:rPr>
                <w:rFonts w:ascii="宋体" w:eastAsia="宋体" w:hAnsi="宋体" w:cs="宋体"/>
                <w:b w:val="0"/>
                <w:i w:val="0"/>
                <w:color w:val="000000"/>
                <w:sz w:val="18"/>
              </w:rPr>
              <w:t xml:space="preserve">71.19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7.47</w:t>
            </w:r>
          </w:p>
        </w:tc>
        <w:tc>
          <w:tcPr>
            <w:tcW w:w="1780" w:type="dxa"/>
            <w:tcBorders/>
            <w:vAlign w:val="center"/>
          </w:tcPr>
          <w:p>
            <w:pPr>
              <w:jc w:val="right"/>
            </w:pPr>
            <w:r>
              <w:rPr>
                <w:rFonts w:ascii="宋体" w:eastAsia="宋体" w:hAnsi="宋体" w:cs="宋体"/>
                <w:b w:val="0"/>
                <w:i w:val="0"/>
                <w:color w:val="000000"/>
                <w:sz w:val="18"/>
              </w:rPr>
              <w:t xml:space="preserve">7.47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28.75</w:t>
            </w:r>
          </w:p>
        </w:tc>
        <w:tc>
          <w:tcPr>
            <w:tcW w:w="1780" w:type="dxa"/>
            <w:tcBorders/>
            <w:vAlign w:val="center"/>
          </w:tcPr>
          <w:p>
            <w:pPr>
              <w:jc w:val="right"/>
            </w:pPr>
            <w:r>
              <w:rPr>
                <w:rFonts w:ascii="宋体" w:eastAsia="宋体" w:hAnsi="宋体" w:cs="宋体"/>
                <w:b w:val="0"/>
                <w:i w:val="0"/>
                <w:color w:val="000000"/>
                <w:sz w:val="18"/>
              </w:rPr>
              <w:t xml:space="preserve">28.75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28.75</w:t>
            </w:r>
          </w:p>
        </w:tc>
        <w:tc>
          <w:tcPr>
            <w:tcW w:w="1780" w:type="dxa"/>
            <w:tcBorders/>
            <w:vAlign w:val="center"/>
          </w:tcPr>
          <w:p>
            <w:pPr>
              <w:jc w:val="right"/>
            </w:pPr>
            <w:r>
              <w:rPr>
                <w:rFonts w:ascii="宋体" w:eastAsia="宋体" w:hAnsi="宋体" w:cs="宋体"/>
                <w:b w:val="0"/>
                <w:i w:val="0"/>
                <w:color w:val="000000"/>
                <w:sz w:val="18"/>
              </w:rPr>
              <w:t xml:space="preserve">28.75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80" w:type="dxa"/>
            <w:tcBorders/>
            <w:vAlign w:val="center"/>
          </w:tcPr>
          <w:p>
            <w:pPr>
              <w:jc w:val="right"/>
            </w:pPr>
            <w:r>
              <w:rPr>
                <w:rFonts w:ascii="宋体" w:eastAsia="宋体" w:hAnsi="宋体" w:cs="宋体"/>
                <w:b w:val="0"/>
                <w:i w:val="0"/>
                <w:color w:val="000000"/>
                <w:sz w:val="18"/>
              </w:rPr>
              <w:t xml:space="preserve">19.76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80" w:type="dxa"/>
            <w:tcBorders/>
            <w:vAlign w:val="center"/>
          </w:tcPr>
          <w:p>
            <w:pPr>
              <w:jc w:val="right"/>
            </w:pPr>
            <w:r>
              <w:rPr>
                <w:rFonts w:ascii="宋体" w:eastAsia="宋体" w:hAnsi="宋体" w:cs="宋体"/>
                <w:b w:val="0"/>
                <w:i w:val="0"/>
                <w:color w:val="000000"/>
                <w:sz w:val="18"/>
              </w:rPr>
              <w:t xml:space="preserve">8.99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6,233.53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6,233.53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6,233.53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6,233.53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2169901</w:t>
            </w:r>
          </w:p>
        </w:tc>
        <w:tc>
          <w:tcPr>
            <w:tcW w:w="4300" w:type="dxa"/>
            <w:tcBorders/>
            <w:vAlign w:val="center"/>
          </w:tcPr>
          <w:p>
            <w:pPr>
              <w:jc w:val="left"/>
            </w:pPr>
            <w:r>
              <w:rPr>
                <w:rFonts w:ascii="宋体" w:eastAsia="宋体" w:hAnsi="宋体" w:cs="宋体"/>
                <w:b w:val="0"/>
                <w:i w:val="0"/>
                <w:color w:val="000000"/>
                <w:sz w:val="18"/>
              </w:rPr>
              <w:t xml:space="preserve">服务业基础设施建设</w:t>
            </w:r>
          </w:p>
        </w:tc>
        <w:tc>
          <w:tcPr>
            <w:tcW w:w="1780" w:type="dxa"/>
            <w:tcBorders/>
            <w:vAlign w:val="center"/>
          </w:tcPr>
          <w:p>
            <w:pPr>
              <w:jc w:val="right"/>
            </w:pPr>
            <w:r>
              <w:rPr>
                <w:rFonts w:ascii="宋体" w:eastAsia="宋体" w:hAnsi="宋体" w:cs="宋体"/>
                <w:b w:val="0"/>
                <w:i w:val="0"/>
                <w:color w:val="000000"/>
                <w:sz w:val="18"/>
              </w:rPr>
              <w:t xml:space="preserve">8.11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6,225.42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6,225.42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77.09</w:t>
            </w:r>
          </w:p>
        </w:tc>
        <w:tc>
          <w:tcPr>
            <w:tcW w:w="1780" w:type="dxa"/>
            <w:tcBorders/>
            <w:vAlign w:val="center"/>
          </w:tcPr>
          <w:p>
            <w:pPr>
              <w:jc w:val="right"/>
            </w:pPr>
            <w:r>
              <w:rPr>
                <w:rFonts w:ascii="宋体" w:eastAsia="宋体" w:hAnsi="宋体" w:cs="宋体"/>
                <w:b w:val="0"/>
                <w:i w:val="0"/>
                <w:color w:val="000000"/>
                <w:sz w:val="18"/>
              </w:rPr>
              <w:t xml:space="preserve">77.09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77.09</w:t>
            </w:r>
          </w:p>
        </w:tc>
        <w:tc>
          <w:tcPr>
            <w:tcW w:w="1780" w:type="dxa"/>
            <w:tcBorders/>
            <w:vAlign w:val="center"/>
          </w:tcPr>
          <w:p>
            <w:pPr>
              <w:jc w:val="right"/>
            </w:pPr>
            <w:r>
              <w:rPr>
                <w:rFonts w:ascii="宋体" w:eastAsia="宋体" w:hAnsi="宋体" w:cs="宋体"/>
                <w:b w:val="0"/>
                <w:i w:val="0"/>
                <w:color w:val="000000"/>
                <w:sz w:val="18"/>
              </w:rPr>
              <w:t xml:space="preserve">77.09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77.09</w:t>
            </w:r>
          </w:p>
        </w:tc>
        <w:tc>
          <w:tcPr>
            <w:tcW w:w="1780" w:type="dxa"/>
            <w:tcBorders/>
            <w:vAlign w:val="center"/>
          </w:tcPr>
          <w:p>
            <w:pPr>
              <w:jc w:val="right"/>
            </w:pPr>
            <w:r>
              <w:rPr>
                <w:rFonts w:ascii="宋体" w:eastAsia="宋体" w:hAnsi="宋体" w:cs="宋体"/>
                <w:b w:val="0"/>
                <w:i w:val="0"/>
                <w:color w:val="000000"/>
                <w:sz w:val="18"/>
              </w:rPr>
              <w:t xml:space="preserve">77.09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690.89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61.71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188.58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6.91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101.99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0.38</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117.38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15.94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80.33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71.19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7.47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26.38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28.76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2.17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77.09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3.96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24.01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691.44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61.71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部门：辽宁省沈阳市浑南区营商环境建设局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022001沈阳市浑区营商环境建设局本级-210112000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620.73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620.73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022002沈阳市浑南区营商环境建设事务服务中心-210112000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250.73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250.73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2024年持续推进审批业务改革，持续优化营商环境，完成浑南会客厅建设工作，完成浑南区企业登记工作，打造良好营商环境，提高企业群众对审批工作满意度。</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窗口服务效率满意度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多方联动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建设工程文件的归档整理工作，完善规范档案制度，建立完整、准确的工程档案，确保日后工作有件可查。进一步提高城建档案查询速度，实现档案计算机系统化查询，为企为民节约查询时间，提高查询准确率，优化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建设工程文件的归档整理工作，完善规范档案制度，建立完整、准确的工程档案，确保日后工作有件可查。进一步提高城建档案查询速度，实现档案计算机系统化查询，为企为民节约查询时间，提高查询准确率，优化营商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按时完成数字档案加工工作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档案管理制度健全性对高效工作的影响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其他:此费用为以前年度欠款，我单位已请款，但未拨付本年度此项费用，建议下年度继续安排。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改革成本支出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为提高服务效能，降低群众负担成本，浑南会客厅为需求用户提供免费刻章服务。从而达到增强企业和群众办事的便利度、满意度，提高企业用户对营商环境改革获得感的目的。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为提高服务效能，降低群众负担成本，浑南会客厅为需求用户提供免费刻章服务，从而达到增强企业和群众办事的便利度、满意度，提高企业用户对营商环境改革获得感的目的。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经费保障:本年度财政拨付款项为以前年度陈欠款，本年度产生的经费未拨付，建议下年度继续安排。</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购买服务岗位补充经费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优化产业服务，提高服务质量，促进区域经济快速发展，浑南区“浑南会客厅”采取自第三方公司购买服务的模式为企业提供优质全流程政务帮办服务。浑南区营商局需与沈阳高新发展投资控股集团有限公司重新签订《产业服务合同》，分派64名工作人员入驻浑南会客厅，提供面向驻区企业的政务审批对接服务，全程免费代办业务，审批预审，踏勘VIP服务等相关工作。全年购买服务费用合计966.98万元，让高素质服务团队为企业申请人提供高品质、高质量涉企帮办服务。为提升浑南区人才家园服务厅整体服务质量，打造高标准优服务的营商环境，我区建设了浑南区人才家园服务厅。现2024年需费用75万元，保障人才服务家园厅顺利运行并提供优质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是重树服务理念。以“三同、三心”服务理念，创新打造涉企审批大厅。二是创新受理模式。按照“前台综合受理、后台分类审批”模式，全面推行卡座式、无差别综合受理。三是提升服务能力。高学历服务团队全程免费帮代办，服务企业全生命周期1000余项业务。四是丰富功能定位。打造集人才、金融、法律、科技、外事、党建等“六位一体”综合服务大厅，满足企业一站式、综合化服务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6.723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减轻企业负担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减少步骤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参与工程建设项目审批相关主管部门机关各处室及直属单位满意度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2857.94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租用创新天地办公场地，保障沈阳市浑南区营商环境建设局（沈阳市浑南区行政审批局）、浑南会客厅及涉及各审批单位及部门的日常工作，保障审批工作有序进行。突破传统审批办事服务模式，通过专业化队伍全程帮办，一站式服务，以“您的事就是我的事”为服务宗旨，让企业办事更加方便快捷，真正做到把“困难”留给政府，把“方便”留给企业。 实行不见面审批。“会客厅”通过“前台综合受理、后台分类审批、结果统一发证”的模式，实现了企业和审批工作人员的不见面审批，让数据多跑路，人员少跑腿。为企业及群众提供更为舒适的办事环境，提高群众满意度，为市场主体经营活动打造最优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基础业务培训费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全区思想认识，牢固树立服务意识，提高服务质量，促进营商环境服务水平迈向新高度。为确保在全市营商环境评价工作中始终保持排名第一，将定期举办培训会，提升工作人员综合素质，提升整体营商环境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全区思想认识，牢固树立服务意识，提高服务质量，促进营商环境服务水平迈向新高度。为确保在全市营商环境评价工作中始终保持排名第一，将定期举办培训会，提升工作人员综合素质，提升整体营商环境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经费保障:由于财政资金紧张，本年度仅赴上海及江苏苏州进行调研活动，未举行培训活动，建议下年度继续安排。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全年按时足额缴纳残疾人就业保障金。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全年按时足额缴纳残疾人就业保障金。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1671.05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年度社保和个税缴纳的合规性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经营成本性支出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完善便民设施，为办事企业和群众营造更加舒适有序的办事环境，浑南会客厅设立免费水吧区域，为来访人员提供纸杯、柠檬片、胎菊、冰糖、咖啡等茶饮，预计每天接待1000位办事群众，从而达到提高群众满意度、提升政务服务水平，强化细节服务的目的，满足来访企业用户、群众的基本需求。浑南会客厅想企业用户及群众之所想，力求做到有求必应。为会客厅来访人员设立会客厅及8楼大厅两处免费打印点。打印点为办理人员免费复印身份证、医保卡、户口本等证照。同时，为来访群众提供回形针、塑料拉链袋、资料整理盒、铅笔、黑色笔、印台印泥、胶棒等办公用品；力求达到打造高效快捷，便民温馨的政务服务环境的目的，满足来访企业用户、群众顺利办理业务的基本需求，最大程度方便群众企业办事。为完善“浑南会客厅”项目，更好服务办事群众，为群众提供更方便的咨询解答，提高群众办事速度以及工作人员办事效率，会客厅设置服务电话15台，提升办事群众办理业务方便程度及效率满意度。为完善“浑南会客厅”项目，更好服务办事群众，优化会客厅环境费用，达到优化“浑南会客厅”办公环境、营造整洁、美观工作环境的目的，为来访用户开启全新视觉体验，提升办事群众对办理业务环境满意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了办事群众办理业务方便程度及效率满意度，完善了“浑南会客厅”项目，更好服务办事群众，优化会客厅环境费用，达到了优化“浑南会客厅”办公环境、营造整洁、美观工作环境的目的，为来访用户开启全新视觉体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58.63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持续优化营商环境，打造企业网络优质服务平台，助力区域内企业及地区经济社会发展。提高审批效率，保证部门与业务主管部门信息及时、顺畅沟通，降低行政成本，确保相关业务顺利办理。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持续优化营商环境，打造企业网络优质服务平台，助力区域内企业及地区经济社会发展。提高审批效率，保证部门与业务主管部门信息及时、顺畅沟通，降低行政成本，确保相关业务顺利办理。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互联网宽带租赁费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绿化改造工程造价咨询费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合理收费依据，作为绿化改造项目押金收取依据，为保证申请单位保质保量完成改造任务，为后期改造工作提供抓手。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合理收费依据，作为绿化改造项目押金收取依据，为保证申请单位保质保量完成改造任务，为后期改造工作提供抓手。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经费保障:本年度根据审批业务需要，对中共沈阳市委党校绿化提升改造工程进行预算编制咨询审批。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56.04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排水审批专家评审费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严格按照随机抽取方式进行排水评审专家确定，为开发企业做好服务。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完成本年度排水审批评审任务。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良好的保障沈阳市浑南区营商环境建设局（沈阳市浑南区行政审批局）、浑南会客厅及涉及各审批单位及部门的日常工作，保障审批工作有序进行。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为实现优化审批服务，提高审批效率，更好服务企业，提升企业满意度的目标，商事登记审批科对标先进，聚焦重点，全力打造一流营商环境，让服务多跑路，群众少跑腿。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实现优化审批服务，提高审批效率，更好服务企业，提升企业满意度的目标，商事登记审批科对标先进，聚焦重点，全力打造一流营商环境，让服务多跑路，群众少跑腿。</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55.01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软件购买经费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为进一步优化投资软环境，达到便企利民的目的，建设“浑南会客厅”项目，集中办理涉企行政审批和相关业务。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实现优化审批服务，提高审批效率，更好服务企业，提升企业满意度的目标，聚焦重点，全力打造一流营商环境，让服务多跑路，群众少跑腿。</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参与工程建设项目审批相关主管部门机关各处室及直属单位满意度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水利项目审批专家评审费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审批部门在审批过程中委托开展的技术性服务活动，服务费用一律由审批部门支付并纳入部门预算，严禁将政府部门承担的费用转嫁给企业，减轻企业负担，保证评审的公正。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审批部门在审批过程中委托开展的技术性服务活动，服务费用一律由审批部门支付并纳入部门预算，严禁将政府部门承担的费用转嫁给企业，减轻企业负担，保证评审的公正。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5.146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其他:评审项目数量根据当年企业申报项目数量决定，故无法准确预测，仅根据往年数量进行预测，建议继续安排。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1355.39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租用创新天地办公场地，保障沈阳市浑南区营商环境建设局（沈阳市浑南区行政审批局）、浑南会客厅及涉及各审批单位及部门的日常工作，保障审批工作有序进行。突破传统审批办事服务模式，通过专业化队伍全程帮办，一站式服务，以“您的事就是我的事”为服务宗旨，让企业办事更加方便快捷，真正做到把“困难”留给政府，把“方便”留给企业。 实行不见面审批。“会客厅”通过“前台综合受理、后台分类审批、结果统一发证”的模式，实现了企业和审批工作人员的不见面审批，让数据多跑路，人员少跑腿。为企业及群众提供更为舒适的办事环境，提高群众满意度，为市场主体经营活动打造最优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沈阳市浑南区营商环境建设局（沈阳市浑南区行政审批局）、浑南会客厅及涉及各审批单位及部门的日常工作，保障审批工作有序进行。突破传统审批办事服务模式，通过专业化队伍全程帮办，一站式服务，以“您的事就是我的事”为服务宗旨，让企业办事更加方便快捷，真正做到把“困难”留给政府，把“方便”留给企业。 实行不见面审批。“会客厅”通过“前台综合受理、后台分类审批、结果统一发证”的模式，实现了企业和审批工作人员的不见面审批，让数据多跑路，人员少跑腿。为企业及群众提供更为舒适的办事环境，提高群众满意度，为市场主体经营活动打造最优营商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18476.3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消防专家劳务费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聘请2名专家，通过专业技术咨询指导，准确把控国家消防政策文件,确保依法依规审批，因消防审批涉及重大公共安全，因此此项工作可以达到协助依法依规审批，确保审批无疏漏，无错误。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通过专业技术咨询指导，准确把控国家消防政策文件,确保依法依规审批，因消防审批涉及重大公共安全，因此此项工作可以达到协助依法依规审批，确保审批无疏漏，无错误。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目标导向、问题导向、效果导向，实施高标准营商环境助力行动，促进市场环境更优、市场主体活力更强、资源配置效率更高，用专项行动“小切口”推动营商环境“大提升”。动员和引导全区在思想上、政治上、行动上深刻认识优化营商环境的重要性，全力打造市场化法治化国际化营商环境，为浑南区高质量发展提供有力保证。畅通政企沟通渠道。组织开展“营商下午茶”、“企业家看浑南”等活动，与企业面对面交流，倾听企业心声和建议，构建新型“亲”“清”政商关系，现场解决企业生产经营中遇到的困难和问题，浑南区营商局持续发扬“店小二”服务精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目标导向、问题导向、效果导向，实施高标准营商环境助力行动，促进市场环境更优、市场主体活力更强、资源配置效率更高，用专项行动“小切口”推动营商环境“大提升”。共分解任务43项，落实责任单25家，实行周报告、月调度、季通报，确保行动落实落细、取得实效。动员和引导全区在思想上、政治上、行动上深刻认识优化营商环境的重要性，全力打造市场化法治化国际化营商环境，为浑南区高质量发展提供有力保证。畅通政企沟通渠道。组织开展“营商下午茶”、“企业家看浑南”等活动，与企业面对面交流，倾听企业心声和建议，构建新型“亲”“清”政商关系，现场解决企业生产经营中遇到的困难和问题，浑南区营商局持续发扬“店小二”服务精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会议精神贯彻落实到各市简报次数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视频会议正常率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会议培训设施功能运转无故障率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国际重大市场活动会议组织参与企业数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其他:由于举行参会人员数量较少会议主要在我单位会议室举行，不需要支付相关费用，故资金使用未达到预算金额,建议下一年度继续安排。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力宣传我区优化营商环境惠企政策及政企活动，营造浓厚氛围。为提高浑南会客厅、社保分中心及社区便面服务站的政务服务工作的知晓度，让广大用户更进一步了解和认可浑南的政务服务工作，提高群众知晓率和满意率，今年将采取发放制度汇编、宣传指南等宣传材料、充分利用网络宣传、广告播出、宣传片制作、悬挂牌匾、放置立牌等多种举措，加强政务宣传工作，让办事群众切实感受到浑南政务服务工作水平的提升，在群众中形成良好的口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力宣传我区优化营商环境惠企政策及政企活动，营造浓厚氛围。为提高浑南会客厅、社保分中心及社区便面服务站的政务服务工作的知晓度，让广大用户更进一步了解和认可浑南的政务服务工作，提高群众知晓率和满意率，今年将采取发放制度汇编、宣传指南等宣传材料、充分利用网络宣传、广告播出、宣传片制作、悬挂牌匾、放置立牌等多种举措，加强政务宣传工作。让办事群众切实感受到浑南政务服务工作水平的提升，在群众中形成良好的口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宣传资料印刷成本节约度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充分节约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宣传印刷、制作成本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其他:本单位本年度宣传工作多采用小程序公众号等方式，由于财政资金紧张，未拨付宣传费用，部分宣传经费使用办公经费支付。建议继续安排。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邮寄费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为完善服务功能，提升服务形象，会客厅为有需求的用户提供快递邮寄服务，以企业满足为目标，积极服务企业发展。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2024年免费为企业提供邮寄服务，共寄件2354件，企业满意度进一步提升。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政府投资项目审批专家评审费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委托专业机构，通过评审把控政府投资政策、评估项目可行性，审核资金，节约财政成本。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委托专业机构，通过评审把控政府投资政策、评估项目可行性，审核资金，节约财政成本。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经费保障:本年度由于财政资金问题，我单位已请款，但部分经费本年度未拨付，建议下年度继续安排。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注册证照费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服务企业，持续优化区域营商环境建设，助力东北第一区目标早日实现，力争实现浑南区全年新办企业突破10000户，变更企业突破17000户。规范审批文本，为行政许可申请人提供制式法律文书，方便申请人办事，同时，规范相关审批事项的档案，提高工作人员的工作效率和申请人的满意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规范审批文本，为行政许可申请人提供制式法律文书，方便申请人办事，同时，规范相关审批事项的档案，有效提高工作人员的工作效率和申请人的满意度。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登记证书核发量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经费保障:营业执照核发数量与申请企业数量有关，本年度共核发营业执照23400份，依法依规，按时发放。</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变更审批合规性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行政审批工作质量达标率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按时审批率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审批办公时间减少率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规范许可审批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依规审批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营商环境优化情况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申请企业对审批工作满意程度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经费保障:本年度由于财政资金问题，我单位已请款，但未拨付本年度此项费用，建议下年度继续安排。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沈阳市浑区营商环境建设局-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沈阳市浑南区营商环境建设事务服务中心-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足额，及时缴纳残疾人就业保障金。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足额，及时缴纳残疾人就业保障金。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1671.05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制度保障:用人单位应缴金额=（用人单位2023年在职职工人数×1.5%-2023年实际安排的残疾人就业人数）×111403元(2023年沈阳市城镇非私营单位从业人员年平均工资)</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其他:本单位在职职工人数按实际发生为准，如有退休、开除、死亡及新入职人员按实际在职工作月份核定。</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年度社保和个税缴纳的合规性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97.18</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