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辽宁省沈阳市浑南区营商环境建设事务服务中心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辽宁省沈阳市浑南区营商环境建设事务服务中心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辽宁省沈阳市浑南区营商环境建设事务服务中心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辽宁省沈阳市浑南区营商环境建设事务服务中心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辽宁省沈阳市浑南区营商环境建设事务服务中心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辽宁省沈阳市浑南区营商环境建设事务服务中心概况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辅助完成全区区域内排水方案审查、排水竣工验收备案、重点项目档案验收、应急等审批服务工作；辅助完成建设工程消防设计审查、验收、备案抽查、执法处罚等服务保障工作；辅助行使文化、旅游、体育等涉企审批事项的行政职权。</w:t>
        <w:br/>
        <w:t xml:space="preserve">    （二）完成区委、区政府及区营商局交办的其他任务。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辽宁省沈阳市浑南区营商环境建设事务服务中心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沈阳市浑南区营商环境建设事务服务中心本级，本单位无下设机构。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220.94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220.94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220.94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增加68.78万元，增长45.21%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本部门为上年度新成立单位，4月开始独立核算，本年度为全年费用</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220.94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219.17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99.20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工资福利支出207.69万元；商品和服务支出11.20万元；对个人和家庭的补助0.27万元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1.77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0.80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主要包括缴纳残疾人就业保障金等业务支出。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增加68.78万元，增长45.21%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本部门为上年度新成立单位，4月开始独立核算，本年度为全年费用</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220.94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219.17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1.77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增加68.78万元，增长45.21%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本部门为上年度新成立单位，4月开始独立核算，本年度为全年费用</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87.40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87.41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85.82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2024年度一般公共预算财政拨款支出220.94万元。按支出功能分类科目分，包括：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1.一般公共服务支出162.63万元，具体包括：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事业运行（项）160.86万元,主要是基本工资、津贴补贴、奖金、伙食补助费、绩效工资、其他社会保障缴费、办公费、邮电费、工会经费等支出，完成年初预算的83.64%，决算数与年初预算数存在差异的主要原因是绩效工资发放较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其他政府办公厅（室）及相关机构事务支出（项）1.77万元,主要是缴纳残疾人就业保障金等支出，完成年初预算的85.92%，决算数与年初预算数存在差异的主要原因是年初预算按预估的2023年社平工资及在职职工人数初步测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2.社会保障和就业支出28.47万元，具体包括：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0.27万元,主要是退休费等支出，完成年初预算的84.38%，决算数与年初预算数存在差异的主要原因是退休人员一次性补贴、医疗补助、活动费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20.73万元,主要是机关事业单位基本养老保险缴费等支出，完成年初预算的96.78%，决算数与年初预算数存在差异的主要原因是年初预算按预估工资总额测算基数，与实际缴费基数稍有差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7.47万元,主要是职业年金缴费等支出，完成年初预算的100%，决算数与年初预算数存在差异的主要原因是职业年金缴费为退休人员一次性补缴，经社保机构确认金额后，再向财政请款拨付，故年初未填列此项预算，后根基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3.卫生健康支出8.99万元，具体包括：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8.99万元,主要是职工基本医疗保险缴费等支出，完成年初预算的105.64%，决算数与年初预算数存在差异的主要原因是年初预算按预估工资总额测算基数，与实际缴费基数稍有差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4.住房保障支出20.85万元，具体包括：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20.85万元,主要是住房公积金等支出，完成年初预算的70.18%，决算数与年初预算数存在差异的主要原因是年初预算包含住房货币化补贴部分，本年度未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未安排年初预算，实际未发生“三公”经费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未安排年初预算，实际无公务接待任务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未安排年初预算，实际无公务用车</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219.16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207.96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11.20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本部门为事业单位，无机构运行经费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1.77万元。其中，一般公共预算资金1.77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0个。各项目自评发现，预算执行情况良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我部门组织对1个项目重点评价，结果显示，被评价项目整体绩效情况良好。重点项目为缴纳残疾人就业保障金，涉及资金1.77万元，评价平均分为97.18分，评级情况为优。</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220.94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162.62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28.47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20.85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220.94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220.94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220.94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220.94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220.94</w:t>
            </w:r>
          </w:p>
        </w:tc>
        <w:tc>
          <w:tcPr>
            <w:tcW w:w="960" w:type="dxa"/>
            <w:tcBorders/>
            <w:vAlign w:val="center"/>
          </w:tcPr>
          <w:p>
            <w:pPr>
              <w:jc w:val="right"/>
            </w:pPr>
            <w:r>
              <w:rPr>
                <w:rFonts w:ascii="宋体" w:eastAsia="宋体" w:hAnsi="宋体" w:cs="宋体"/>
                <w:b/>
                <w:i w:val="0"/>
                <w:color w:val="000000"/>
                <w:sz w:val="13"/>
              </w:rPr>
              <w:t xml:space="preserve">220.94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162.63</w:t>
            </w:r>
          </w:p>
        </w:tc>
        <w:tc>
          <w:tcPr>
            <w:tcW w:w="960" w:type="dxa"/>
            <w:tcBorders/>
            <w:vAlign w:val="center"/>
          </w:tcPr>
          <w:p>
            <w:pPr>
              <w:jc w:val="right"/>
            </w:pPr>
            <w:r>
              <w:rPr>
                <w:rFonts w:ascii="宋体" w:eastAsia="宋体" w:hAnsi="宋体" w:cs="宋体"/>
                <w:b w:val="0"/>
                <w:i w:val="0"/>
                <w:color w:val="000000"/>
                <w:sz w:val="13"/>
              </w:rPr>
              <w:t xml:space="preserve">162.63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162.63</w:t>
            </w:r>
          </w:p>
        </w:tc>
        <w:tc>
          <w:tcPr>
            <w:tcW w:w="960" w:type="dxa"/>
            <w:tcBorders/>
            <w:vAlign w:val="center"/>
          </w:tcPr>
          <w:p>
            <w:pPr>
              <w:jc w:val="right"/>
            </w:pPr>
            <w:r>
              <w:rPr>
                <w:rFonts w:ascii="宋体" w:eastAsia="宋体" w:hAnsi="宋体" w:cs="宋体"/>
                <w:b w:val="0"/>
                <w:i w:val="0"/>
                <w:color w:val="000000"/>
                <w:sz w:val="13"/>
              </w:rPr>
              <w:t xml:space="preserve">162.63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160.86</w:t>
            </w:r>
          </w:p>
        </w:tc>
        <w:tc>
          <w:tcPr>
            <w:tcW w:w="960" w:type="dxa"/>
            <w:tcBorders/>
            <w:vAlign w:val="center"/>
          </w:tcPr>
          <w:p>
            <w:pPr>
              <w:jc w:val="right"/>
            </w:pPr>
            <w:r>
              <w:rPr>
                <w:rFonts w:ascii="宋体" w:eastAsia="宋体" w:hAnsi="宋体" w:cs="宋体"/>
                <w:b w:val="0"/>
                <w:i w:val="0"/>
                <w:color w:val="000000"/>
                <w:sz w:val="13"/>
              </w:rPr>
              <w:t xml:space="preserve">160.86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1.77</w:t>
            </w:r>
          </w:p>
        </w:tc>
        <w:tc>
          <w:tcPr>
            <w:tcW w:w="960" w:type="dxa"/>
            <w:tcBorders/>
            <w:vAlign w:val="center"/>
          </w:tcPr>
          <w:p>
            <w:pPr>
              <w:jc w:val="right"/>
            </w:pPr>
            <w:r>
              <w:rPr>
                <w:rFonts w:ascii="宋体" w:eastAsia="宋体" w:hAnsi="宋体" w:cs="宋体"/>
                <w:b w:val="0"/>
                <w:i w:val="0"/>
                <w:color w:val="000000"/>
                <w:sz w:val="13"/>
              </w:rPr>
              <w:t xml:space="preserve">1.77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28.47</w:t>
            </w:r>
          </w:p>
        </w:tc>
        <w:tc>
          <w:tcPr>
            <w:tcW w:w="960" w:type="dxa"/>
            <w:tcBorders/>
            <w:vAlign w:val="center"/>
          </w:tcPr>
          <w:p>
            <w:pPr>
              <w:jc w:val="right"/>
            </w:pPr>
            <w:r>
              <w:rPr>
                <w:rFonts w:ascii="宋体" w:eastAsia="宋体" w:hAnsi="宋体" w:cs="宋体"/>
                <w:b w:val="0"/>
                <w:i w:val="0"/>
                <w:color w:val="000000"/>
                <w:sz w:val="13"/>
              </w:rPr>
              <w:t xml:space="preserve">28.47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28.47</w:t>
            </w:r>
          </w:p>
        </w:tc>
        <w:tc>
          <w:tcPr>
            <w:tcW w:w="960" w:type="dxa"/>
            <w:tcBorders/>
            <w:vAlign w:val="center"/>
          </w:tcPr>
          <w:p>
            <w:pPr>
              <w:jc w:val="right"/>
            </w:pPr>
            <w:r>
              <w:rPr>
                <w:rFonts w:ascii="宋体" w:eastAsia="宋体" w:hAnsi="宋体" w:cs="宋体"/>
                <w:b w:val="0"/>
                <w:i w:val="0"/>
                <w:color w:val="000000"/>
                <w:sz w:val="13"/>
              </w:rPr>
              <w:t xml:space="preserve">28.47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20.73</w:t>
            </w:r>
          </w:p>
        </w:tc>
        <w:tc>
          <w:tcPr>
            <w:tcW w:w="960" w:type="dxa"/>
            <w:tcBorders/>
            <w:vAlign w:val="center"/>
          </w:tcPr>
          <w:p>
            <w:pPr>
              <w:jc w:val="right"/>
            </w:pPr>
            <w:r>
              <w:rPr>
                <w:rFonts w:ascii="宋体" w:eastAsia="宋体" w:hAnsi="宋体" w:cs="宋体"/>
                <w:b w:val="0"/>
                <w:i w:val="0"/>
                <w:color w:val="000000"/>
                <w:sz w:val="13"/>
              </w:rPr>
              <w:t xml:space="preserve">20.73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7.47</w:t>
            </w:r>
          </w:p>
        </w:tc>
        <w:tc>
          <w:tcPr>
            <w:tcW w:w="960" w:type="dxa"/>
            <w:tcBorders/>
            <w:vAlign w:val="center"/>
          </w:tcPr>
          <w:p>
            <w:pPr>
              <w:jc w:val="right"/>
            </w:pPr>
            <w:r>
              <w:rPr>
                <w:rFonts w:ascii="宋体" w:eastAsia="宋体" w:hAnsi="宋体" w:cs="宋体"/>
                <w:b w:val="0"/>
                <w:i w:val="0"/>
                <w:color w:val="000000"/>
                <w:sz w:val="13"/>
              </w:rPr>
              <w:t xml:space="preserve">7.47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20.85</w:t>
            </w:r>
          </w:p>
        </w:tc>
        <w:tc>
          <w:tcPr>
            <w:tcW w:w="960" w:type="dxa"/>
            <w:tcBorders/>
            <w:vAlign w:val="center"/>
          </w:tcPr>
          <w:p>
            <w:pPr>
              <w:jc w:val="right"/>
            </w:pPr>
            <w:r>
              <w:rPr>
                <w:rFonts w:ascii="宋体" w:eastAsia="宋体" w:hAnsi="宋体" w:cs="宋体"/>
                <w:b w:val="0"/>
                <w:i w:val="0"/>
                <w:color w:val="000000"/>
                <w:sz w:val="13"/>
              </w:rPr>
              <w:t xml:space="preserve">20.85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20.85</w:t>
            </w:r>
          </w:p>
        </w:tc>
        <w:tc>
          <w:tcPr>
            <w:tcW w:w="960" w:type="dxa"/>
            <w:tcBorders/>
            <w:vAlign w:val="center"/>
          </w:tcPr>
          <w:p>
            <w:pPr>
              <w:jc w:val="right"/>
            </w:pPr>
            <w:r>
              <w:rPr>
                <w:rFonts w:ascii="宋体" w:eastAsia="宋体" w:hAnsi="宋体" w:cs="宋体"/>
                <w:b w:val="0"/>
                <w:i w:val="0"/>
                <w:color w:val="000000"/>
                <w:sz w:val="13"/>
              </w:rPr>
              <w:t xml:space="preserve">20.85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20.85</w:t>
            </w:r>
          </w:p>
        </w:tc>
        <w:tc>
          <w:tcPr>
            <w:tcW w:w="960" w:type="dxa"/>
            <w:tcBorders/>
            <w:vAlign w:val="center"/>
          </w:tcPr>
          <w:p>
            <w:pPr>
              <w:jc w:val="right"/>
            </w:pPr>
            <w:r>
              <w:rPr>
                <w:rFonts w:ascii="宋体" w:eastAsia="宋体" w:hAnsi="宋体" w:cs="宋体"/>
                <w:b w:val="0"/>
                <w:i w:val="0"/>
                <w:color w:val="000000"/>
                <w:sz w:val="13"/>
              </w:rPr>
              <w:t xml:space="preserve">20.85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220.94</w:t>
            </w:r>
          </w:p>
        </w:tc>
        <w:tc>
          <w:tcPr>
            <w:tcW w:w="1060" w:type="dxa"/>
            <w:tcBorders/>
            <w:vAlign w:val="center"/>
          </w:tcPr>
          <w:p>
            <w:pPr>
              <w:jc w:val="right"/>
            </w:pPr>
            <w:r>
              <w:rPr>
                <w:rFonts w:ascii="宋体" w:eastAsia="宋体" w:hAnsi="宋体" w:cs="宋体"/>
                <w:b/>
                <w:i w:val="0"/>
                <w:color w:val="000000"/>
                <w:sz w:val="14"/>
              </w:rPr>
              <w:t xml:space="preserve">219.17</w:t>
            </w:r>
          </w:p>
        </w:tc>
        <w:tc>
          <w:tcPr>
            <w:tcW w:w="1060" w:type="dxa"/>
            <w:tcBorders/>
            <w:vAlign w:val="center"/>
          </w:tcPr>
          <w:p>
            <w:pPr>
              <w:jc w:val="right"/>
            </w:pPr>
            <w:r>
              <w:rPr>
                <w:rFonts w:ascii="宋体" w:eastAsia="宋体" w:hAnsi="宋体" w:cs="宋体"/>
                <w:b/>
                <w:i w:val="0"/>
                <w:color w:val="000000"/>
                <w:sz w:val="14"/>
              </w:rPr>
              <w:t xml:space="preserve">1.77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162.63</w:t>
            </w:r>
          </w:p>
        </w:tc>
        <w:tc>
          <w:tcPr>
            <w:tcW w:w="1060" w:type="dxa"/>
            <w:tcBorders/>
            <w:vAlign w:val="center"/>
          </w:tcPr>
          <w:p>
            <w:pPr>
              <w:jc w:val="right"/>
            </w:pPr>
            <w:r>
              <w:rPr>
                <w:rFonts w:ascii="宋体" w:eastAsia="宋体" w:hAnsi="宋体" w:cs="宋体"/>
                <w:b w:val="0"/>
                <w:i w:val="0"/>
                <w:color w:val="000000"/>
                <w:sz w:val="14"/>
              </w:rPr>
              <w:t xml:space="preserve">160.86</w:t>
            </w:r>
          </w:p>
        </w:tc>
        <w:tc>
          <w:tcPr>
            <w:tcW w:w="1060" w:type="dxa"/>
            <w:tcBorders/>
            <w:vAlign w:val="center"/>
          </w:tcPr>
          <w:p>
            <w:pPr>
              <w:jc w:val="right"/>
            </w:pPr>
            <w:r>
              <w:rPr>
                <w:rFonts w:ascii="宋体" w:eastAsia="宋体" w:hAnsi="宋体" w:cs="宋体"/>
                <w:b w:val="0"/>
                <w:i w:val="0"/>
                <w:color w:val="000000"/>
                <w:sz w:val="14"/>
              </w:rPr>
              <w:t xml:space="preserve">1.77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162.63</w:t>
            </w:r>
          </w:p>
        </w:tc>
        <w:tc>
          <w:tcPr>
            <w:tcW w:w="1060" w:type="dxa"/>
            <w:tcBorders/>
            <w:vAlign w:val="center"/>
          </w:tcPr>
          <w:p>
            <w:pPr>
              <w:jc w:val="right"/>
            </w:pPr>
            <w:r>
              <w:rPr>
                <w:rFonts w:ascii="宋体" w:eastAsia="宋体" w:hAnsi="宋体" w:cs="宋体"/>
                <w:b w:val="0"/>
                <w:i w:val="0"/>
                <w:color w:val="000000"/>
                <w:sz w:val="14"/>
              </w:rPr>
              <w:t xml:space="preserve">160.86</w:t>
            </w:r>
          </w:p>
        </w:tc>
        <w:tc>
          <w:tcPr>
            <w:tcW w:w="1060" w:type="dxa"/>
            <w:tcBorders/>
            <w:vAlign w:val="center"/>
          </w:tcPr>
          <w:p>
            <w:pPr>
              <w:jc w:val="right"/>
            </w:pPr>
            <w:r>
              <w:rPr>
                <w:rFonts w:ascii="宋体" w:eastAsia="宋体" w:hAnsi="宋体" w:cs="宋体"/>
                <w:b w:val="0"/>
                <w:i w:val="0"/>
                <w:color w:val="000000"/>
                <w:sz w:val="14"/>
              </w:rPr>
              <w:t xml:space="preserve">1.77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160.86</w:t>
            </w:r>
          </w:p>
        </w:tc>
        <w:tc>
          <w:tcPr>
            <w:tcW w:w="1060" w:type="dxa"/>
            <w:tcBorders/>
            <w:vAlign w:val="center"/>
          </w:tcPr>
          <w:p>
            <w:pPr>
              <w:jc w:val="right"/>
            </w:pPr>
            <w:r>
              <w:rPr>
                <w:rFonts w:ascii="宋体" w:eastAsia="宋体" w:hAnsi="宋体" w:cs="宋体"/>
                <w:b w:val="0"/>
                <w:i w:val="0"/>
                <w:color w:val="000000"/>
                <w:sz w:val="14"/>
              </w:rPr>
              <w:t xml:space="preserve">160.86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28.47</w:t>
            </w:r>
          </w:p>
        </w:tc>
        <w:tc>
          <w:tcPr>
            <w:tcW w:w="1060" w:type="dxa"/>
            <w:tcBorders/>
            <w:vAlign w:val="center"/>
          </w:tcPr>
          <w:p>
            <w:pPr>
              <w:jc w:val="right"/>
            </w:pPr>
            <w:r>
              <w:rPr>
                <w:rFonts w:ascii="宋体" w:eastAsia="宋体" w:hAnsi="宋体" w:cs="宋体"/>
                <w:b w:val="0"/>
                <w:i w:val="0"/>
                <w:color w:val="000000"/>
                <w:sz w:val="14"/>
              </w:rPr>
              <w:t xml:space="preserve">28.47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28.47</w:t>
            </w:r>
          </w:p>
        </w:tc>
        <w:tc>
          <w:tcPr>
            <w:tcW w:w="1060" w:type="dxa"/>
            <w:tcBorders/>
            <w:vAlign w:val="center"/>
          </w:tcPr>
          <w:p>
            <w:pPr>
              <w:jc w:val="right"/>
            </w:pPr>
            <w:r>
              <w:rPr>
                <w:rFonts w:ascii="宋体" w:eastAsia="宋体" w:hAnsi="宋体" w:cs="宋体"/>
                <w:b w:val="0"/>
                <w:i w:val="0"/>
                <w:color w:val="000000"/>
                <w:sz w:val="14"/>
              </w:rPr>
              <w:t xml:space="preserve">28.47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20.73</w:t>
            </w:r>
          </w:p>
        </w:tc>
        <w:tc>
          <w:tcPr>
            <w:tcW w:w="1060" w:type="dxa"/>
            <w:tcBorders/>
            <w:vAlign w:val="center"/>
          </w:tcPr>
          <w:p>
            <w:pPr>
              <w:jc w:val="right"/>
            </w:pPr>
            <w:r>
              <w:rPr>
                <w:rFonts w:ascii="宋体" w:eastAsia="宋体" w:hAnsi="宋体" w:cs="宋体"/>
                <w:b w:val="0"/>
                <w:i w:val="0"/>
                <w:color w:val="000000"/>
                <w:sz w:val="14"/>
              </w:rPr>
              <w:t xml:space="preserve">20.73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7.47</w:t>
            </w:r>
          </w:p>
        </w:tc>
        <w:tc>
          <w:tcPr>
            <w:tcW w:w="1060" w:type="dxa"/>
            <w:tcBorders/>
            <w:vAlign w:val="center"/>
          </w:tcPr>
          <w:p>
            <w:pPr>
              <w:jc w:val="right"/>
            </w:pPr>
            <w:r>
              <w:rPr>
                <w:rFonts w:ascii="宋体" w:eastAsia="宋体" w:hAnsi="宋体" w:cs="宋体"/>
                <w:b w:val="0"/>
                <w:i w:val="0"/>
                <w:color w:val="000000"/>
                <w:sz w:val="14"/>
              </w:rPr>
              <w:t xml:space="preserve">7.47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20.85</w:t>
            </w:r>
          </w:p>
        </w:tc>
        <w:tc>
          <w:tcPr>
            <w:tcW w:w="1060" w:type="dxa"/>
            <w:tcBorders/>
            <w:vAlign w:val="center"/>
          </w:tcPr>
          <w:p>
            <w:pPr>
              <w:jc w:val="right"/>
            </w:pPr>
            <w:r>
              <w:rPr>
                <w:rFonts w:ascii="宋体" w:eastAsia="宋体" w:hAnsi="宋体" w:cs="宋体"/>
                <w:b w:val="0"/>
                <w:i w:val="0"/>
                <w:color w:val="000000"/>
                <w:sz w:val="14"/>
              </w:rPr>
              <w:t xml:space="preserve">20.85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20.85</w:t>
            </w:r>
          </w:p>
        </w:tc>
        <w:tc>
          <w:tcPr>
            <w:tcW w:w="1060" w:type="dxa"/>
            <w:tcBorders/>
            <w:vAlign w:val="center"/>
          </w:tcPr>
          <w:p>
            <w:pPr>
              <w:jc w:val="right"/>
            </w:pPr>
            <w:r>
              <w:rPr>
                <w:rFonts w:ascii="宋体" w:eastAsia="宋体" w:hAnsi="宋体" w:cs="宋体"/>
                <w:b w:val="0"/>
                <w:i w:val="0"/>
                <w:color w:val="000000"/>
                <w:sz w:val="14"/>
              </w:rPr>
              <w:t xml:space="preserve">20.85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20.85</w:t>
            </w:r>
          </w:p>
        </w:tc>
        <w:tc>
          <w:tcPr>
            <w:tcW w:w="1060" w:type="dxa"/>
            <w:tcBorders/>
            <w:vAlign w:val="center"/>
          </w:tcPr>
          <w:p>
            <w:pPr>
              <w:jc w:val="right"/>
            </w:pPr>
            <w:r>
              <w:rPr>
                <w:rFonts w:ascii="宋体" w:eastAsia="宋体" w:hAnsi="宋体" w:cs="宋体"/>
                <w:b w:val="0"/>
                <w:i w:val="0"/>
                <w:color w:val="000000"/>
                <w:sz w:val="14"/>
              </w:rPr>
              <w:t xml:space="preserve">20.85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220.94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162.62</w:t>
            </w:r>
          </w:p>
        </w:tc>
        <w:tc>
          <w:tcPr>
            <w:tcW w:w="1100" w:type="dxa"/>
            <w:tcBorders/>
            <w:vAlign w:val="center"/>
          </w:tcPr>
          <w:p>
            <w:pPr>
              <w:jc w:val="right"/>
            </w:pPr>
            <w:r>
              <w:rPr>
                <w:rFonts w:ascii="宋体" w:eastAsia="宋体" w:hAnsi="宋体" w:cs="宋体"/>
                <w:b w:val="0"/>
                <w:i w:val="0"/>
                <w:color w:val="000000"/>
                <w:sz w:val="14"/>
              </w:rPr>
              <w:t xml:space="preserve">162.62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28.47</w:t>
            </w:r>
          </w:p>
        </w:tc>
        <w:tc>
          <w:tcPr>
            <w:tcW w:w="1100" w:type="dxa"/>
            <w:tcBorders/>
            <w:vAlign w:val="center"/>
          </w:tcPr>
          <w:p>
            <w:pPr>
              <w:jc w:val="right"/>
            </w:pPr>
            <w:r>
              <w:rPr>
                <w:rFonts w:ascii="宋体" w:eastAsia="宋体" w:hAnsi="宋体" w:cs="宋体"/>
                <w:b w:val="0"/>
                <w:i w:val="0"/>
                <w:color w:val="000000"/>
                <w:sz w:val="14"/>
              </w:rPr>
              <w:t xml:space="preserve">28.47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8.99</w:t>
            </w:r>
          </w:p>
        </w:tc>
        <w:tc>
          <w:tcPr>
            <w:tcW w:w="1100" w:type="dxa"/>
            <w:tcBorders/>
            <w:vAlign w:val="center"/>
          </w:tcPr>
          <w:p>
            <w:pPr>
              <w:jc w:val="right"/>
            </w:pPr>
            <w:r>
              <w:rPr>
                <w:rFonts w:ascii="宋体" w:eastAsia="宋体" w:hAnsi="宋体" w:cs="宋体"/>
                <w:b w:val="0"/>
                <w:i w:val="0"/>
                <w:color w:val="000000"/>
                <w:sz w:val="14"/>
              </w:rPr>
              <w:t xml:space="preserve">8.99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20.85</w:t>
            </w:r>
          </w:p>
        </w:tc>
        <w:tc>
          <w:tcPr>
            <w:tcW w:w="1100" w:type="dxa"/>
            <w:tcBorders/>
            <w:vAlign w:val="center"/>
          </w:tcPr>
          <w:p>
            <w:pPr>
              <w:jc w:val="right"/>
            </w:pPr>
            <w:r>
              <w:rPr>
                <w:rFonts w:ascii="宋体" w:eastAsia="宋体" w:hAnsi="宋体" w:cs="宋体"/>
                <w:b w:val="0"/>
                <w:i w:val="0"/>
                <w:color w:val="000000"/>
                <w:sz w:val="14"/>
              </w:rPr>
              <w:t xml:space="preserve">20.85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220.94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220.94</w:t>
            </w:r>
          </w:p>
        </w:tc>
        <w:tc>
          <w:tcPr>
            <w:tcW w:w="1100" w:type="dxa"/>
            <w:tcBorders/>
            <w:vAlign w:val="center"/>
          </w:tcPr>
          <w:p>
            <w:pPr>
              <w:jc w:val="right"/>
            </w:pPr>
            <w:r>
              <w:rPr>
                <w:rFonts w:ascii="宋体" w:eastAsia="宋体" w:hAnsi="宋体" w:cs="宋体"/>
                <w:b w:val="0"/>
                <w:i w:val="0"/>
                <w:color w:val="000000"/>
                <w:sz w:val="14"/>
              </w:rPr>
              <w:t xml:space="preserve">220.94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220.94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220.94</w:t>
            </w:r>
          </w:p>
        </w:tc>
        <w:tc>
          <w:tcPr>
            <w:tcW w:w="1100" w:type="dxa"/>
            <w:tcBorders/>
            <w:vAlign w:val="center"/>
          </w:tcPr>
          <w:p>
            <w:pPr>
              <w:jc w:val="right"/>
            </w:pPr>
            <w:r>
              <w:rPr>
                <w:rFonts w:ascii="宋体" w:eastAsia="宋体" w:hAnsi="宋体" w:cs="宋体"/>
                <w:b w:val="0"/>
                <w:i w:val="0"/>
                <w:color w:val="000000"/>
                <w:sz w:val="14"/>
              </w:rPr>
              <w:t xml:space="preserve">220.94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220.94</w:t>
            </w:r>
          </w:p>
        </w:tc>
        <w:tc>
          <w:tcPr>
            <w:tcW w:w="1780" w:type="dxa"/>
            <w:tcBorders/>
            <w:vAlign w:val="center"/>
          </w:tcPr>
          <w:p>
            <w:pPr>
              <w:jc w:val="right"/>
            </w:pPr>
            <w:r>
              <w:rPr>
                <w:rFonts w:ascii="宋体" w:eastAsia="宋体" w:hAnsi="宋体" w:cs="宋体"/>
                <w:b/>
                <w:i w:val="0"/>
                <w:color w:val="000000"/>
                <w:sz w:val="18"/>
              </w:rPr>
              <w:t xml:space="preserve">219.17</w:t>
            </w:r>
          </w:p>
        </w:tc>
        <w:tc>
          <w:tcPr>
            <w:tcW w:w="1772" w:type="dxa"/>
            <w:tcBorders/>
            <w:vAlign w:val="center"/>
          </w:tcPr>
          <w:p>
            <w:pPr>
              <w:jc w:val="right"/>
            </w:pPr>
            <w:r>
              <w:rPr>
                <w:rFonts w:ascii="宋体" w:eastAsia="宋体" w:hAnsi="宋体" w:cs="宋体"/>
                <w:b/>
                <w:i w:val="0"/>
                <w:color w:val="000000"/>
                <w:sz w:val="18"/>
              </w:rPr>
              <w:t xml:space="preserve">1.77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162.63</w:t>
            </w:r>
          </w:p>
        </w:tc>
        <w:tc>
          <w:tcPr>
            <w:tcW w:w="1780" w:type="dxa"/>
            <w:tcBorders/>
            <w:vAlign w:val="center"/>
          </w:tcPr>
          <w:p>
            <w:pPr>
              <w:jc w:val="right"/>
            </w:pPr>
            <w:r>
              <w:rPr>
                <w:rFonts w:ascii="宋体" w:eastAsia="宋体" w:hAnsi="宋体" w:cs="宋体"/>
                <w:b w:val="0"/>
                <w:i w:val="0"/>
                <w:color w:val="000000"/>
                <w:sz w:val="18"/>
              </w:rPr>
              <w:t xml:space="preserve">160.86</w:t>
            </w:r>
          </w:p>
        </w:tc>
        <w:tc>
          <w:tcPr>
            <w:tcW w:w="1772" w:type="dxa"/>
            <w:tcBorders/>
            <w:vAlign w:val="center"/>
          </w:tcPr>
          <w:p>
            <w:pPr>
              <w:jc w:val="right"/>
            </w:pPr>
            <w:r>
              <w:rPr>
                <w:rFonts w:ascii="宋体" w:eastAsia="宋体" w:hAnsi="宋体" w:cs="宋体"/>
                <w:b w:val="0"/>
                <w:i w:val="0"/>
                <w:color w:val="000000"/>
                <w:sz w:val="18"/>
              </w:rPr>
              <w:t xml:space="preserve">1.77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162.63</w:t>
            </w:r>
          </w:p>
        </w:tc>
        <w:tc>
          <w:tcPr>
            <w:tcW w:w="1780" w:type="dxa"/>
            <w:tcBorders/>
            <w:vAlign w:val="center"/>
          </w:tcPr>
          <w:p>
            <w:pPr>
              <w:jc w:val="right"/>
            </w:pPr>
            <w:r>
              <w:rPr>
                <w:rFonts w:ascii="宋体" w:eastAsia="宋体" w:hAnsi="宋体" w:cs="宋体"/>
                <w:b w:val="0"/>
                <w:i w:val="0"/>
                <w:color w:val="000000"/>
                <w:sz w:val="18"/>
              </w:rPr>
              <w:t xml:space="preserve">160.86</w:t>
            </w:r>
          </w:p>
        </w:tc>
        <w:tc>
          <w:tcPr>
            <w:tcW w:w="1772" w:type="dxa"/>
            <w:tcBorders/>
            <w:vAlign w:val="center"/>
          </w:tcPr>
          <w:p>
            <w:pPr>
              <w:jc w:val="right"/>
            </w:pPr>
            <w:r>
              <w:rPr>
                <w:rFonts w:ascii="宋体" w:eastAsia="宋体" w:hAnsi="宋体" w:cs="宋体"/>
                <w:b w:val="0"/>
                <w:i w:val="0"/>
                <w:color w:val="000000"/>
                <w:sz w:val="18"/>
              </w:rPr>
              <w:t xml:space="preserve">1.77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160.86</w:t>
            </w:r>
          </w:p>
        </w:tc>
        <w:tc>
          <w:tcPr>
            <w:tcW w:w="1780" w:type="dxa"/>
            <w:tcBorders/>
            <w:vAlign w:val="center"/>
          </w:tcPr>
          <w:p>
            <w:pPr>
              <w:jc w:val="right"/>
            </w:pPr>
            <w:r>
              <w:rPr>
                <w:rFonts w:ascii="宋体" w:eastAsia="宋体" w:hAnsi="宋体" w:cs="宋体"/>
                <w:b w:val="0"/>
                <w:i w:val="0"/>
                <w:color w:val="000000"/>
                <w:sz w:val="18"/>
              </w:rPr>
              <w:t xml:space="preserve">160.86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28.47</w:t>
            </w:r>
          </w:p>
        </w:tc>
        <w:tc>
          <w:tcPr>
            <w:tcW w:w="1780" w:type="dxa"/>
            <w:tcBorders/>
            <w:vAlign w:val="center"/>
          </w:tcPr>
          <w:p>
            <w:pPr>
              <w:jc w:val="right"/>
            </w:pPr>
            <w:r>
              <w:rPr>
                <w:rFonts w:ascii="宋体" w:eastAsia="宋体" w:hAnsi="宋体" w:cs="宋体"/>
                <w:b w:val="0"/>
                <w:i w:val="0"/>
                <w:color w:val="000000"/>
                <w:sz w:val="18"/>
              </w:rPr>
              <w:t xml:space="preserve">28.47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28.47</w:t>
            </w:r>
          </w:p>
        </w:tc>
        <w:tc>
          <w:tcPr>
            <w:tcW w:w="1780" w:type="dxa"/>
            <w:tcBorders/>
            <w:vAlign w:val="center"/>
          </w:tcPr>
          <w:p>
            <w:pPr>
              <w:jc w:val="right"/>
            </w:pPr>
            <w:r>
              <w:rPr>
                <w:rFonts w:ascii="宋体" w:eastAsia="宋体" w:hAnsi="宋体" w:cs="宋体"/>
                <w:b w:val="0"/>
                <w:i w:val="0"/>
                <w:color w:val="000000"/>
                <w:sz w:val="18"/>
              </w:rPr>
              <w:t xml:space="preserve">28.47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20.73</w:t>
            </w:r>
          </w:p>
        </w:tc>
        <w:tc>
          <w:tcPr>
            <w:tcW w:w="1780" w:type="dxa"/>
            <w:tcBorders/>
            <w:vAlign w:val="center"/>
          </w:tcPr>
          <w:p>
            <w:pPr>
              <w:jc w:val="right"/>
            </w:pPr>
            <w:r>
              <w:rPr>
                <w:rFonts w:ascii="宋体" w:eastAsia="宋体" w:hAnsi="宋体" w:cs="宋体"/>
                <w:b w:val="0"/>
                <w:i w:val="0"/>
                <w:color w:val="000000"/>
                <w:sz w:val="18"/>
              </w:rPr>
              <w:t xml:space="preserve">20.73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7.47</w:t>
            </w:r>
          </w:p>
        </w:tc>
        <w:tc>
          <w:tcPr>
            <w:tcW w:w="1780" w:type="dxa"/>
            <w:tcBorders/>
            <w:vAlign w:val="center"/>
          </w:tcPr>
          <w:p>
            <w:pPr>
              <w:jc w:val="right"/>
            </w:pPr>
            <w:r>
              <w:rPr>
                <w:rFonts w:ascii="宋体" w:eastAsia="宋体" w:hAnsi="宋体" w:cs="宋体"/>
                <w:b w:val="0"/>
                <w:i w:val="0"/>
                <w:color w:val="000000"/>
                <w:sz w:val="18"/>
              </w:rPr>
              <w:t xml:space="preserve">7.47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20.85</w:t>
            </w:r>
          </w:p>
        </w:tc>
        <w:tc>
          <w:tcPr>
            <w:tcW w:w="1780" w:type="dxa"/>
            <w:tcBorders/>
            <w:vAlign w:val="center"/>
          </w:tcPr>
          <w:p>
            <w:pPr>
              <w:jc w:val="right"/>
            </w:pPr>
            <w:r>
              <w:rPr>
                <w:rFonts w:ascii="宋体" w:eastAsia="宋体" w:hAnsi="宋体" w:cs="宋体"/>
                <w:b w:val="0"/>
                <w:i w:val="0"/>
                <w:color w:val="000000"/>
                <w:sz w:val="18"/>
              </w:rPr>
              <w:t xml:space="preserve">20.85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20.85</w:t>
            </w:r>
          </w:p>
        </w:tc>
        <w:tc>
          <w:tcPr>
            <w:tcW w:w="1780" w:type="dxa"/>
            <w:tcBorders/>
            <w:vAlign w:val="center"/>
          </w:tcPr>
          <w:p>
            <w:pPr>
              <w:jc w:val="right"/>
            </w:pPr>
            <w:r>
              <w:rPr>
                <w:rFonts w:ascii="宋体" w:eastAsia="宋体" w:hAnsi="宋体" w:cs="宋体"/>
                <w:b w:val="0"/>
                <w:i w:val="0"/>
                <w:color w:val="000000"/>
                <w:sz w:val="18"/>
              </w:rPr>
              <w:t xml:space="preserve">20.85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20.85</w:t>
            </w:r>
          </w:p>
        </w:tc>
        <w:tc>
          <w:tcPr>
            <w:tcW w:w="1780" w:type="dxa"/>
            <w:tcBorders/>
            <w:vAlign w:val="center"/>
          </w:tcPr>
          <w:p>
            <w:pPr>
              <w:jc w:val="right"/>
            </w:pPr>
            <w:r>
              <w:rPr>
                <w:rFonts w:ascii="宋体" w:eastAsia="宋体" w:hAnsi="宋体" w:cs="宋体"/>
                <w:b w:val="0"/>
                <w:i w:val="0"/>
                <w:color w:val="000000"/>
                <w:sz w:val="18"/>
              </w:rPr>
              <w:t xml:space="preserve">20.85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207.69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11.20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56.42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2.72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2.54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4.56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4.91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80.33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20.73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7.47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7.27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8.99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0.91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20.85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207.96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11.20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沈阳市浑南区营商环境建设事务服务中心-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足额，及时缴纳残疾人就业保障金。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足额，及时缴纳残疾人就业保障金。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1671.05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年度社保和个税缴纳的合规性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022002沈阳市浑南区营商环境建设事务服务中心-210112000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250.73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250.73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窗口服务效率满意度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多方联动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