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辽宁省沈阳市浑南区工业和信息化局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辽宁省沈阳市浑南区工业和信息化局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辽宁省沈阳市浑南区工业和信息化局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辽宁省沈阳市浑南区工业和信息化局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辽宁省沈阳市浑南区工业和信息化局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辽宁省沈阳市浑南区工业和信息化局概况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根据沈浑南委办发[2020]50号_中共浑南区委办公室浑南区人民政府办公室关于印发《沈阳市浑南区工业和信息化局本级职能配置、内设机构和人员编制规定》的通知精神，设立沈阳市浑南区工业和信息化局本级，为沈阳市浑南区政府工作部门。</w:t>
        <w:br/>
        <w:t xml:space="preserve">    （一）组织贯彻省、市新型工业化发展战略和政策，协调解决新型工业化进程中的有关问题，执行省、市工业、信息化的发展规划，落实推进工业供给侧结构性改革，推进产业结构战略性调整和优化升级，推进信息化和工业化融合。</w:t>
        <w:br/>
        <w:t xml:space="preserve">    （二）贯彻落实省、市工业行业规划、计划和产业政策，提出优化产业布局、结构的政策建议，负责工业和信息化行业管理工作，贯彻落实省、市工业八大产业发展政策措施。</w:t>
        <w:br/>
        <w:t xml:space="preserve">    （三）监测分析工业、信息产业、中小企业（非公经济、民营经济）的运行态势，统计和发布相关信息，进行预测预警和信息引导，协调解决工业运行发展中的有关问题并提出解决建议，负责工业应急管理、产业安全和参与国防动员有关工作，指导工业行业加强安全生产和职业健康管理工作。</w:t>
        <w:br/>
        <w:t xml:space="preserve">    （四）负责提出工业和信息化固定资产投资规模和方向（含利用外资和境外投资）、制定年度投资计划并组织实施。组织落实国家、省、市有关投资政策，归口管理全区工业技术改造项目。研究提出区级财政相关专项资金预算、使用方向和支持重点，制订年度资金计划并组织实施。负责制定工业和信息化专项资金检查与评价的管理制度并组织实施。</w:t>
        <w:br/>
        <w:t xml:space="preserve">    （五）拟订工业和信息产业企业技术创新、技术进步、技术引进的规划、政策和标准，指导和协调重点技术创新项目的实施，推进先进技术改造和传统产业升级。组织开展企业技术创新和产学研用协同改革试验。指导和推动企业技术中心和技术创新体系建设，推进新兴产业发展。</w:t>
        <w:br/>
        <w:t xml:space="preserve">    （六）贯彻落实制造强国、制造强省和制造强市战略和部署，实施“中国制造2025”行动纲要，贯彻执行制造强市的工作措施和政策建议。组织协调装备制造业发展和转型升级工作，贯彻市重大技术装备发展和自主创新政策，贯彻执行市工业领域生产性服务业发展规划、支持政策和相关配套措施，参与相关工作，促进制造业与服务业融合发展。</w:t>
        <w:br/>
        <w:t xml:space="preserve">    （七）贯彻执行工业和信息化的资源节约及综合利用、清洁生产促进政策。参与落实资源节约和综合利用、清洁生产促进规划实施工作，协助推进相关重大示范工程。</w:t>
        <w:br/>
        <w:t xml:space="preserve">    （八）负责电力行政执法与监督管理工作。</w:t>
        <w:br/>
        <w:t xml:space="preserve">    （九）负责指导、监督全区工业供热、用热规划和管理工作。</w:t>
        <w:br/>
        <w:t xml:space="preserve">    （十）贯彻落实中小企业（非公经济、民营经济）发展的政策方针和法律法规。贯彻落实促进中小企业（非公经济、民营经济）发展的地方性政策措施和中长期规划及年度计划。</w:t>
        <w:br/>
        <w:t xml:space="preserve">    （十一）负责加强工业和信息产业企业家队伍建设，组织指导全区工业企业和信息产业企业家、经济管理人员和经营者进行工作交流与培训，指导企业制定引进智力计划并组织实施。</w:t>
        <w:br/>
        <w:t xml:space="preserve">    （十二）负责支持企业研发机构建设，组织非公有制企业管理人才的培育工作，联系服务一批优秀非公有制企业管理人才，鼓励企业加大人才培养投入力度，支持企业技术中心高层次人才开发具有自主知识产权的创新创意产品。</w:t>
        <w:br/>
        <w:t xml:space="preserve">    （十三）贯彻执行国家有关科技事业发展和引进国外智力的方针、政策和法律、法规、规章及省、市有关要求，拟订全区科技创新和引进国外智力规划。</w:t>
        <w:br/>
        <w:t xml:space="preserve">    （十四）编制并组织实施全区科技发展中长期规划和年度计划。拟定并组织实施促进全区科技创新活动的鼓励、支持政策。</w:t>
        <w:br/>
        <w:t xml:space="preserve">    （十五）研究优化科技资源配置的措施，推动多元化科技投入体系建设。</w:t>
        <w:br/>
        <w:t xml:space="preserve">    （十六）负责协调组织国家、省、市科技计划（专项）项目申报、推荐工作。负责区级科技计划（专项）项目实施和管理工作。</w:t>
        <w:br/>
        <w:t xml:space="preserve">    （十七）负责推进科技创新体系建设，培育科技创新和服务平台，推进科研条件保障建设、科技资源开放共享，提高区域科技创新能力。</w:t>
        <w:br/>
        <w:t xml:space="preserve">    （十八）负责推动技术转移体系培育建设，促进科技成果转移转化、产学研结合。</w:t>
        <w:br/>
        <w:t xml:space="preserve">    （十九）负责协调农村科技工作，实施农业科技攻关、试验示范，负责科技下乡与科技扶贫工作。</w:t>
        <w:br/>
        <w:t xml:space="preserve">    （二十）负责科技人才联系、服务工作，推进科技人才队伍建设。</w:t>
        <w:br/>
        <w:t xml:space="preserve">    （二十一）负责推进国际、国内和区域间科技合作与交流工作。</w:t>
        <w:br/>
        <w:t xml:space="preserve">    （二十二）贯彻落实国家、省、市关于国（境）外人员就业管理政策，做好组织实施工作。研究拟订引进国外智力政策与措施并组织实施，综合管理来我区工作的各类外国专家，负责外国专家表彰奖励工作。</w:t>
        <w:br/>
        <w:t xml:space="preserve">    （二十三）贯彻落实党中央关于大数据工作的方针政策和决策部署及省委、市委有关要求，负责全区大数据、互联网+、智慧城市相关管理工作。</w:t>
        <w:br/>
        <w:t xml:space="preserve">    （二十四）负责本单位安全生产工作。支持有关单位开展安全生产科学技术研究。</w:t>
        <w:br/>
        <w:t xml:space="preserve">    （二十五）本部门权责清单和政务服务事项清单在区政府门户网站上公布。</w:t>
        <w:br/>
        <w:t xml:space="preserve">    （二十六）完成区委、区政府交办的其他任务。</w:t>
        <w:br/>
        <w:t xml:space="preserve">    第一条  根据《市委编办关于设立区县（市）工业信息化服务中心的通知》，制定本规定。</w:t>
        <w:br/>
        <w:t xml:space="preserve">    第二条  沈阳市浑南区工业信息化服务中心，是沈阳市浑南区工业和信息化局所属事业单位，机构性质为全额拨款事业单位，机构规格相当于副处级。</w:t>
        <w:br/>
        <w:t xml:space="preserve">    第三条  沈阳市浑南区工业信息化服务中心贯彻落实党中央、国务院关于工业和信息化融合、5G产业发展、电力运行、绿色节能方面方针政策及省、市相关部门和区委、区政府要求部署，在履行职责过程中坚持和加强党的集中统一领导。主要职责是：</w:t>
        <w:br/>
        <w:t xml:space="preserve">    （一）根据党和国家的有关方针政策，按照省、市相关部门及区委、区政府的工作安排，研究制定工业信息化服务的工作计划和规章制度，并组织实施。</w:t>
        <w:br/>
        <w:t xml:space="preserve">    （二）承担落实两化融合项目培育与申报等工作，为企业提供工业数字化、智能化、网络化相关服务。</w:t>
        <w:br/>
        <w:t xml:space="preserve">    （三）促进工业互联网产业发展，培育企业建设工业互联网平台、标识解析节点等相关项目。</w:t>
        <w:br/>
        <w:t xml:space="preserve">    （四）贯彻落实电子信息制造业发展任务，推动行业转型升级和产品结构调整，为企业提供行业发展相关服务。</w:t>
        <w:br/>
        <w:t xml:space="preserve">    （五）培育5G应用示范项目及应用场景，为企业提供结合5G技术发展业务指导等服务。</w:t>
        <w:br/>
        <w:t xml:space="preserve">    （六）协调5G通信基础设施建设，指导并联合运营商进行5G宣传、科普，协调运营商进行通信保障工作。</w:t>
        <w:br/>
        <w:t xml:space="preserve">    （七）落实软件产业相关任务，为企业提供政策传达、业务指导等服务。</w:t>
        <w:br/>
        <w:t xml:space="preserve">    （八）负责组织协调电力运行供需、电网运行等问题，开展电力需求侧管理，指导全区节约用电等工作，提供全区电力设施安全运行及反窃电等保障服务。</w:t>
        <w:br/>
        <w:t xml:space="preserve">    （九）负责落实上级工业领域有关节能工作政策、规章，组织开展节能宣传、节能工程和节能技术产品等推广应用，并提供节能监察服务。</w:t>
        <w:br/>
        <w:t xml:space="preserve">    （十）承担区委、区政府及区工业和信息化局交办的其他事项。</w:t>
        <w:br/>
        <w:t xml:space="preserve">    第四条  根据上述职责，沈阳市浑南区工业信息化服务中心设下列内设机构：</w:t>
        <w:br/>
        <w:t xml:space="preserve">    （一）综合办公室。负责综合协调、文字综合、文电、会务、机要、保密、档案、督查督办等工作；负责党组织建设相关工作，负责党风廉政建设和反腐败工作等工作。</w:t>
        <w:br/>
        <w:t xml:space="preserve">    核定全额拨款事业编制3名，部长1名（副科级）。</w:t>
        <w:br/>
        <w:t xml:space="preserve">    （二）两化融合推进部。负责电子信息、软件企业经济运行情况的监测分析；负责组织落实两化融合项目培育与申报等工作；负责协调相关部门指导促进企业推进工业数字化、智能化、网络化制造和应用，培育企业建设工业互联网平台、标识解析节点等相关项目，促进工业互联网发展。落实电子信息制造业专项资金支持项目的申报和实施，推动企业转型升级和产品结构调整。</w:t>
        <w:br/>
        <w:t xml:space="preserve">    核定全额拨款事业编制3名，部长1名（副科级）。</w:t>
        <w:br/>
        <w:t xml:space="preserve">    （三）5G产业发展部。负责贯彻落实上级关于5G产业发展的相关部署要求，培育5G应用示范项目及应用场景，为企业提供结合5G技术发展业务的指导服务。协调5G通信基础设施建设工作，指导并联合运营商进行5G宣传、科普，协调运营商进行通信保障工作。落实软件产业相关任务，为软件企业提供政策传达、业务指导等服务。</w:t>
        <w:br/>
        <w:t xml:space="preserve">    核定全额拨款事业编制3名，部长1名（副科级）。</w:t>
        <w:br/>
        <w:t xml:space="preserve">    （四）电力节能服务部。负责全区电力服务相关工作，组织协调电力运行供需、电网运行等问题，开展电力需求侧管理工作。指导全区节约用电、电力设施安全运行及反窃电等服务保障工作落实上级工业领域有关节能工作政策、规章；组织开展节能宣传、信息传播及培训工作；组织实施资源节约综合利用重大示范工程和新产品、新技术、新设备、新材料的推广应用；负责节能监察服务保障工作（不建立执法队伍）。</w:t>
        <w:br/>
        <w:t xml:space="preserve">    核定全额拨款事业编制4名，部长1名（副科级）。</w:t>
        <w:br/>
        <w:t xml:space="preserve">    第五条  沈阳市浑南区工业信息化服务中心核定全额拨款事业编制11名。设主任1名（副处级），科长2名（正科级）。</w:t>
        <w:br/>
        <w:t xml:space="preserve">    第六条  本规定由中共沈阳市浑南区委机构编制委员会办公室负责解释，其调整由中共沈阳市浑南区委机构编制委员会办公室按规定程序办理。</w:t>
        <w:br/>
        <w:t xml:space="preserve">    第七条  本规定自2021年4月30日起施行。</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辽宁省沈阳市浑南区工业和信息化局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1.沈阳市浑南区工业和信息化局本级</w:t>
        <w:br/>
        <w:t xml:space="preserve">    2.沈阳市浑南区工业和信息化事务服务中心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1241.74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1241.74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1241.74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增加376.32万元，增长43.48%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本年度项目拨款收入增加，上级对企业进行的专项补助资金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1241.74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553.67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44.59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工资福利支出410.39万元；商品和服务支出38.82万元；对个人和家庭的补助104.33万元；资本性支出0.13万元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688.07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55.41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主要包括对企业进行的上级专项费用补贴等业务支出。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增加376.32万元，增长43.48%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本年度项目支出增加，上级对企业进行的专项补助资金，我单位未安排年初预算，由财政拨付到我单位列支</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1241.74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553.67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688.07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增加376.32万元，增长43.48%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本年度项目支出增加，上级对企业进行的专项补助资金，我单位未安排年初预算，由财政拨付到我单位列支</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217.70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102.60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2239.07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2024年度一般公共预算财政拨款支出1241.74万元。按支出功能分类科目分，包括：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1.社会保障和就业支出161.09万元，具体包括：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14.18万元,主要是退休人员采暖补贴等支出，完成年初预算的139.8%，决算数与年初预算数存在差异的主要原因是2024年度新增两名在职转退休人员，相关经费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1.55万元,主要是退休人员采暖补贴等支出，完成年初预算的87.08%，决算数与年初预算数存在差异的主要原因是财政资金紧张未产生退休人员书报费报销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42.56万元,主要是在职人员的基本养老保险缴费等支出，完成年初预算的94.18%，决算数与年初预算数存在差异的主要原因是2024年度两名在职转退休人员无需缴费，相关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16.71万元,主要是退休人员职业年金缴纳等支出，完成年初预算的100%，决算数与年初预算数存在差异的主要原因是职业年金为退休后方可核定缴纳，无法做年初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86.09万元,主要是退休人员死亡的丧葬费和抚恤金等支出，完成年初预算的100%，决算数与年初预算数存在差异的主要原因是此项支出无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2.卫生健康支出17.81万元，具体包括：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12.13万元,主要是在职人员的基本医疗保险缴费等支出，完成年初预算的91.89%，决算数与年初预算数存在差异的主要原因是2024年度两名在职转退休人员无需缴费，相关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5.68万元,主要是在职人员的基本医疗保险缴费等支出，完成年初预算的133.3%，决算数与年初预算数存在差异的主要原因是人员调整变动，新入职人员增加，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3.资源勘探工业信息等支出1018.06万元，具体包括：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工业和信息产业监管（款）行政运行（项）236.25万元,主要是行政运行本级的基本经费等支出，完成年初预算的77.75%，决算数与年初预算数存在差异的主要原因是人员调整，基本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资源勘探工业信息等支出（类）工业和信息产业监管（款）一般行政管理事务（项）6.60万元,主要是一般行政管理事务的基本经费等支出，完成年初预算的24.72%，决算数与年初预算数存在差异的主要原因是财政资金紧张，减少开支，一些项目请款后未能拨付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资源勘探工业信息等支出（类）工业和信息产业监管（款）事业运行（项）93.75万元,主要是事业运行本级的基本经费等支出，完成年初预算的96.73%，决算数与年初预算数存在差异的主要原因是基本支出减少，经费紧张，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资源勘探工业信息等支出（类）工业和信息产业监管（款）其他工业和信息产业监管支出（项）0.96万元,主要是残疾人就业保障金缴纳等支出，完成年初预算的32%，决算数与年初预算数存在差异的主要原因是项目支出减少，经费紧张，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资源勘探工业信息等支出（类）其他资源勘探工业信息等支出（款）其他资源勘探工业信息等支出（项）680.50万元,主要是对企业进行的上级专项费用补贴等支出，完成年初预算的100%，决算数与年初预算数存在差异的主要原因是上级对企业进行的专项补助资金，我单位未安排年初预算，由财政拨付到我单位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4.住房保障支出44.78万元，具体包括：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44.78万元,主要是在职人员的住房公积金等支出，完成年初预算的71.65%，决算数与年初预算数存在差异的主要原因是财政经费紧张，未拨付支出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553.67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514.72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38.95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31.45</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比上年增加2.91万元，增长10.20%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2024年度新增新入职人员，支出增加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具体而言，本年度我部门共组织对10个项目实施了绩效评价。从预算资金来源看，涉及一般公共预算的项目10个，涉及政府性基金预算的项目0个，涉及国有资本经营预算的项目0个。</w:t>
        <w:br/>
        <w:t xml:space="preserve">    上述评价工作共涉及财政资金538.07万元。其中，一般公共预算资金538.07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0个；得分在60分以下、等级为“差”的项目有6个。各项目自评发现，部分项目存在预算执行进度偏慢问题等，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激励各地区和重点工业企业高质量发展专项资金，涉及资金500万元，评价平均分为100分，评级情况为优；第二个重点项目为2020年度规模以上工业企业奖补资金，涉及资金30.5万元，评价平均分为93.36分，评级情况为优。同时，评价也发现2020年度规模以上工业企业奖补资金项目存在问题，如：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1,241.74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161.09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17.82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1,018.06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44.78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1,241.74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1,241.74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1,241.74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1,241.74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1,241.74</w:t>
            </w:r>
          </w:p>
        </w:tc>
        <w:tc>
          <w:tcPr>
            <w:tcW w:w="960" w:type="dxa"/>
            <w:tcBorders/>
            <w:vAlign w:val="center"/>
          </w:tcPr>
          <w:p>
            <w:pPr>
              <w:jc w:val="right"/>
            </w:pPr>
            <w:r>
              <w:rPr>
                <w:rFonts w:ascii="宋体" w:eastAsia="宋体" w:hAnsi="宋体" w:cs="宋体"/>
                <w:b/>
                <w:i w:val="0"/>
                <w:color w:val="000000"/>
                <w:sz w:val="13"/>
              </w:rPr>
              <w:t xml:space="preserve">1,241.74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161.09</w:t>
            </w:r>
          </w:p>
        </w:tc>
        <w:tc>
          <w:tcPr>
            <w:tcW w:w="960" w:type="dxa"/>
            <w:tcBorders/>
            <w:vAlign w:val="center"/>
          </w:tcPr>
          <w:p>
            <w:pPr>
              <w:jc w:val="right"/>
            </w:pPr>
            <w:r>
              <w:rPr>
                <w:rFonts w:ascii="宋体" w:eastAsia="宋体" w:hAnsi="宋体" w:cs="宋体"/>
                <w:b w:val="0"/>
                <w:i w:val="0"/>
                <w:color w:val="000000"/>
                <w:sz w:val="13"/>
              </w:rPr>
              <w:t xml:space="preserve">161.09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75.00</w:t>
            </w:r>
          </w:p>
        </w:tc>
        <w:tc>
          <w:tcPr>
            <w:tcW w:w="960" w:type="dxa"/>
            <w:tcBorders/>
            <w:vAlign w:val="center"/>
          </w:tcPr>
          <w:p>
            <w:pPr>
              <w:jc w:val="right"/>
            </w:pPr>
            <w:r>
              <w:rPr>
                <w:rFonts w:ascii="宋体" w:eastAsia="宋体" w:hAnsi="宋体" w:cs="宋体"/>
                <w:b w:val="0"/>
                <w:i w:val="0"/>
                <w:color w:val="000000"/>
                <w:sz w:val="13"/>
              </w:rPr>
              <w:t xml:space="preserve">75.00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14.18</w:t>
            </w:r>
          </w:p>
        </w:tc>
        <w:tc>
          <w:tcPr>
            <w:tcW w:w="960" w:type="dxa"/>
            <w:tcBorders/>
            <w:vAlign w:val="center"/>
          </w:tcPr>
          <w:p>
            <w:pPr>
              <w:jc w:val="right"/>
            </w:pPr>
            <w:r>
              <w:rPr>
                <w:rFonts w:ascii="宋体" w:eastAsia="宋体" w:hAnsi="宋体" w:cs="宋体"/>
                <w:b w:val="0"/>
                <w:i w:val="0"/>
                <w:color w:val="000000"/>
                <w:sz w:val="13"/>
              </w:rPr>
              <w:t xml:space="preserve">14.18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1.55</w:t>
            </w:r>
          </w:p>
        </w:tc>
        <w:tc>
          <w:tcPr>
            <w:tcW w:w="960" w:type="dxa"/>
            <w:tcBorders/>
            <w:vAlign w:val="center"/>
          </w:tcPr>
          <w:p>
            <w:pPr>
              <w:jc w:val="right"/>
            </w:pPr>
            <w:r>
              <w:rPr>
                <w:rFonts w:ascii="宋体" w:eastAsia="宋体" w:hAnsi="宋体" w:cs="宋体"/>
                <w:b w:val="0"/>
                <w:i w:val="0"/>
                <w:color w:val="000000"/>
                <w:sz w:val="13"/>
              </w:rPr>
              <w:t xml:space="preserve">1.55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42.56</w:t>
            </w:r>
          </w:p>
        </w:tc>
        <w:tc>
          <w:tcPr>
            <w:tcW w:w="960" w:type="dxa"/>
            <w:tcBorders/>
            <w:vAlign w:val="center"/>
          </w:tcPr>
          <w:p>
            <w:pPr>
              <w:jc w:val="right"/>
            </w:pPr>
            <w:r>
              <w:rPr>
                <w:rFonts w:ascii="宋体" w:eastAsia="宋体" w:hAnsi="宋体" w:cs="宋体"/>
                <w:b w:val="0"/>
                <w:i w:val="0"/>
                <w:color w:val="000000"/>
                <w:sz w:val="13"/>
              </w:rPr>
              <w:t xml:space="preserve">42.56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16.71</w:t>
            </w:r>
          </w:p>
        </w:tc>
        <w:tc>
          <w:tcPr>
            <w:tcW w:w="960" w:type="dxa"/>
            <w:tcBorders/>
            <w:vAlign w:val="center"/>
          </w:tcPr>
          <w:p>
            <w:pPr>
              <w:jc w:val="right"/>
            </w:pPr>
            <w:r>
              <w:rPr>
                <w:rFonts w:ascii="宋体" w:eastAsia="宋体" w:hAnsi="宋体" w:cs="宋体"/>
                <w:b w:val="0"/>
                <w:i w:val="0"/>
                <w:color w:val="000000"/>
                <w:sz w:val="13"/>
              </w:rPr>
              <w:t xml:space="preserve">16.71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17.81</w:t>
            </w:r>
          </w:p>
        </w:tc>
        <w:tc>
          <w:tcPr>
            <w:tcW w:w="960" w:type="dxa"/>
            <w:tcBorders/>
            <w:vAlign w:val="center"/>
          </w:tcPr>
          <w:p>
            <w:pPr>
              <w:jc w:val="right"/>
            </w:pPr>
            <w:r>
              <w:rPr>
                <w:rFonts w:ascii="宋体" w:eastAsia="宋体" w:hAnsi="宋体" w:cs="宋体"/>
                <w:b w:val="0"/>
                <w:i w:val="0"/>
                <w:color w:val="000000"/>
                <w:sz w:val="13"/>
              </w:rPr>
              <w:t xml:space="preserve">17.81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17.81</w:t>
            </w:r>
          </w:p>
        </w:tc>
        <w:tc>
          <w:tcPr>
            <w:tcW w:w="960" w:type="dxa"/>
            <w:tcBorders/>
            <w:vAlign w:val="center"/>
          </w:tcPr>
          <w:p>
            <w:pPr>
              <w:jc w:val="right"/>
            </w:pPr>
            <w:r>
              <w:rPr>
                <w:rFonts w:ascii="宋体" w:eastAsia="宋体" w:hAnsi="宋体" w:cs="宋体"/>
                <w:b w:val="0"/>
                <w:i w:val="0"/>
                <w:color w:val="000000"/>
                <w:sz w:val="13"/>
              </w:rPr>
              <w:t xml:space="preserve">17.81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jc w:val="right"/>
            </w:pPr>
            <w:r>
              <w:rPr>
                <w:rFonts w:ascii="宋体" w:eastAsia="宋体" w:hAnsi="宋体" w:cs="宋体"/>
                <w:b w:val="0"/>
                <w:i w:val="0"/>
                <w:color w:val="000000"/>
                <w:sz w:val="13"/>
              </w:rPr>
              <w:t xml:space="preserve">5.68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1,018.06</w:t>
            </w:r>
          </w:p>
        </w:tc>
        <w:tc>
          <w:tcPr>
            <w:tcW w:w="960" w:type="dxa"/>
            <w:tcBorders/>
            <w:vAlign w:val="center"/>
          </w:tcPr>
          <w:p>
            <w:pPr>
              <w:jc w:val="right"/>
            </w:pPr>
            <w:r>
              <w:rPr>
                <w:rFonts w:ascii="宋体" w:eastAsia="宋体" w:hAnsi="宋体" w:cs="宋体"/>
                <w:b w:val="0"/>
                <w:i w:val="0"/>
                <w:color w:val="000000"/>
                <w:sz w:val="13"/>
              </w:rPr>
              <w:t xml:space="preserve">1,018.06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w:t>
            </w:r>
          </w:p>
        </w:tc>
        <w:tc>
          <w:tcPr>
            <w:tcW w:w="3200" w:type="dxa"/>
            <w:tcBorders/>
            <w:vAlign w:val="center"/>
          </w:tcPr>
          <w:p>
            <w:pPr>
              <w:jc w:val="left"/>
            </w:pPr>
            <w:r>
              <w:rPr>
                <w:rFonts w:ascii="宋体" w:eastAsia="宋体" w:hAnsi="宋体" w:cs="宋体"/>
                <w:b w:val="0"/>
                <w:i w:val="0"/>
                <w:color w:val="000000"/>
                <w:sz w:val="13"/>
              </w:rPr>
              <w:t xml:space="preserve">工业和信息产业监管</w:t>
            </w:r>
          </w:p>
        </w:tc>
        <w:tc>
          <w:tcPr>
            <w:tcW w:w="960" w:type="dxa"/>
            <w:tcBorders/>
            <w:vAlign w:val="center"/>
          </w:tcPr>
          <w:p>
            <w:pPr>
              <w:jc w:val="right"/>
            </w:pPr>
            <w:r>
              <w:rPr>
                <w:rFonts w:ascii="宋体" w:eastAsia="宋体" w:hAnsi="宋体" w:cs="宋体"/>
                <w:b w:val="0"/>
                <w:i w:val="0"/>
                <w:color w:val="000000"/>
                <w:sz w:val="13"/>
              </w:rPr>
              <w:t xml:space="preserve">337.56</w:t>
            </w:r>
          </w:p>
        </w:tc>
        <w:tc>
          <w:tcPr>
            <w:tcW w:w="960" w:type="dxa"/>
            <w:tcBorders/>
            <w:vAlign w:val="center"/>
          </w:tcPr>
          <w:p>
            <w:pPr>
              <w:jc w:val="right"/>
            </w:pPr>
            <w:r>
              <w:rPr>
                <w:rFonts w:ascii="宋体" w:eastAsia="宋体" w:hAnsi="宋体" w:cs="宋体"/>
                <w:b w:val="0"/>
                <w:i w:val="0"/>
                <w:color w:val="000000"/>
                <w:sz w:val="13"/>
              </w:rPr>
              <w:t xml:space="preserve">337.56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236.25</w:t>
            </w:r>
          </w:p>
        </w:tc>
        <w:tc>
          <w:tcPr>
            <w:tcW w:w="960" w:type="dxa"/>
            <w:tcBorders/>
            <w:vAlign w:val="center"/>
          </w:tcPr>
          <w:p>
            <w:pPr>
              <w:jc w:val="right"/>
            </w:pPr>
            <w:r>
              <w:rPr>
                <w:rFonts w:ascii="宋体" w:eastAsia="宋体" w:hAnsi="宋体" w:cs="宋体"/>
                <w:b w:val="0"/>
                <w:i w:val="0"/>
                <w:color w:val="000000"/>
                <w:sz w:val="13"/>
              </w:rPr>
              <w:t xml:space="preserve">236.25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6.60</w:t>
            </w:r>
          </w:p>
        </w:tc>
        <w:tc>
          <w:tcPr>
            <w:tcW w:w="960" w:type="dxa"/>
            <w:tcBorders/>
            <w:vAlign w:val="center"/>
          </w:tcPr>
          <w:p>
            <w:pPr>
              <w:jc w:val="right"/>
            </w:pPr>
            <w:r>
              <w:rPr>
                <w:rFonts w:ascii="宋体" w:eastAsia="宋体" w:hAnsi="宋体" w:cs="宋体"/>
                <w:b w:val="0"/>
                <w:i w:val="0"/>
                <w:color w:val="000000"/>
                <w:sz w:val="13"/>
              </w:rPr>
              <w:t xml:space="preserve">6.60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93.75</w:t>
            </w:r>
          </w:p>
        </w:tc>
        <w:tc>
          <w:tcPr>
            <w:tcW w:w="960" w:type="dxa"/>
            <w:tcBorders/>
            <w:vAlign w:val="center"/>
          </w:tcPr>
          <w:p>
            <w:pPr>
              <w:jc w:val="right"/>
            </w:pPr>
            <w:r>
              <w:rPr>
                <w:rFonts w:ascii="宋体" w:eastAsia="宋体" w:hAnsi="宋体" w:cs="宋体"/>
                <w:b w:val="0"/>
                <w:i w:val="0"/>
                <w:color w:val="000000"/>
                <w:sz w:val="13"/>
              </w:rPr>
              <w:t xml:space="preserve">93.75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2150599</w:t>
            </w:r>
          </w:p>
        </w:tc>
        <w:tc>
          <w:tcPr>
            <w:tcW w:w="3200" w:type="dxa"/>
            <w:tcBorders/>
            <w:vAlign w:val="center"/>
          </w:tcPr>
          <w:p>
            <w:pPr>
              <w:jc w:val="left"/>
            </w:pPr>
            <w:r>
              <w:rPr>
                <w:rFonts w:ascii="宋体" w:eastAsia="宋体" w:hAnsi="宋体" w:cs="宋体"/>
                <w:b w:val="0"/>
                <w:i w:val="0"/>
                <w:color w:val="000000"/>
                <w:sz w:val="13"/>
              </w:rPr>
              <w:t xml:space="preserve">其他工业和信息产业监管支出</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44.78</w:t>
            </w:r>
          </w:p>
        </w:tc>
        <w:tc>
          <w:tcPr>
            <w:tcW w:w="960" w:type="dxa"/>
            <w:tcBorders/>
            <w:vAlign w:val="center"/>
          </w:tcPr>
          <w:p>
            <w:pPr>
              <w:jc w:val="right"/>
            </w:pPr>
            <w:r>
              <w:rPr>
                <w:rFonts w:ascii="宋体" w:eastAsia="宋体" w:hAnsi="宋体" w:cs="宋体"/>
                <w:b w:val="0"/>
                <w:i w:val="0"/>
                <w:color w:val="000000"/>
                <w:sz w:val="13"/>
              </w:rPr>
              <w:t xml:space="preserve">44.78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44.78</w:t>
            </w:r>
          </w:p>
        </w:tc>
        <w:tc>
          <w:tcPr>
            <w:tcW w:w="960" w:type="dxa"/>
            <w:tcBorders/>
            <w:vAlign w:val="center"/>
          </w:tcPr>
          <w:p>
            <w:pPr>
              <w:jc w:val="right"/>
            </w:pPr>
            <w:r>
              <w:rPr>
                <w:rFonts w:ascii="宋体" w:eastAsia="宋体" w:hAnsi="宋体" w:cs="宋体"/>
                <w:b w:val="0"/>
                <w:i w:val="0"/>
                <w:color w:val="000000"/>
                <w:sz w:val="13"/>
              </w:rPr>
              <w:t xml:space="preserve">44.78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44.78</w:t>
            </w:r>
          </w:p>
        </w:tc>
        <w:tc>
          <w:tcPr>
            <w:tcW w:w="960" w:type="dxa"/>
            <w:tcBorders/>
            <w:vAlign w:val="center"/>
          </w:tcPr>
          <w:p>
            <w:pPr>
              <w:jc w:val="right"/>
            </w:pPr>
            <w:r>
              <w:rPr>
                <w:rFonts w:ascii="宋体" w:eastAsia="宋体" w:hAnsi="宋体" w:cs="宋体"/>
                <w:b w:val="0"/>
                <w:i w:val="0"/>
                <w:color w:val="000000"/>
                <w:sz w:val="13"/>
              </w:rPr>
              <w:t xml:space="preserve">44.78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1,241.74</w:t>
            </w:r>
          </w:p>
        </w:tc>
        <w:tc>
          <w:tcPr>
            <w:tcW w:w="1060" w:type="dxa"/>
            <w:tcBorders/>
            <w:vAlign w:val="center"/>
          </w:tcPr>
          <w:p>
            <w:pPr>
              <w:jc w:val="right"/>
            </w:pPr>
            <w:r>
              <w:rPr>
                <w:rFonts w:ascii="宋体" w:eastAsia="宋体" w:hAnsi="宋体" w:cs="宋体"/>
                <w:b/>
                <w:i w:val="0"/>
                <w:color w:val="000000"/>
                <w:sz w:val="14"/>
              </w:rPr>
              <w:t xml:space="preserve">553.67</w:t>
            </w:r>
          </w:p>
        </w:tc>
        <w:tc>
          <w:tcPr>
            <w:tcW w:w="1060" w:type="dxa"/>
            <w:tcBorders/>
            <w:vAlign w:val="center"/>
          </w:tcPr>
          <w:p>
            <w:pPr>
              <w:jc w:val="right"/>
            </w:pPr>
            <w:r>
              <w:rPr>
                <w:rFonts w:ascii="宋体" w:eastAsia="宋体" w:hAnsi="宋体" w:cs="宋体"/>
                <w:b/>
                <w:i w:val="0"/>
                <w:color w:val="000000"/>
                <w:sz w:val="14"/>
              </w:rPr>
              <w:t xml:space="preserve">688.07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161.09</w:t>
            </w:r>
          </w:p>
        </w:tc>
        <w:tc>
          <w:tcPr>
            <w:tcW w:w="1060" w:type="dxa"/>
            <w:tcBorders/>
            <w:vAlign w:val="center"/>
          </w:tcPr>
          <w:p>
            <w:pPr>
              <w:jc w:val="right"/>
            </w:pPr>
            <w:r>
              <w:rPr>
                <w:rFonts w:ascii="宋体" w:eastAsia="宋体" w:hAnsi="宋体" w:cs="宋体"/>
                <w:b w:val="0"/>
                <w:i w:val="0"/>
                <w:color w:val="000000"/>
                <w:sz w:val="14"/>
              </w:rPr>
              <w:t xml:space="preserve">161.09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75.00</w:t>
            </w:r>
          </w:p>
        </w:tc>
        <w:tc>
          <w:tcPr>
            <w:tcW w:w="1060" w:type="dxa"/>
            <w:tcBorders/>
            <w:vAlign w:val="center"/>
          </w:tcPr>
          <w:p>
            <w:pPr>
              <w:jc w:val="right"/>
            </w:pPr>
            <w:r>
              <w:rPr>
                <w:rFonts w:ascii="宋体" w:eastAsia="宋体" w:hAnsi="宋体" w:cs="宋体"/>
                <w:b w:val="0"/>
                <w:i w:val="0"/>
                <w:color w:val="000000"/>
                <w:sz w:val="14"/>
              </w:rPr>
              <w:t xml:space="preserve">75.00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14.18</w:t>
            </w:r>
          </w:p>
        </w:tc>
        <w:tc>
          <w:tcPr>
            <w:tcW w:w="1060" w:type="dxa"/>
            <w:tcBorders/>
            <w:vAlign w:val="center"/>
          </w:tcPr>
          <w:p>
            <w:pPr>
              <w:jc w:val="right"/>
            </w:pPr>
            <w:r>
              <w:rPr>
                <w:rFonts w:ascii="宋体" w:eastAsia="宋体" w:hAnsi="宋体" w:cs="宋体"/>
                <w:b w:val="0"/>
                <w:i w:val="0"/>
                <w:color w:val="000000"/>
                <w:sz w:val="14"/>
              </w:rPr>
              <w:t xml:space="preserve">14.18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1.55</w:t>
            </w:r>
          </w:p>
        </w:tc>
        <w:tc>
          <w:tcPr>
            <w:tcW w:w="1060" w:type="dxa"/>
            <w:tcBorders/>
            <w:vAlign w:val="center"/>
          </w:tcPr>
          <w:p>
            <w:pPr>
              <w:jc w:val="right"/>
            </w:pPr>
            <w:r>
              <w:rPr>
                <w:rFonts w:ascii="宋体" w:eastAsia="宋体" w:hAnsi="宋体" w:cs="宋体"/>
                <w:b w:val="0"/>
                <w:i w:val="0"/>
                <w:color w:val="000000"/>
                <w:sz w:val="14"/>
              </w:rPr>
              <w:t xml:space="preserve">1.55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42.56</w:t>
            </w:r>
          </w:p>
        </w:tc>
        <w:tc>
          <w:tcPr>
            <w:tcW w:w="1060" w:type="dxa"/>
            <w:tcBorders/>
            <w:vAlign w:val="center"/>
          </w:tcPr>
          <w:p>
            <w:pPr>
              <w:jc w:val="right"/>
            </w:pPr>
            <w:r>
              <w:rPr>
                <w:rFonts w:ascii="宋体" w:eastAsia="宋体" w:hAnsi="宋体" w:cs="宋体"/>
                <w:b w:val="0"/>
                <w:i w:val="0"/>
                <w:color w:val="000000"/>
                <w:sz w:val="14"/>
              </w:rPr>
              <w:t xml:space="preserve">42.56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16.71</w:t>
            </w:r>
          </w:p>
        </w:tc>
        <w:tc>
          <w:tcPr>
            <w:tcW w:w="1060" w:type="dxa"/>
            <w:tcBorders/>
            <w:vAlign w:val="center"/>
          </w:tcPr>
          <w:p>
            <w:pPr>
              <w:jc w:val="right"/>
            </w:pPr>
            <w:r>
              <w:rPr>
                <w:rFonts w:ascii="宋体" w:eastAsia="宋体" w:hAnsi="宋体" w:cs="宋体"/>
                <w:b w:val="0"/>
                <w:i w:val="0"/>
                <w:color w:val="000000"/>
                <w:sz w:val="14"/>
              </w:rPr>
              <w:t xml:space="preserve">16.71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17.81</w:t>
            </w:r>
          </w:p>
        </w:tc>
        <w:tc>
          <w:tcPr>
            <w:tcW w:w="1060" w:type="dxa"/>
            <w:tcBorders/>
            <w:vAlign w:val="center"/>
          </w:tcPr>
          <w:p>
            <w:pPr>
              <w:jc w:val="right"/>
            </w:pPr>
            <w:r>
              <w:rPr>
                <w:rFonts w:ascii="宋体" w:eastAsia="宋体" w:hAnsi="宋体" w:cs="宋体"/>
                <w:b w:val="0"/>
                <w:i w:val="0"/>
                <w:color w:val="000000"/>
                <w:sz w:val="14"/>
              </w:rPr>
              <w:t xml:space="preserve">17.81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17.81</w:t>
            </w:r>
          </w:p>
        </w:tc>
        <w:tc>
          <w:tcPr>
            <w:tcW w:w="1060" w:type="dxa"/>
            <w:tcBorders/>
            <w:vAlign w:val="center"/>
          </w:tcPr>
          <w:p>
            <w:pPr>
              <w:jc w:val="right"/>
            </w:pPr>
            <w:r>
              <w:rPr>
                <w:rFonts w:ascii="宋体" w:eastAsia="宋体" w:hAnsi="宋体" w:cs="宋体"/>
                <w:b w:val="0"/>
                <w:i w:val="0"/>
                <w:color w:val="000000"/>
                <w:sz w:val="14"/>
              </w:rPr>
              <w:t xml:space="preserve">17.81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jc w:val="right"/>
            </w:pPr>
            <w:r>
              <w:rPr>
                <w:rFonts w:ascii="宋体" w:eastAsia="宋体" w:hAnsi="宋体" w:cs="宋体"/>
                <w:b w:val="0"/>
                <w:i w:val="0"/>
                <w:color w:val="000000"/>
                <w:sz w:val="14"/>
              </w:rPr>
              <w:t xml:space="preserve">5.68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1,018.06</w:t>
            </w:r>
          </w:p>
        </w:tc>
        <w:tc>
          <w:tcPr>
            <w:tcW w:w="1060" w:type="dxa"/>
            <w:tcBorders/>
            <w:vAlign w:val="center"/>
          </w:tcPr>
          <w:p>
            <w:pPr>
              <w:jc w:val="right"/>
            </w:pPr>
            <w:r>
              <w:rPr>
                <w:rFonts w:ascii="宋体" w:eastAsia="宋体" w:hAnsi="宋体" w:cs="宋体"/>
                <w:b w:val="0"/>
                <w:i w:val="0"/>
                <w:color w:val="000000"/>
                <w:sz w:val="14"/>
              </w:rPr>
              <w:t xml:space="preserve">330.00</w:t>
            </w:r>
          </w:p>
        </w:tc>
        <w:tc>
          <w:tcPr>
            <w:tcW w:w="1060" w:type="dxa"/>
            <w:tcBorders/>
            <w:vAlign w:val="center"/>
          </w:tcPr>
          <w:p>
            <w:pPr>
              <w:jc w:val="right"/>
            </w:pPr>
            <w:r>
              <w:rPr>
                <w:rFonts w:ascii="宋体" w:eastAsia="宋体" w:hAnsi="宋体" w:cs="宋体"/>
                <w:b w:val="0"/>
                <w:i w:val="0"/>
                <w:color w:val="000000"/>
                <w:sz w:val="14"/>
              </w:rPr>
              <w:t xml:space="preserve">688.06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w:t>
            </w:r>
          </w:p>
        </w:tc>
        <w:tc>
          <w:tcPr>
            <w:tcW w:w="3440" w:type="dxa"/>
            <w:tcBorders/>
            <w:vAlign w:val="center"/>
          </w:tcPr>
          <w:p>
            <w:pPr>
              <w:jc w:val="left"/>
            </w:pPr>
            <w:r>
              <w:rPr>
                <w:rFonts w:ascii="宋体" w:eastAsia="宋体" w:hAnsi="宋体" w:cs="宋体"/>
                <w:b w:val="0"/>
                <w:i w:val="0"/>
                <w:color w:val="000000"/>
                <w:sz w:val="14"/>
              </w:rPr>
              <w:t xml:space="preserve">工业和信息产业监管</w:t>
            </w:r>
          </w:p>
        </w:tc>
        <w:tc>
          <w:tcPr>
            <w:tcW w:w="1060" w:type="dxa"/>
            <w:tcBorders/>
            <w:vAlign w:val="center"/>
          </w:tcPr>
          <w:p>
            <w:pPr>
              <w:jc w:val="right"/>
            </w:pPr>
            <w:r>
              <w:rPr>
                <w:rFonts w:ascii="宋体" w:eastAsia="宋体" w:hAnsi="宋体" w:cs="宋体"/>
                <w:b w:val="0"/>
                <w:i w:val="0"/>
                <w:color w:val="000000"/>
                <w:sz w:val="14"/>
              </w:rPr>
              <w:t xml:space="preserve">337.56</w:t>
            </w:r>
          </w:p>
        </w:tc>
        <w:tc>
          <w:tcPr>
            <w:tcW w:w="1060" w:type="dxa"/>
            <w:tcBorders/>
            <w:vAlign w:val="center"/>
          </w:tcPr>
          <w:p>
            <w:pPr>
              <w:jc w:val="right"/>
            </w:pPr>
            <w:r>
              <w:rPr>
                <w:rFonts w:ascii="宋体" w:eastAsia="宋体" w:hAnsi="宋体" w:cs="宋体"/>
                <w:b w:val="0"/>
                <w:i w:val="0"/>
                <w:color w:val="000000"/>
                <w:sz w:val="14"/>
              </w:rPr>
              <w:t xml:space="preserve">330.00</w:t>
            </w:r>
          </w:p>
        </w:tc>
        <w:tc>
          <w:tcPr>
            <w:tcW w:w="1060" w:type="dxa"/>
            <w:tcBorders/>
            <w:vAlign w:val="center"/>
          </w:tcPr>
          <w:p>
            <w:pPr>
              <w:jc w:val="right"/>
            </w:pPr>
            <w:r>
              <w:rPr>
                <w:rFonts w:ascii="宋体" w:eastAsia="宋体" w:hAnsi="宋体" w:cs="宋体"/>
                <w:b w:val="0"/>
                <w:i w:val="0"/>
                <w:color w:val="000000"/>
                <w:sz w:val="14"/>
              </w:rPr>
              <w:t xml:space="preserve">7.56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236.25</w:t>
            </w:r>
          </w:p>
        </w:tc>
        <w:tc>
          <w:tcPr>
            <w:tcW w:w="1060" w:type="dxa"/>
            <w:tcBorders/>
            <w:vAlign w:val="center"/>
          </w:tcPr>
          <w:p>
            <w:pPr>
              <w:jc w:val="right"/>
            </w:pPr>
            <w:r>
              <w:rPr>
                <w:rFonts w:ascii="宋体" w:eastAsia="宋体" w:hAnsi="宋体" w:cs="宋体"/>
                <w:b w:val="0"/>
                <w:i w:val="0"/>
                <w:color w:val="000000"/>
                <w:sz w:val="14"/>
              </w:rPr>
              <w:t xml:space="preserve">236.25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93.75</w:t>
            </w:r>
          </w:p>
        </w:tc>
        <w:tc>
          <w:tcPr>
            <w:tcW w:w="1060" w:type="dxa"/>
            <w:tcBorders/>
            <w:vAlign w:val="center"/>
          </w:tcPr>
          <w:p>
            <w:pPr>
              <w:jc w:val="right"/>
            </w:pPr>
            <w:r>
              <w:rPr>
                <w:rFonts w:ascii="宋体" w:eastAsia="宋体" w:hAnsi="宋体" w:cs="宋体"/>
                <w:b w:val="0"/>
                <w:i w:val="0"/>
                <w:color w:val="000000"/>
                <w:sz w:val="14"/>
              </w:rPr>
              <w:t xml:space="preserve">93.75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2150599</w:t>
            </w:r>
          </w:p>
        </w:tc>
        <w:tc>
          <w:tcPr>
            <w:tcW w:w="3440" w:type="dxa"/>
            <w:tcBorders/>
            <w:vAlign w:val="center"/>
          </w:tcPr>
          <w:p>
            <w:pPr>
              <w:jc w:val="left"/>
            </w:pPr>
            <w:r>
              <w:rPr>
                <w:rFonts w:ascii="宋体" w:eastAsia="宋体" w:hAnsi="宋体" w:cs="宋体"/>
                <w:b w:val="0"/>
                <w:i w:val="0"/>
                <w:color w:val="000000"/>
                <w:sz w:val="14"/>
              </w:rPr>
              <w:t xml:space="preserve">其他工业和信息产业监管支出</w:t>
            </w: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44.78</w:t>
            </w:r>
          </w:p>
        </w:tc>
        <w:tc>
          <w:tcPr>
            <w:tcW w:w="1060" w:type="dxa"/>
            <w:tcBorders/>
            <w:vAlign w:val="center"/>
          </w:tcPr>
          <w:p>
            <w:pPr>
              <w:jc w:val="right"/>
            </w:pPr>
            <w:r>
              <w:rPr>
                <w:rFonts w:ascii="宋体" w:eastAsia="宋体" w:hAnsi="宋体" w:cs="宋体"/>
                <w:b w:val="0"/>
                <w:i w:val="0"/>
                <w:color w:val="000000"/>
                <w:sz w:val="14"/>
              </w:rPr>
              <w:t xml:space="preserve">44.78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44.78</w:t>
            </w:r>
          </w:p>
        </w:tc>
        <w:tc>
          <w:tcPr>
            <w:tcW w:w="1060" w:type="dxa"/>
            <w:tcBorders/>
            <w:vAlign w:val="center"/>
          </w:tcPr>
          <w:p>
            <w:pPr>
              <w:jc w:val="right"/>
            </w:pPr>
            <w:r>
              <w:rPr>
                <w:rFonts w:ascii="宋体" w:eastAsia="宋体" w:hAnsi="宋体" w:cs="宋体"/>
                <w:b w:val="0"/>
                <w:i w:val="0"/>
                <w:color w:val="000000"/>
                <w:sz w:val="14"/>
              </w:rPr>
              <w:t xml:space="preserve">44.78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44.78</w:t>
            </w:r>
          </w:p>
        </w:tc>
        <w:tc>
          <w:tcPr>
            <w:tcW w:w="1060" w:type="dxa"/>
            <w:tcBorders/>
            <w:vAlign w:val="center"/>
          </w:tcPr>
          <w:p>
            <w:pPr>
              <w:jc w:val="right"/>
            </w:pPr>
            <w:r>
              <w:rPr>
                <w:rFonts w:ascii="宋体" w:eastAsia="宋体" w:hAnsi="宋体" w:cs="宋体"/>
                <w:b w:val="0"/>
                <w:i w:val="0"/>
                <w:color w:val="000000"/>
                <w:sz w:val="14"/>
              </w:rPr>
              <w:t xml:space="preserve">44.78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1,241.74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161.09</w:t>
            </w:r>
          </w:p>
        </w:tc>
        <w:tc>
          <w:tcPr>
            <w:tcW w:w="1100" w:type="dxa"/>
            <w:tcBorders/>
            <w:vAlign w:val="center"/>
          </w:tcPr>
          <w:p>
            <w:pPr>
              <w:jc w:val="right"/>
            </w:pPr>
            <w:r>
              <w:rPr>
                <w:rFonts w:ascii="宋体" w:eastAsia="宋体" w:hAnsi="宋体" w:cs="宋体"/>
                <w:b w:val="0"/>
                <w:i w:val="0"/>
                <w:color w:val="000000"/>
                <w:sz w:val="14"/>
              </w:rPr>
              <w:t xml:space="preserve">161.09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17.82</w:t>
            </w:r>
          </w:p>
        </w:tc>
        <w:tc>
          <w:tcPr>
            <w:tcW w:w="1100" w:type="dxa"/>
            <w:tcBorders/>
            <w:vAlign w:val="center"/>
          </w:tcPr>
          <w:p>
            <w:pPr>
              <w:jc w:val="right"/>
            </w:pPr>
            <w:r>
              <w:rPr>
                <w:rFonts w:ascii="宋体" w:eastAsia="宋体" w:hAnsi="宋体" w:cs="宋体"/>
                <w:b w:val="0"/>
                <w:i w:val="0"/>
                <w:color w:val="000000"/>
                <w:sz w:val="14"/>
              </w:rPr>
              <w:t xml:space="preserve">17.82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1,018.06</w:t>
            </w:r>
          </w:p>
        </w:tc>
        <w:tc>
          <w:tcPr>
            <w:tcW w:w="1100" w:type="dxa"/>
            <w:tcBorders/>
            <w:vAlign w:val="center"/>
          </w:tcPr>
          <w:p>
            <w:pPr>
              <w:jc w:val="right"/>
            </w:pPr>
            <w:r>
              <w:rPr>
                <w:rFonts w:ascii="宋体" w:eastAsia="宋体" w:hAnsi="宋体" w:cs="宋体"/>
                <w:b w:val="0"/>
                <w:i w:val="0"/>
                <w:color w:val="000000"/>
                <w:sz w:val="14"/>
              </w:rPr>
              <w:t xml:space="preserve">1,018.06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44.78</w:t>
            </w:r>
          </w:p>
        </w:tc>
        <w:tc>
          <w:tcPr>
            <w:tcW w:w="1100" w:type="dxa"/>
            <w:tcBorders/>
            <w:vAlign w:val="center"/>
          </w:tcPr>
          <w:p>
            <w:pPr>
              <w:jc w:val="right"/>
            </w:pPr>
            <w:r>
              <w:rPr>
                <w:rFonts w:ascii="宋体" w:eastAsia="宋体" w:hAnsi="宋体" w:cs="宋体"/>
                <w:b w:val="0"/>
                <w:i w:val="0"/>
                <w:color w:val="000000"/>
                <w:sz w:val="14"/>
              </w:rPr>
              <w:t xml:space="preserve">44.78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1,241.74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1,241.74</w:t>
            </w:r>
          </w:p>
        </w:tc>
        <w:tc>
          <w:tcPr>
            <w:tcW w:w="1100" w:type="dxa"/>
            <w:tcBorders/>
            <w:vAlign w:val="center"/>
          </w:tcPr>
          <w:p>
            <w:pPr>
              <w:jc w:val="right"/>
            </w:pPr>
            <w:r>
              <w:rPr>
                <w:rFonts w:ascii="宋体" w:eastAsia="宋体" w:hAnsi="宋体" w:cs="宋体"/>
                <w:b w:val="0"/>
                <w:i w:val="0"/>
                <w:color w:val="000000"/>
                <w:sz w:val="14"/>
              </w:rPr>
              <w:t xml:space="preserve">1,241.74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1,241.74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1,241.74</w:t>
            </w:r>
          </w:p>
        </w:tc>
        <w:tc>
          <w:tcPr>
            <w:tcW w:w="1100" w:type="dxa"/>
            <w:tcBorders/>
            <w:vAlign w:val="center"/>
          </w:tcPr>
          <w:p>
            <w:pPr>
              <w:jc w:val="right"/>
            </w:pPr>
            <w:r>
              <w:rPr>
                <w:rFonts w:ascii="宋体" w:eastAsia="宋体" w:hAnsi="宋体" w:cs="宋体"/>
                <w:b w:val="0"/>
                <w:i w:val="0"/>
                <w:color w:val="000000"/>
                <w:sz w:val="14"/>
              </w:rPr>
              <w:t xml:space="preserve">1,241.74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1,241.74</w:t>
            </w:r>
          </w:p>
        </w:tc>
        <w:tc>
          <w:tcPr>
            <w:tcW w:w="1780" w:type="dxa"/>
            <w:tcBorders/>
            <w:vAlign w:val="center"/>
          </w:tcPr>
          <w:p>
            <w:pPr>
              <w:jc w:val="right"/>
            </w:pPr>
            <w:r>
              <w:rPr>
                <w:rFonts w:ascii="宋体" w:eastAsia="宋体" w:hAnsi="宋体" w:cs="宋体"/>
                <w:b/>
                <w:i w:val="0"/>
                <w:color w:val="000000"/>
                <w:sz w:val="18"/>
              </w:rPr>
              <w:t xml:space="preserve">553.67</w:t>
            </w:r>
          </w:p>
        </w:tc>
        <w:tc>
          <w:tcPr>
            <w:tcW w:w="1772" w:type="dxa"/>
            <w:tcBorders/>
            <w:vAlign w:val="center"/>
          </w:tcPr>
          <w:p>
            <w:pPr>
              <w:jc w:val="right"/>
            </w:pPr>
            <w:r>
              <w:rPr>
                <w:rFonts w:ascii="宋体" w:eastAsia="宋体" w:hAnsi="宋体" w:cs="宋体"/>
                <w:b/>
                <w:i w:val="0"/>
                <w:color w:val="000000"/>
                <w:sz w:val="18"/>
              </w:rPr>
              <w:t xml:space="preserve">688.07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161.09</w:t>
            </w:r>
          </w:p>
        </w:tc>
        <w:tc>
          <w:tcPr>
            <w:tcW w:w="1780" w:type="dxa"/>
            <w:tcBorders/>
            <w:vAlign w:val="center"/>
          </w:tcPr>
          <w:p>
            <w:pPr>
              <w:jc w:val="right"/>
            </w:pPr>
            <w:r>
              <w:rPr>
                <w:rFonts w:ascii="宋体" w:eastAsia="宋体" w:hAnsi="宋体" w:cs="宋体"/>
                <w:b w:val="0"/>
                <w:i w:val="0"/>
                <w:color w:val="000000"/>
                <w:sz w:val="18"/>
              </w:rPr>
              <w:t xml:space="preserve">161.09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75.00</w:t>
            </w:r>
          </w:p>
        </w:tc>
        <w:tc>
          <w:tcPr>
            <w:tcW w:w="1780" w:type="dxa"/>
            <w:tcBorders/>
            <w:vAlign w:val="center"/>
          </w:tcPr>
          <w:p>
            <w:pPr>
              <w:jc w:val="right"/>
            </w:pPr>
            <w:r>
              <w:rPr>
                <w:rFonts w:ascii="宋体" w:eastAsia="宋体" w:hAnsi="宋体" w:cs="宋体"/>
                <w:b w:val="0"/>
                <w:i w:val="0"/>
                <w:color w:val="000000"/>
                <w:sz w:val="18"/>
              </w:rPr>
              <w:t xml:space="preserve">75.00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14.18</w:t>
            </w:r>
          </w:p>
        </w:tc>
        <w:tc>
          <w:tcPr>
            <w:tcW w:w="1780" w:type="dxa"/>
            <w:tcBorders/>
            <w:vAlign w:val="center"/>
          </w:tcPr>
          <w:p>
            <w:pPr>
              <w:jc w:val="right"/>
            </w:pPr>
            <w:r>
              <w:rPr>
                <w:rFonts w:ascii="宋体" w:eastAsia="宋体" w:hAnsi="宋体" w:cs="宋体"/>
                <w:b w:val="0"/>
                <w:i w:val="0"/>
                <w:color w:val="000000"/>
                <w:sz w:val="18"/>
              </w:rPr>
              <w:t xml:space="preserve">14.18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1.55</w:t>
            </w:r>
          </w:p>
        </w:tc>
        <w:tc>
          <w:tcPr>
            <w:tcW w:w="1780" w:type="dxa"/>
            <w:tcBorders/>
            <w:vAlign w:val="center"/>
          </w:tcPr>
          <w:p>
            <w:pPr>
              <w:jc w:val="right"/>
            </w:pPr>
            <w:r>
              <w:rPr>
                <w:rFonts w:ascii="宋体" w:eastAsia="宋体" w:hAnsi="宋体" w:cs="宋体"/>
                <w:b w:val="0"/>
                <w:i w:val="0"/>
                <w:color w:val="000000"/>
                <w:sz w:val="18"/>
              </w:rPr>
              <w:t xml:space="preserve">1.55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42.56</w:t>
            </w:r>
          </w:p>
        </w:tc>
        <w:tc>
          <w:tcPr>
            <w:tcW w:w="1780" w:type="dxa"/>
            <w:tcBorders/>
            <w:vAlign w:val="center"/>
          </w:tcPr>
          <w:p>
            <w:pPr>
              <w:jc w:val="right"/>
            </w:pPr>
            <w:r>
              <w:rPr>
                <w:rFonts w:ascii="宋体" w:eastAsia="宋体" w:hAnsi="宋体" w:cs="宋体"/>
                <w:b w:val="0"/>
                <w:i w:val="0"/>
                <w:color w:val="000000"/>
                <w:sz w:val="18"/>
              </w:rPr>
              <w:t xml:space="preserve">42.56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16.71</w:t>
            </w:r>
          </w:p>
        </w:tc>
        <w:tc>
          <w:tcPr>
            <w:tcW w:w="1780" w:type="dxa"/>
            <w:tcBorders/>
            <w:vAlign w:val="center"/>
          </w:tcPr>
          <w:p>
            <w:pPr>
              <w:jc w:val="right"/>
            </w:pPr>
            <w:r>
              <w:rPr>
                <w:rFonts w:ascii="宋体" w:eastAsia="宋体" w:hAnsi="宋体" w:cs="宋体"/>
                <w:b w:val="0"/>
                <w:i w:val="0"/>
                <w:color w:val="000000"/>
                <w:sz w:val="18"/>
              </w:rPr>
              <w:t xml:space="preserve">16.71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17.81</w:t>
            </w:r>
          </w:p>
        </w:tc>
        <w:tc>
          <w:tcPr>
            <w:tcW w:w="1780" w:type="dxa"/>
            <w:tcBorders/>
            <w:vAlign w:val="center"/>
          </w:tcPr>
          <w:p>
            <w:pPr>
              <w:jc w:val="right"/>
            </w:pPr>
            <w:r>
              <w:rPr>
                <w:rFonts w:ascii="宋体" w:eastAsia="宋体" w:hAnsi="宋体" w:cs="宋体"/>
                <w:b w:val="0"/>
                <w:i w:val="0"/>
                <w:color w:val="000000"/>
                <w:sz w:val="18"/>
              </w:rPr>
              <w:t xml:space="preserve">17.81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17.81</w:t>
            </w:r>
          </w:p>
        </w:tc>
        <w:tc>
          <w:tcPr>
            <w:tcW w:w="1780" w:type="dxa"/>
            <w:tcBorders/>
            <w:vAlign w:val="center"/>
          </w:tcPr>
          <w:p>
            <w:pPr>
              <w:jc w:val="right"/>
            </w:pPr>
            <w:r>
              <w:rPr>
                <w:rFonts w:ascii="宋体" w:eastAsia="宋体" w:hAnsi="宋体" w:cs="宋体"/>
                <w:b w:val="0"/>
                <w:i w:val="0"/>
                <w:color w:val="000000"/>
                <w:sz w:val="18"/>
              </w:rPr>
              <w:t xml:space="preserve">17.81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80" w:type="dxa"/>
            <w:tcBorders/>
            <w:vAlign w:val="center"/>
          </w:tcPr>
          <w:p>
            <w:pPr>
              <w:jc w:val="right"/>
            </w:pPr>
            <w:r>
              <w:rPr>
                <w:rFonts w:ascii="宋体" w:eastAsia="宋体" w:hAnsi="宋体" w:cs="宋体"/>
                <w:b w:val="0"/>
                <w:i w:val="0"/>
                <w:color w:val="000000"/>
                <w:sz w:val="18"/>
              </w:rPr>
              <w:t xml:space="preserve">5.68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1,018.06</w:t>
            </w:r>
          </w:p>
        </w:tc>
        <w:tc>
          <w:tcPr>
            <w:tcW w:w="1780" w:type="dxa"/>
            <w:tcBorders/>
            <w:vAlign w:val="center"/>
          </w:tcPr>
          <w:p>
            <w:pPr>
              <w:jc w:val="right"/>
            </w:pPr>
            <w:r>
              <w:rPr>
                <w:rFonts w:ascii="宋体" w:eastAsia="宋体" w:hAnsi="宋体" w:cs="宋体"/>
                <w:b w:val="0"/>
                <w:i w:val="0"/>
                <w:color w:val="000000"/>
                <w:sz w:val="18"/>
              </w:rPr>
              <w:t xml:space="preserve">330.00</w:t>
            </w:r>
          </w:p>
        </w:tc>
        <w:tc>
          <w:tcPr>
            <w:tcW w:w="1772" w:type="dxa"/>
            <w:tcBorders/>
            <w:vAlign w:val="center"/>
          </w:tcPr>
          <w:p>
            <w:pPr>
              <w:jc w:val="right"/>
            </w:pPr>
            <w:r>
              <w:rPr>
                <w:rFonts w:ascii="宋体" w:eastAsia="宋体" w:hAnsi="宋体" w:cs="宋体"/>
                <w:b w:val="0"/>
                <w:i w:val="0"/>
                <w:color w:val="000000"/>
                <w:sz w:val="18"/>
              </w:rPr>
              <w:t xml:space="preserve">688.06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w:t>
            </w:r>
          </w:p>
        </w:tc>
        <w:tc>
          <w:tcPr>
            <w:tcW w:w="4300" w:type="dxa"/>
            <w:tcBorders/>
            <w:vAlign w:val="center"/>
          </w:tcPr>
          <w:p>
            <w:pPr>
              <w:jc w:val="left"/>
            </w:pPr>
            <w:r>
              <w:rPr>
                <w:rFonts w:ascii="宋体" w:eastAsia="宋体" w:hAnsi="宋体" w:cs="宋体"/>
                <w:b w:val="0"/>
                <w:i w:val="0"/>
                <w:color w:val="000000"/>
                <w:sz w:val="18"/>
              </w:rPr>
              <w:t xml:space="preserve">工业和信息产业监管</w:t>
            </w:r>
          </w:p>
        </w:tc>
        <w:tc>
          <w:tcPr>
            <w:tcW w:w="1780" w:type="dxa"/>
            <w:tcBorders/>
            <w:vAlign w:val="center"/>
          </w:tcPr>
          <w:p>
            <w:pPr>
              <w:jc w:val="right"/>
            </w:pPr>
            <w:r>
              <w:rPr>
                <w:rFonts w:ascii="宋体" w:eastAsia="宋体" w:hAnsi="宋体" w:cs="宋体"/>
                <w:b w:val="0"/>
                <w:i w:val="0"/>
                <w:color w:val="000000"/>
                <w:sz w:val="18"/>
              </w:rPr>
              <w:t xml:space="preserve">337.56</w:t>
            </w:r>
          </w:p>
        </w:tc>
        <w:tc>
          <w:tcPr>
            <w:tcW w:w="1780" w:type="dxa"/>
            <w:tcBorders/>
            <w:vAlign w:val="center"/>
          </w:tcPr>
          <w:p>
            <w:pPr>
              <w:jc w:val="right"/>
            </w:pPr>
            <w:r>
              <w:rPr>
                <w:rFonts w:ascii="宋体" w:eastAsia="宋体" w:hAnsi="宋体" w:cs="宋体"/>
                <w:b w:val="0"/>
                <w:i w:val="0"/>
                <w:color w:val="000000"/>
                <w:sz w:val="18"/>
              </w:rPr>
              <w:t xml:space="preserve">330.00</w:t>
            </w:r>
          </w:p>
        </w:tc>
        <w:tc>
          <w:tcPr>
            <w:tcW w:w="1772" w:type="dxa"/>
            <w:tcBorders/>
            <w:vAlign w:val="center"/>
          </w:tcPr>
          <w:p>
            <w:pPr>
              <w:jc w:val="right"/>
            </w:pPr>
            <w:r>
              <w:rPr>
                <w:rFonts w:ascii="宋体" w:eastAsia="宋体" w:hAnsi="宋体" w:cs="宋体"/>
                <w:b w:val="0"/>
                <w:i w:val="0"/>
                <w:color w:val="000000"/>
                <w:sz w:val="18"/>
              </w:rPr>
              <w:t xml:space="preserve">7.56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236.25</w:t>
            </w:r>
          </w:p>
        </w:tc>
        <w:tc>
          <w:tcPr>
            <w:tcW w:w="1780" w:type="dxa"/>
            <w:tcBorders/>
            <w:vAlign w:val="center"/>
          </w:tcPr>
          <w:p>
            <w:pPr>
              <w:jc w:val="right"/>
            </w:pPr>
            <w:r>
              <w:rPr>
                <w:rFonts w:ascii="宋体" w:eastAsia="宋体" w:hAnsi="宋体" w:cs="宋体"/>
                <w:b w:val="0"/>
                <w:i w:val="0"/>
                <w:color w:val="000000"/>
                <w:sz w:val="18"/>
              </w:rPr>
              <w:t xml:space="preserve">236.25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93.75</w:t>
            </w:r>
          </w:p>
        </w:tc>
        <w:tc>
          <w:tcPr>
            <w:tcW w:w="1780" w:type="dxa"/>
            <w:tcBorders/>
            <w:vAlign w:val="center"/>
          </w:tcPr>
          <w:p>
            <w:pPr>
              <w:jc w:val="right"/>
            </w:pPr>
            <w:r>
              <w:rPr>
                <w:rFonts w:ascii="宋体" w:eastAsia="宋体" w:hAnsi="宋体" w:cs="宋体"/>
                <w:b w:val="0"/>
                <w:i w:val="0"/>
                <w:color w:val="000000"/>
                <w:sz w:val="18"/>
              </w:rPr>
              <w:t xml:space="preserve">93.75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2150599</w:t>
            </w:r>
          </w:p>
        </w:tc>
        <w:tc>
          <w:tcPr>
            <w:tcW w:w="4300" w:type="dxa"/>
            <w:tcBorders/>
            <w:vAlign w:val="center"/>
          </w:tcPr>
          <w:p>
            <w:pPr>
              <w:jc w:val="left"/>
            </w:pPr>
            <w:r>
              <w:rPr>
                <w:rFonts w:ascii="宋体" w:eastAsia="宋体" w:hAnsi="宋体" w:cs="宋体"/>
                <w:b w:val="0"/>
                <w:i w:val="0"/>
                <w:color w:val="000000"/>
                <w:sz w:val="18"/>
              </w:rPr>
              <w:t xml:space="preserve">其他工业和信息产业监管支出</w:t>
            </w:r>
          </w:p>
        </w:tc>
        <w:tc>
          <w:tcPr>
            <w:tcW w:w="1780" w:type="dxa"/>
            <w:tcBorders/>
            <w:vAlign w:val="center"/>
          </w:tcPr>
          <w:p>
            <w:pPr>
              <w:jc w:val="right"/>
            </w:pPr>
            <w:r>
              <w:rPr>
                <w:rFonts w:ascii="宋体" w:eastAsia="宋体" w:hAnsi="宋体" w:cs="宋体"/>
                <w:b w:val="0"/>
                <w:i w:val="0"/>
                <w:color w:val="000000"/>
                <w:sz w:val="18"/>
              </w:rPr>
              <w:t xml:space="preserve">0.96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680.50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680.50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44.78</w:t>
            </w:r>
          </w:p>
        </w:tc>
        <w:tc>
          <w:tcPr>
            <w:tcW w:w="1780" w:type="dxa"/>
            <w:tcBorders/>
            <w:vAlign w:val="center"/>
          </w:tcPr>
          <w:p>
            <w:pPr>
              <w:jc w:val="right"/>
            </w:pPr>
            <w:r>
              <w:rPr>
                <w:rFonts w:ascii="宋体" w:eastAsia="宋体" w:hAnsi="宋体" w:cs="宋体"/>
                <w:b w:val="0"/>
                <w:i w:val="0"/>
                <w:color w:val="000000"/>
                <w:sz w:val="18"/>
              </w:rPr>
              <w:t xml:space="preserve">44.78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44.78</w:t>
            </w:r>
          </w:p>
        </w:tc>
        <w:tc>
          <w:tcPr>
            <w:tcW w:w="1780" w:type="dxa"/>
            <w:tcBorders/>
            <w:vAlign w:val="center"/>
          </w:tcPr>
          <w:p>
            <w:pPr>
              <w:jc w:val="right"/>
            </w:pPr>
            <w:r>
              <w:rPr>
                <w:rFonts w:ascii="宋体" w:eastAsia="宋体" w:hAnsi="宋体" w:cs="宋体"/>
                <w:b w:val="0"/>
                <w:i w:val="0"/>
                <w:color w:val="000000"/>
                <w:sz w:val="18"/>
              </w:rPr>
              <w:t xml:space="preserve">44.78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44.78</w:t>
            </w:r>
          </w:p>
        </w:tc>
        <w:tc>
          <w:tcPr>
            <w:tcW w:w="1780" w:type="dxa"/>
            <w:tcBorders/>
            <w:vAlign w:val="center"/>
          </w:tcPr>
          <w:p>
            <w:pPr>
              <w:jc w:val="right"/>
            </w:pPr>
            <w:r>
              <w:rPr>
                <w:rFonts w:ascii="宋体" w:eastAsia="宋体" w:hAnsi="宋体" w:cs="宋体"/>
                <w:b w:val="0"/>
                <w:i w:val="0"/>
                <w:color w:val="000000"/>
                <w:sz w:val="18"/>
              </w:rPr>
              <w:t xml:space="preserve">44.78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410.39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38.82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110.11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4.20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59.88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63.35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10.00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43.88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42.56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16.71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16.35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17.82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1.31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0.33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44.78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104.33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15.72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86.09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2.88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15.06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514.72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38.95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部门：辽宁省沈阳市浑南区工业和信息化局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063001沈阳市浑南区工业和信息化局本级-210112000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410.71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410.71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工业经济实现平稳健康增长，数字赋能全面提速，“专精特新”培育领跑全市，促进工业稳增长和转型升级，全力推进先进制造业发展实现新突破。</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工业经济实现平稳健康增长，实现工业投资增速，工业数字赋能全面提速，“专精特新”培育领跑全市，促进工业稳增长和转型升级，全力推动先进制造业发展实现新突破。</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推动工业发展促进经济稳定增长</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稳定增长</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工业绿色转型发展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有序推进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社会公共满意度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增强部门行政审批管理水平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063002沈阳市浑南区工业和信息化事务服务中心-210112000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128.94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128.94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27.55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保障单位正常运转，人员正常工作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高效完成了各级部门安排的各项工作任务，组织了工业互联网平台、智能强省等多项申报工作，助力工业互联网大会成功举办。</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软件维护覆盖率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工业投资增速</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在职工作人员满意度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推进公共服务体系建设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推动完善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安全生产、节能、电力宣传活动经费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已完成电力设施保护宣传品印制发放工作，请款未拨付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工信局搬家费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保障工作人员正常办公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此项目已于24年预算申报后在23年年底完成，24年预算已经申报未能撤回，故此项目在24年未发生支出。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足额报销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工信局雇员经费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为保障雇员日常工作正常运转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保障雇员工作正常运转，绩效目标稳步实现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37.82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工业运行、中小企业、工业投资分析报告编制费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已完成2笔报告编制工作的验收，请款未拨付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工业运行、中小企业、工业投资工作经费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保障单位参会调研培训等工作顺利进行，绩效目标稳步实现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激励各地区和重点工业企业高质量发展专项资金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确保激励措施早落实、专项资金早到位、激励作用早见效。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已完成对重点工业企业高质量发展专项资金的补贴发放工作。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已按期缴纳完成单位残疾人就业保障金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2020年度规模以上工业企业奖补资金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推动工业经济快速发展，提升产业发展质量和产业链现代化水平，优化存量，做大增量。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已完成对2020年度规模以上工业企业奖补资金的补贴发放工作。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发放奖补资金单位数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其他:此项目设置的指标值为全部发放补贴单位数，此次发放为其中部分，本次请款需发放的单位数已全部完成。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其他:此项目设置的指标值为全部发放补贴单位数，此次发放为其中部分，本次请款需发放的单位数已全部完成。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已按期缴纳完成单位残疾人就业保障金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软件、互联网相关服务业工作经费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因财政经费紧张，资金不足，压缩开支，未能发生支出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遴选工业互联网产业示范基地数量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参加中国工业设计展览会优秀企业数量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工业互联网创新发展项目补助标准合格率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工业互联网创新项目应用场景广阔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场景广阔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经费保障:财政因经费紧张，资金不足，压缩开支，减少支出，本年该项目未发生支出，故完成值为0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