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辽宁省沈阳市浑南区工业和信息化局（本级）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辽宁省沈阳市浑南区工业和信息化局（本级）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辽宁省沈阳市浑南区工业和信息化局（本级）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辽宁省沈阳市浑南区工业和信息化局（本级）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辽宁省沈阳市浑南区工业和信息化局（本级）概况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根据沈浑南委办发[2020]50号_中共浑南区委办公室浑南区人民政府办公室关于印发《沈阳市浑南区工业和信息化局本级职能配置、内设机构和人员编制规定》的通知精神，设立沈阳市浑南区工业和信息化局本级，为沈阳市浑南区政府工作部门。</w:t>
        <w:br/>
        <w:t xml:space="preserve">    （一）组织贯彻省、市新型工业化发展战略和政策，协调解决新型工业化进程中的有关问题，执行省、市工业、信息化的发展规划，落实推进工业供给侧结构性改革，推进产业结构战略性调整和优化升级，推进信息化和工业化融合。</w:t>
        <w:br/>
        <w:t xml:space="preserve">    （二）贯彻落实省、市工业行业规划、计划和产业政策，提出优化产业布局、结构的政策建议，负责工业和信息化行业管理工作，贯彻落实省、市工业八大产业发展政策措施。</w:t>
        <w:br/>
        <w:t xml:space="preserve">    （三）监测分析工业、信息产业、中小企业（非公经济、民营经济）的运行态势，统计和发布相关信息，进行预测预警和信息引导，协调解决工业运行发展中的有关问题并提出解决建议，负责工业应急管理、产业安全和参与国防动员有关工作，指导工业行业加强安全生产和职业健康管理工作。</w:t>
        <w:br/>
        <w:t xml:space="preserve">    （四）负责提出工业和信息化固定资产投资规模和方向（含利用外资和境外投资）、制定年度投资计划并组织实施。组织落实国家、省、市有关投资政策，归口管理全区工业技术改造项目。研究提出区级财政相关专项资金预算、使用方向和支持重点，制订年度资金计划并组织实施。负责制定工业和信息化专项资金检查与评价的管理制度并组织实施。</w:t>
        <w:br/>
        <w:t xml:space="preserve">    （五）拟订工业和信息产业企业技术创新、技术进步、技术引进的规划、政策和标准，指导和协调重点技术创新项目的实施，推进先进技术改造和传统产业升级。组织开展企业技术创新和产学研用协同改革试验。指导和推动企业技术中心和技术创新体系建设，推进新兴产业发展。</w:t>
        <w:br/>
        <w:t xml:space="preserve">    （六）贯彻落实制造强国、制造强省和制造强市战略和部署，实施“中国制造2025”行动纲要，贯彻执行制造强市的工作措施和政策建议。组织协调装备制造业发展和转型升级工作，贯彻市重大技术装备发展和自主创新政策，贯彻执行市工业领域生产性服务业发展规划、支持政策和相关配套措施，参与相关工作，促进制造业与服务业融合发展。</w:t>
        <w:br/>
        <w:t xml:space="preserve">    （七）贯彻执行工业和信息化的资源节约及综合利用、清洁生产促进政策。参与落实资源节约和综合利用、清洁生产促进规划实施工作，协助推进相关重大示范工程。</w:t>
        <w:br/>
        <w:t xml:space="preserve">    （八）负责电力行政执法与监督管理工作。</w:t>
        <w:br/>
        <w:t xml:space="preserve">    （九）负责指导、监督全区工业供热、用热规划和管理工作。</w:t>
        <w:br/>
        <w:t xml:space="preserve">    （十）贯彻落实中小企业（非公经济、民营经济）发展的政策方针和法律法规。贯彻落实促进中小企业（非公经济、民营经济）发展的地方性政策措施和中长期规划及年度计划。</w:t>
        <w:br/>
        <w:t xml:space="preserve">    （十一）负责加强工业和信息产业企业家队伍建设，组织指导全区工业企业和信息产业企业家、经济管理人员和经营者进行工作交流与培训，指导企业制定引进智力计划并组织实施。</w:t>
        <w:br/>
        <w:t xml:space="preserve">    （十二）负责支持企业研发机构建设，组织非公有制企业管理人才的培育工作，联系服务一批优秀非公有制企业管理人才，鼓励企业加大人才培养投入力度，支持企业技术中心高层次人才开发具有自主知识产权的创新创意产品。</w:t>
        <w:br/>
        <w:t xml:space="preserve">    （十三）贯彻执行国家有关科技事业发展和引进国外智力的方针、政策和法律、法规、规章及省、市有关要求，拟订全区科技创新和引进国外智力规划。</w:t>
        <w:br/>
        <w:t xml:space="preserve">    （十四）编制并组织实施全区科技发展中长期规划和年度计划。拟定并组织实施促进全区科技创新活动的鼓励、支持政策。</w:t>
        <w:br/>
        <w:t xml:space="preserve">    （十五）研究优化科技资源配置的措施，推动多元化科技投入体系建设。</w:t>
        <w:br/>
        <w:t xml:space="preserve">    （十六）负责协调组织国家、省、市科技计划（专项）项目申报、推荐工作。负责区级科技计划（专项）项目实施和管理工作。</w:t>
        <w:br/>
        <w:t xml:space="preserve">    （十七）负责推进科技创新体系建设，培育科技创新和服务平台，推进科研条件保障建设、科技资源开放共享，提高区域科技创新能力。</w:t>
        <w:br/>
        <w:t xml:space="preserve">    （十八）负责推动技术转移体系培育建设，促进科技成果转移转化、产学研结合。</w:t>
        <w:br/>
        <w:t xml:space="preserve">    （十九）负责协调农村科技工作，实施农业科技攻关、试验示范，负责科技下乡与科技扶贫工作。</w:t>
        <w:br/>
        <w:t xml:space="preserve">    （二十）负责科技人才联系、服务工作，推进科技人才队伍建设。</w:t>
        <w:br/>
        <w:t xml:space="preserve">    （二十一）负责推进国际、国内和区域间科技合作与交流工作。</w:t>
        <w:br/>
        <w:t xml:space="preserve">    （二十二）贯彻落实国家、省、市关于国（境）外人员就业管理政策，做好组织实施工作。研究拟订引进国外智力政策与措施并组织实施，综合管理来我区工作的各类外国专家，负责外国专家表彰奖励工作。</w:t>
        <w:br/>
        <w:t xml:space="preserve">    （二十三）贯彻落实党中央关于大数据工作的方针政策和决策部署及省委、市委有关要求，负责全区大数据、互联网+、智慧城市相关管理工作。</w:t>
        <w:br/>
        <w:t xml:space="preserve">    （二十四）负责本单位安全生产工作。支持有关单位开展安全生产科学技术研究。</w:t>
        <w:br/>
        <w:t xml:space="preserve">    （二十五）本部门权责清单和政务服务事项清单在区政府门户网站上公布。</w:t>
        <w:br/>
        <w:t xml:space="preserve">    （二十六）完成区委、区政府交办的其他任务。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辽宁省沈阳市浑南区工业和信息化局（本级）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沈阳市浑南区工业和信息化局本级，本单位无下设机构。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1113.62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1113.62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1113.62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增加383.25万元，增长52.47%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本年度项目拨款收入增加，上级对企业进行的专项补助资金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1113.62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426.52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38.30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工资福利支出292.28万元；商品和服务支出31.45万元；对个人和家庭的补助102.79万元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687.10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61.70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主要包括对企业进行的上级专项费用补贴等业务支出。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增加383.25万元，增长52.47%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本年度项目支出增加，上级对企业进行的专项补助资金，我单位未安排年初预算，由财政拨付到我单位列支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1113.62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426.52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687.10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增加383.25万元，增长52.47%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本年度项目支出增加，上级对企业进行的专项补助资金，我单位未安排年初预算，由财政拨付到我单位列支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254.59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103.85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2573.43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2024年度一般公共预算财政拨款支出1113.62万元。按支出功能分类科目分，包括：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1.社会保障和就业支出146.25万元，具体包括：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14.18万元,主要是退休人员采暖补贴等支出，完成年初预算的139.8%，决算数与年初预算数存在差异的主要原因是2024年度新增两名在职转退休人员，相关经费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29.27万元,主要是在职人员的基本养老保险缴费等支出，完成年初预算的89.6%，决算数与年初预算数存在差异的主要原因是2024年度两名在职转退休人员无需缴费，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16.71万元,主要是退休人员职业年金缴纳等支出，完成年初预算的100%，决算数与年初预算数存在差异的主要原因是职业年金为退休后方可核定缴纳，因此未安排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86.09万元,主要是退休人员死亡的丧葬费和抚恤金等支出，完成年初预算的100%，决算数与年初预算数存在差异的主要原因是此项支出无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2.卫生健康支出12.13万元，具体包括：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12.13万元,主要是在职人员的基本医疗保险缴费等支出，完成年初预算的91.89%，决算数与年初预算数存在差异的主要原因是2024年度两名在职转退休人员无需缴费，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3.资源勘探工业信息等支出923.35万元，具体包括：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工业和信息产业监管（款）行政运行（项）236.25万元,主要是行政运行本级的基本支出等支出，完成年初预算的77.75%，决算数与年初预算数存在差异的主要原因是人员调整，基本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工业和信息产业监管（款）一般行政管理事务（项）6.60万元,主要是一般行政管理事务的基本经费等支出，完成年初预算的24.72%，决算数与年初预算数存在差异的主要原因是财政资金紧张，减少开支，一些项目请款后未能拨付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资源勘探工业信息等支出（类）其他资源勘探工业信息等支出（款）其他资源勘探工业信息等支出（项）680.50万元,主要是对企业进行的上级专项费用补贴等支出，完成年初预算的100%，决算数与年初预算数存在差异的主要原因是上级对企业进行的专项补助资金，我单位未安排年初预算，由财政拨付到我单位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4.住房保障支出31.88万元，具体包括：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31.88万元,主要是在职人员的住房公积金等支出，完成年初预算的65.6%，决算数与年初预算数存在差异的主要原因是财政经费紧张，未拨付支出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426.52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395.07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31.45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31.45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比上年增加2.91万元，增长10.20%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2024年度新增新入职人员，支出增加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具体而言，本年度我部门共组织对8个项目实施了绩效评价。从预算资金来源看，涉及一般公共预算的项目8个，涉及政府性基金预算的项目0个，涉及国有资本经营预算的项目0个。</w:t>
        <w:br/>
        <w:t xml:space="preserve">    上述评价工作共涉及财政资金537.11万元。其中，一般公共预算资金537.11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个；得分在60分以下、等级为“差”的项目有5个。各项目自评发现，部分项目存在预算执行进度偏慢问题等，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激励各地区和重点工业企业高质量发展专项资金，涉及资金500万元，评价平均分为100分，评级情况为优；第二个重点项目为2020年度规模以上工业企业奖补资金，涉及资金30.5万元，评价平均分为93.36分，评级情况为优。同时，评价也发现2020年度规模以上工业企业奖补资金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1,113.62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146.26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12.13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923.35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31.88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1,113.62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1,113.62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1,113.62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1,113.62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1,113.62</w:t>
            </w:r>
          </w:p>
        </w:tc>
        <w:tc>
          <w:tcPr>
            <w:tcW w:w="960" w:type="dxa"/>
            <w:tcBorders/>
            <w:vAlign w:val="center"/>
          </w:tcPr>
          <w:p>
            <w:pPr>
              <w:jc w:val="right"/>
            </w:pPr>
            <w:r>
              <w:rPr>
                <w:rFonts w:ascii="宋体" w:eastAsia="宋体" w:hAnsi="宋体" w:cs="宋体"/>
                <w:b/>
                <w:i w:val="0"/>
                <w:color w:val="000000"/>
                <w:sz w:val="13"/>
              </w:rPr>
              <w:t xml:space="preserve">1,113.62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146.25</w:t>
            </w:r>
          </w:p>
        </w:tc>
        <w:tc>
          <w:tcPr>
            <w:tcW w:w="960" w:type="dxa"/>
            <w:tcBorders/>
            <w:vAlign w:val="center"/>
          </w:tcPr>
          <w:p>
            <w:pPr>
              <w:jc w:val="right"/>
            </w:pPr>
            <w:r>
              <w:rPr>
                <w:rFonts w:ascii="宋体" w:eastAsia="宋体" w:hAnsi="宋体" w:cs="宋体"/>
                <w:b w:val="0"/>
                <w:i w:val="0"/>
                <w:color w:val="000000"/>
                <w:sz w:val="13"/>
              </w:rPr>
              <w:t xml:space="preserve">146.25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60.16</w:t>
            </w:r>
          </w:p>
        </w:tc>
        <w:tc>
          <w:tcPr>
            <w:tcW w:w="960" w:type="dxa"/>
            <w:tcBorders/>
            <w:vAlign w:val="center"/>
          </w:tcPr>
          <w:p>
            <w:pPr>
              <w:jc w:val="right"/>
            </w:pPr>
            <w:r>
              <w:rPr>
                <w:rFonts w:ascii="宋体" w:eastAsia="宋体" w:hAnsi="宋体" w:cs="宋体"/>
                <w:b w:val="0"/>
                <w:i w:val="0"/>
                <w:color w:val="000000"/>
                <w:sz w:val="13"/>
              </w:rPr>
              <w:t xml:space="preserve">60.16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14.18</w:t>
            </w:r>
          </w:p>
        </w:tc>
        <w:tc>
          <w:tcPr>
            <w:tcW w:w="960" w:type="dxa"/>
            <w:tcBorders/>
            <w:vAlign w:val="center"/>
          </w:tcPr>
          <w:p>
            <w:pPr>
              <w:jc w:val="right"/>
            </w:pPr>
            <w:r>
              <w:rPr>
                <w:rFonts w:ascii="宋体" w:eastAsia="宋体" w:hAnsi="宋体" w:cs="宋体"/>
                <w:b w:val="0"/>
                <w:i w:val="0"/>
                <w:color w:val="000000"/>
                <w:sz w:val="13"/>
              </w:rPr>
              <w:t xml:space="preserve">14.18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29.27</w:t>
            </w:r>
          </w:p>
        </w:tc>
        <w:tc>
          <w:tcPr>
            <w:tcW w:w="960" w:type="dxa"/>
            <w:tcBorders/>
            <w:vAlign w:val="center"/>
          </w:tcPr>
          <w:p>
            <w:pPr>
              <w:jc w:val="right"/>
            </w:pPr>
            <w:r>
              <w:rPr>
                <w:rFonts w:ascii="宋体" w:eastAsia="宋体" w:hAnsi="宋体" w:cs="宋体"/>
                <w:b w:val="0"/>
                <w:i w:val="0"/>
                <w:color w:val="000000"/>
                <w:sz w:val="13"/>
              </w:rPr>
              <w:t xml:space="preserve">29.27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16.71</w:t>
            </w:r>
          </w:p>
        </w:tc>
        <w:tc>
          <w:tcPr>
            <w:tcW w:w="960" w:type="dxa"/>
            <w:tcBorders/>
            <w:vAlign w:val="center"/>
          </w:tcPr>
          <w:p>
            <w:pPr>
              <w:jc w:val="right"/>
            </w:pPr>
            <w:r>
              <w:rPr>
                <w:rFonts w:ascii="宋体" w:eastAsia="宋体" w:hAnsi="宋体" w:cs="宋体"/>
                <w:b w:val="0"/>
                <w:i w:val="0"/>
                <w:color w:val="000000"/>
                <w:sz w:val="13"/>
              </w:rPr>
              <w:t xml:space="preserve">16.71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jc w:val="right"/>
            </w:pPr>
            <w:r>
              <w:rPr>
                <w:rFonts w:ascii="宋体" w:eastAsia="宋体" w:hAnsi="宋体" w:cs="宋体"/>
                <w:b w:val="0"/>
                <w:i w:val="0"/>
                <w:color w:val="000000"/>
                <w:sz w:val="13"/>
              </w:rPr>
              <w:t xml:space="preserve">86.09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jc w:val="right"/>
            </w:pPr>
            <w:r>
              <w:rPr>
                <w:rFonts w:ascii="宋体" w:eastAsia="宋体" w:hAnsi="宋体" w:cs="宋体"/>
                <w:b w:val="0"/>
                <w:i w:val="0"/>
                <w:color w:val="000000"/>
                <w:sz w:val="13"/>
              </w:rPr>
              <w:t xml:space="preserve">12.13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923.35</w:t>
            </w:r>
          </w:p>
        </w:tc>
        <w:tc>
          <w:tcPr>
            <w:tcW w:w="960" w:type="dxa"/>
            <w:tcBorders/>
            <w:vAlign w:val="center"/>
          </w:tcPr>
          <w:p>
            <w:pPr>
              <w:jc w:val="right"/>
            </w:pPr>
            <w:r>
              <w:rPr>
                <w:rFonts w:ascii="宋体" w:eastAsia="宋体" w:hAnsi="宋体" w:cs="宋体"/>
                <w:b w:val="0"/>
                <w:i w:val="0"/>
                <w:color w:val="000000"/>
                <w:sz w:val="13"/>
              </w:rPr>
              <w:t xml:space="preserve">923.35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w:t>
            </w:r>
          </w:p>
        </w:tc>
        <w:tc>
          <w:tcPr>
            <w:tcW w:w="3200" w:type="dxa"/>
            <w:tcBorders/>
            <w:vAlign w:val="center"/>
          </w:tcPr>
          <w:p>
            <w:pPr>
              <w:jc w:val="left"/>
            </w:pPr>
            <w:r>
              <w:rPr>
                <w:rFonts w:ascii="宋体" w:eastAsia="宋体" w:hAnsi="宋体" w:cs="宋体"/>
                <w:b w:val="0"/>
                <w:i w:val="0"/>
                <w:color w:val="000000"/>
                <w:sz w:val="13"/>
              </w:rPr>
              <w:t xml:space="preserve">工业和信息产业监管</w:t>
            </w:r>
          </w:p>
        </w:tc>
        <w:tc>
          <w:tcPr>
            <w:tcW w:w="960" w:type="dxa"/>
            <w:tcBorders/>
            <w:vAlign w:val="center"/>
          </w:tcPr>
          <w:p>
            <w:pPr>
              <w:jc w:val="right"/>
            </w:pPr>
            <w:r>
              <w:rPr>
                <w:rFonts w:ascii="宋体" w:eastAsia="宋体" w:hAnsi="宋体" w:cs="宋体"/>
                <w:b w:val="0"/>
                <w:i w:val="0"/>
                <w:color w:val="000000"/>
                <w:sz w:val="13"/>
              </w:rPr>
              <w:t xml:space="preserve">242.85</w:t>
            </w:r>
          </w:p>
        </w:tc>
        <w:tc>
          <w:tcPr>
            <w:tcW w:w="960" w:type="dxa"/>
            <w:tcBorders/>
            <w:vAlign w:val="center"/>
          </w:tcPr>
          <w:p>
            <w:pPr>
              <w:jc w:val="right"/>
            </w:pPr>
            <w:r>
              <w:rPr>
                <w:rFonts w:ascii="宋体" w:eastAsia="宋体" w:hAnsi="宋体" w:cs="宋体"/>
                <w:b w:val="0"/>
                <w:i w:val="0"/>
                <w:color w:val="000000"/>
                <w:sz w:val="13"/>
              </w:rPr>
              <w:t xml:space="preserve">242.85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236.25</w:t>
            </w:r>
          </w:p>
        </w:tc>
        <w:tc>
          <w:tcPr>
            <w:tcW w:w="960" w:type="dxa"/>
            <w:tcBorders/>
            <w:vAlign w:val="center"/>
          </w:tcPr>
          <w:p>
            <w:pPr>
              <w:jc w:val="right"/>
            </w:pPr>
            <w:r>
              <w:rPr>
                <w:rFonts w:ascii="宋体" w:eastAsia="宋体" w:hAnsi="宋体" w:cs="宋体"/>
                <w:b w:val="0"/>
                <w:i w:val="0"/>
                <w:color w:val="000000"/>
                <w:sz w:val="13"/>
              </w:rPr>
              <w:t xml:space="preserve">236.25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6.60</w:t>
            </w:r>
          </w:p>
        </w:tc>
        <w:tc>
          <w:tcPr>
            <w:tcW w:w="960" w:type="dxa"/>
            <w:tcBorders/>
            <w:vAlign w:val="center"/>
          </w:tcPr>
          <w:p>
            <w:pPr>
              <w:jc w:val="right"/>
            </w:pPr>
            <w:r>
              <w:rPr>
                <w:rFonts w:ascii="宋体" w:eastAsia="宋体" w:hAnsi="宋体" w:cs="宋体"/>
                <w:b w:val="0"/>
                <w:i w:val="0"/>
                <w:color w:val="000000"/>
                <w:sz w:val="13"/>
              </w:rPr>
              <w:t xml:space="preserve">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jc w:val="right"/>
            </w:pPr>
            <w:r>
              <w:rPr>
                <w:rFonts w:ascii="宋体" w:eastAsia="宋体" w:hAnsi="宋体" w:cs="宋体"/>
                <w:b w:val="0"/>
                <w:i w:val="0"/>
                <w:color w:val="000000"/>
                <w:sz w:val="13"/>
              </w:rPr>
              <w:t xml:space="preserve">680.50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jc w:val="right"/>
            </w:pPr>
            <w:r>
              <w:rPr>
                <w:rFonts w:ascii="宋体" w:eastAsia="宋体" w:hAnsi="宋体" w:cs="宋体"/>
                <w:b w:val="0"/>
                <w:i w:val="0"/>
                <w:color w:val="000000"/>
                <w:sz w:val="13"/>
              </w:rPr>
              <w:t xml:space="preserve">31.88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1,113.62</w:t>
            </w:r>
          </w:p>
        </w:tc>
        <w:tc>
          <w:tcPr>
            <w:tcW w:w="1060" w:type="dxa"/>
            <w:tcBorders/>
            <w:vAlign w:val="center"/>
          </w:tcPr>
          <w:p>
            <w:pPr>
              <w:jc w:val="right"/>
            </w:pPr>
            <w:r>
              <w:rPr>
                <w:rFonts w:ascii="宋体" w:eastAsia="宋体" w:hAnsi="宋体" w:cs="宋体"/>
                <w:b/>
                <w:i w:val="0"/>
                <w:color w:val="000000"/>
                <w:sz w:val="14"/>
              </w:rPr>
              <w:t xml:space="preserve">426.52</w:t>
            </w:r>
          </w:p>
        </w:tc>
        <w:tc>
          <w:tcPr>
            <w:tcW w:w="1060" w:type="dxa"/>
            <w:tcBorders/>
            <w:vAlign w:val="center"/>
          </w:tcPr>
          <w:p>
            <w:pPr>
              <w:jc w:val="right"/>
            </w:pPr>
            <w:r>
              <w:rPr>
                <w:rFonts w:ascii="宋体" w:eastAsia="宋体" w:hAnsi="宋体" w:cs="宋体"/>
                <w:b/>
                <w:i w:val="0"/>
                <w:color w:val="000000"/>
                <w:sz w:val="14"/>
              </w:rPr>
              <w:t xml:space="preserve">687.10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146.25</w:t>
            </w:r>
          </w:p>
        </w:tc>
        <w:tc>
          <w:tcPr>
            <w:tcW w:w="1060" w:type="dxa"/>
            <w:tcBorders/>
            <w:vAlign w:val="center"/>
          </w:tcPr>
          <w:p>
            <w:pPr>
              <w:jc w:val="right"/>
            </w:pPr>
            <w:r>
              <w:rPr>
                <w:rFonts w:ascii="宋体" w:eastAsia="宋体" w:hAnsi="宋体" w:cs="宋体"/>
                <w:b w:val="0"/>
                <w:i w:val="0"/>
                <w:color w:val="000000"/>
                <w:sz w:val="14"/>
              </w:rPr>
              <w:t xml:space="preserve">146.25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60.16</w:t>
            </w:r>
          </w:p>
        </w:tc>
        <w:tc>
          <w:tcPr>
            <w:tcW w:w="1060" w:type="dxa"/>
            <w:tcBorders/>
            <w:vAlign w:val="center"/>
          </w:tcPr>
          <w:p>
            <w:pPr>
              <w:jc w:val="right"/>
            </w:pPr>
            <w:r>
              <w:rPr>
                <w:rFonts w:ascii="宋体" w:eastAsia="宋体" w:hAnsi="宋体" w:cs="宋体"/>
                <w:b w:val="0"/>
                <w:i w:val="0"/>
                <w:color w:val="000000"/>
                <w:sz w:val="14"/>
              </w:rPr>
              <w:t xml:space="preserve">60.16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14.18</w:t>
            </w:r>
          </w:p>
        </w:tc>
        <w:tc>
          <w:tcPr>
            <w:tcW w:w="1060" w:type="dxa"/>
            <w:tcBorders/>
            <w:vAlign w:val="center"/>
          </w:tcPr>
          <w:p>
            <w:pPr>
              <w:jc w:val="right"/>
            </w:pPr>
            <w:r>
              <w:rPr>
                <w:rFonts w:ascii="宋体" w:eastAsia="宋体" w:hAnsi="宋体" w:cs="宋体"/>
                <w:b w:val="0"/>
                <w:i w:val="0"/>
                <w:color w:val="000000"/>
                <w:sz w:val="14"/>
              </w:rPr>
              <w:t xml:space="preserve">14.18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29.27</w:t>
            </w:r>
          </w:p>
        </w:tc>
        <w:tc>
          <w:tcPr>
            <w:tcW w:w="1060" w:type="dxa"/>
            <w:tcBorders/>
            <w:vAlign w:val="center"/>
          </w:tcPr>
          <w:p>
            <w:pPr>
              <w:jc w:val="right"/>
            </w:pPr>
            <w:r>
              <w:rPr>
                <w:rFonts w:ascii="宋体" w:eastAsia="宋体" w:hAnsi="宋体" w:cs="宋体"/>
                <w:b w:val="0"/>
                <w:i w:val="0"/>
                <w:color w:val="000000"/>
                <w:sz w:val="14"/>
              </w:rPr>
              <w:t xml:space="preserve">29.27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16.71</w:t>
            </w:r>
          </w:p>
        </w:tc>
        <w:tc>
          <w:tcPr>
            <w:tcW w:w="1060" w:type="dxa"/>
            <w:tcBorders/>
            <w:vAlign w:val="center"/>
          </w:tcPr>
          <w:p>
            <w:pPr>
              <w:jc w:val="right"/>
            </w:pPr>
            <w:r>
              <w:rPr>
                <w:rFonts w:ascii="宋体" w:eastAsia="宋体" w:hAnsi="宋体" w:cs="宋体"/>
                <w:b w:val="0"/>
                <w:i w:val="0"/>
                <w:color w:val="000000"/>
                <w:sz w:val="14"/>
              </w:rPr>
              <w:t xml:space="preserve">16.71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jc w:val="right"/>
            </w:pPr>
            <w:r>
              <w:rPr>
                <w:rFonts w:ascii="宋体" w:eastAsia="宋体" w:hAnsi="宋体" w:cs="宋体"/>
                <w:b w:val="0"/>
                <w:i w:val="0"/>
                <w:color w:val="000000"/>
                <w:sz w:val="14"/>
              </w:rPr>
              <w:t xml:space="preserve">86.09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jc w:val="right"/>
            </w:pPr>
            <w:r>
              <w:rPr>
                <w:rFonts w:ascii="宋体" w:eastAsia="宋体" w:hAnsi="宋体" w:cs="宋体"/>
                <w:b w:val="0"/>
                <w:i w:val="0"/>
                <w:color w:val="000000"/>
                <w:sz w:val="14"/>
              </w:rPr>
              <w:t xml:space="preserve">12.13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923.35</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jc w:val="right"/>
            </w:pPr>
            <w:r>
              <w:rPr>
                <w:rFonts w:ascii="宋体" w:eastAsia="宋体" w:hAnsi="宋体" w:cs="宋体"/>
                <w:b w:val="0"/>
                <w:i w:val="0"/>
                <w:color w:val="000000"/>
                <w:sz w:val="14"/>
              </w:rPr>
              <w:t xml:space="preserve">687.10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w:t>
            </w:r>
          </w:p>
        </w:tc>
        <w:tc>
          <w:tcPr>
            <w:tcW w:w="3440" w:type="dxa"/>
            <w:tcBorders/>
            <w:vAlign w:val="center"/>
          </w:tcPr>
          <w:p>
            <w:pPr>
              <w:jc w:val="left"/>
            </w:pPr>
            <w:r>
              <w:rPr>
                <w:rFonts w:ascii="宋体" w:eastAsia="宋体" w:hAnsi="宋体" w:cs="宋体"/>
                <w:b w:val="0"/>
                <w:i w:val="0"/>
                <w:color w:val="000000"/>
                <w:sz w:val="14"/>
              </w:rPr>
              <w:t xml:space="preserve">工业和信息产业监管</w:t>
            </w:r>
          </w:p>
        </w:tc>
        <w:tc>
          <w:tcPr>
            <w:tcW w:w="1060" w:type="dxa"/>
            <w:tcBorders/>
            <w:vAlign w:val="center"/>
          </w:tcPr>
          <w:p>
            <w:pPr>
              <w:jc w:val="right"/>
            </w:pPr>
            <w:r>
              <w:rPr>
                <w:rFonts w:ascii="宋体" w:eastAsia="宋体" w:hAnsi="宋体" w:cs="宋体"/>
                <w:b w:val="0"/>
                <w:i w:val="0"/>
                <w:color w:val="000000"/>
                <w:sz w:val="14"/>
              </w:rPr>
              <w:t xml:space="preserve">242.85</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jc w:val="right"/>
            </w:pPr>
            <w:r>
              <w:rPr>
                <w:rFonts w:ascii="宋体" w:eastAsia="宋体" w:hAnsi="宋体" w:cs="宋体"/>
                <w:b w:val="0"/>
                <w:i w:val="0"/>
                <w:color w:val="000000"/>
                <w:sz w:val="14"/>
              </w:rPr>
              <w:t xml:space="preserve">6.60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jc w:val="right"/>
            </w:pPr>
            <w:r>
              <w:rPr>
                <w:rFonts w:ascii="宋体" w:eastAsia="宋体" w:hAnsi="宋体" w:cs="宋体"/>
                <w:b w:val="0"/>
                <w:i w:val="0"/>
                <w:color w:val="000000"/>
                <w:sz w:val="14"/>
              </w:rPr>
              <w:t xml:space="preserve">236.25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jc w:val="right"/>
            </w:pPr>
            <w:r>
              <w:rPr>
                <w:rFonts w:ascii="宋体" w:eastAsia="宋体" w:hAnsi="宋体" w:cs="宋体"/>
                <w:b w:val="0"/>
                <w:i w:val="0"/>
                <w:color w:val="000000"/>
                <w:sz w:val="14"/>
              </w:rPr>
              <w:t xml:space="preserve">31.88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146.26</w:t>
            </w:r>
          </w:p>
        </w:tc>
        <w:tc>
          <w:tcPr>
            <w:tcW w:w="1100" w:type="dxa"/>
            <w:tcBorders/>
            <w:vAlign w:val="center"/>
          </w:tcPr>
          <w:p>
            <w:pPr>
              <w:jc w:val="right"/>
            </w:pPr>
            <w:r>
              <w:rPr>
                <w:rFonts w:ascii="宋体" w:eastAsia="宋体" w:hAnsi="宋体" w:cs="宋体"/>
                <w:b w:val="0"/>
                <w:i w:val="0"/>
                <w:color w:val="000000"/>
                <w:sz w:val="14"/>
              </w:rPr>
              <w:t xml:space="preserve">146.26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12.13</w:t>
            </w:r>
          </w:p>
        </w:tc>
        <w:tc>
          <w:tcPr>
            <w:tcW w:w="1100" w:type="dxa"/>
            <w:tcBorders/>
            <w:vAlign w:val="center"/>
          </w:tcPr>
          <w:p>
            <w:pPr>
              <w:jc w:val="right"/>
            </w:pPr>
            <w:r>
              <w:rPr>
                <w:rFonts w:ascii="宋体" w:eastAsia="宋体" w:hAnsi="宋体" w:cs="宋体"/>
                <w:b w:val="0"/>
                <w:i w:val="0"/>
                <w:color w:val="000000"/>
                <w:sz w:val="14"/>
              </w:rPr>
              <w:t xml:space="preserve">12.13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923.35</w:t>
            </w:r>
          </w:p>
        </w:tc>
        <w:tc>
          <w:tcPr>
            <w:tcW w:w="1100" w:type="dxa"/>
            <w:tcBorders/>
            <w:vAlign w:val="center"/>
          </w:tcPr>
          <w:p>
            <w:pPr>
              <w:jc w:val="right"/>
            </w:pPr>
            <w:r>
              <w:rPr>
                <w:rFonts w:ascii="宋体" w:eastAsia="宋体" w:hAnsi="宋体" w:cs="宋体"/>
                <w:b w:val="0"/>
                <w:i w:val="0"/>
                <w:color w:val="000000"/>
                <w:sz w:val="14"/>
              </w:rPr>
              <w:t xml:space="preserve">923.35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31.88</w:t>
            </w:r>
          </w:p>
        </w:tc>
        <w:tc>
          <w:tcPr>
            <w:tcW w:w="1100" w:type="dxa"/>
            <w:tcBorders/>
            <w:vAlign w:val="center"/>
          </w:tcPr>
          <w:p>
            <w:pPr>
              <w:jc w:val="right"/>
            </w:pPr>
            <w:r>
              <w:rPr>
                <w:rFonts w:ascii="宋体" w:eastAsia="宋体" w:hAnsi="宋体" w:cs="宋体"/>
                <w:b w:val="0"/>
                <w:i w:val="0"/>
                <w:color w:val="000000"/>
                <w:sz w:val="14"/>
              </w:rPr>
              <w:t xml:space="preserve">31.88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1100" w:type="dxa"/>
            <w:tcBorders/>
            <w:vAlign w:val="center"/>
          </w:tcPr>
          <w:p>
            <w:pPr>
              <w:jc w:val="right"/>
            </w:pPr>
            <w:r>
              <w:rPr>
                <w:rFonts w:ascii="宋体" w:eastAsia="宋体" w:hAnsi="宋体" w:cs="宋体"/>
                <w:b w:val="0"/>
                <w:i w:val="0"/>
                <w:color w:val="000000"/>
                <w:sz w:val="14"/>
              </w:rPr>
              <w:t xml:space="preserve">1,113.62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1,113.62</w:t>
            </w:r>
          </w:p>
        </w:tc>
        <w:tc>
          <w:tcPr>
            <w:tcW w:w="1780" w:type="dxa"/>
            <w:tcBorders/>
            <w:vAlign w:val="center"/>
          </w:tcPr>
          <w:p>
            <w:pPr>
              <w:jc w:val="right"/>
            </w:pPr>
            <w:r>
              <w:rPr>
                <w:rFonts w:ascii="宋体" w:eastAsia="宋体" w:hAnsi="宋体" w:cs="宋体"/>
                <w:b/>
                <w:i w:val="0"/>
                <w:color w:val="000000"/>
                <w:sz w:val="18"/>
              </w:rPr>
              <w:t xml:space="preserve">426.52</w:t>
            </w:r>
          </w:p>
        </w:tc>
        <w:tc>
          <w:tcPr>
            <w:tcW w:w="1772" w:type="dxa"/>
            <w:tcBorders/>
            <w:vAlign w:val="center"/>
          </w:tcPr>
          <w:p>
            <w:pPr>
              <w:jc w:val="right"/>
            </w:pPr>
            <w:r>
              <w:rPr>
                <w:rFonts w:ascii="宋体" w:eastAsia="宋体" w:hAnsi="宋体" w:cs="宋体"/>
                <w:b/>
                <w:i w:val="0"/>
                <w:color w:val="000000"/>
                <w:sz w:val="18"/>
              </w:rPr>
              <w:t xml:space="preserve">687.10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146.25</w:t>
            </w:r>
          </w:p>
        </w:tc>
        <w:tc>
          <w:tcPr>
            <w:tcW w:w="1780" w:type="dxa"/>
            <w:tcBorders/>
            <w:vAlign w:val="center"/>
          </w:tcPr>
          <w:p>
            <w:pPr>
              <w:jc w:val="right"/>
            </w:pPr>
            <w:r>
              <w:rPr>
                <w:rFonts w:ascii="宋体" w:eastAsia="宋体" w:hAnsi="宋体" w:cs="宋体"/>
                <w:b w:val="0"/>
                <w:i w:val="0"/>
                <w:color w:val="000000"/>
                <w:sz w:val="18"/>
              </w:rPr>
              <w:t xml:space="preserve">146.25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60.16</w:t>
            </w:r>
          </w:p>
        </w:tc>
        <w:tc>
          <w:tcPr>
            <w:tcW w:w="1780" w:type="dxa"/>
            <w:tcBorders/>
            <w:vAlign w:val="center"/>
          </w:tcPr>
          <w:p>
            <w:pPr>
              <w:jc w:val="right"/>
            </w:pPr>
            <w:r>
              <w:rPr>
                <w:rFonts w:ascii="宋体" w:eastAsia="宋体" w:hAnsi="宋体" w:cs="宋体"/>
                <w:b w:val="0"/>
                <w:i w:val="0"/>
                <w:color w:val="000000"/>
                <w:sz w:val="18"/>
              </w:rPr>
              <w:t xml:space="preserve">60.16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14.18</w:t>
            </w:r>
          </w:p>
        </w:tc>
        <w:tc>
          <w:tcPr>
            <w:tcW w:w="1780" w:type="dxa"/>
            <w:tcBorders/>
            <w:vAlign w:val="center"/>
          </w:tcPr>
          <w:p>
            <w:pPr>
              <w:jc w:val="right"/>
            </w:pPr>
            <w:r>
              <w:rPr>
                <w:rFonts w:ascii="宋体" w:eastAsia="宋体" w:hAnsi="宋体" w:cs="宋体"/>
                <w:b w:val="0"/>
                <w:i w:val="0"/>
                <w:color w:val="000000"/>
                <w:sz w:val="18"/>
              </w:rPr>
              <w:t xml:space="preserve">14.18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29.27</w:t>
            </w:r>
          </w:p>
        </w:tc>
        <w:tc>
          <w:tcPr>
            <w:tcW w:w="1780" w:type="dxa"/>
            <w:tcBorders/>
            <w:vAlign w:val="center"/>
          </w:tcPr>
          <w:p>
            <w:pPr>
              <w:jc w:val="right"/>
            </w:pPr>
            <w:r>
              <w:rPr>
                <w:rFonts w:ascii="宋体" w:eastAsia="宋体" w:hAnsi="宋体" w:cs="宋体"/>
                <w:b w:val="0"/>
                <w:i w:val="0"/>
                <w:color w:val="000000"/>
                <w:sz w:val="18"/>
              </w:rPr>
              <w:t xml:space="preserve">29.27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16.71</w:t>
            </w:r>
          </w:p>
        </w:tc>
        <w:tc>
          <w:tcPr>
            <w:tcW w:w="1780" w:type="dxa"/>
            <w:tcBorders/>
            <w:vAlign w:val="center"/>
          </w:tcPr>
          <w:p>
            <w:pPr>
              <w:jc w:val="right"/>
            </w:pPr>
            <w:r>
              <w:rPr>
                <w:rFonts w:ascii="宋体" w:eastAsia="宋体" w:hAnsi="宋体" w:cs="宋体"/>
                <w:b w:val="0"/>
                <w:i w:val="0"/>
                <w:color w:val="000000"/>
                <w:sz w:val="18"/>
              </w:rPr>
              <w:t xml:space="preserve">16.71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80" w:type="dxa"/>
            <w:tcBorders/>
            <w:vAlign w:val="center"/>
          </w:tcPr>
          <w:p>
            <w:pPr>
              <w:jc w:val="right"/>
            </w:pPr>
            <w:r>
              <w:rPr>
                <w:rFonts w:ascii="宋体" w:eastAsia="宋体" w:hAnsi="宋体" w:cs="宋体"/>
                <w:b w:val="0"/>
                <w:i w:val="0"/>
                <w:color w:val="000000"/>
                <w:sz w:val="18"/>
              </w:rPr>
              <w:t xml:space="preserve">86.09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80" w:type="dxa"/>
            <w:tcBorders/>
            <w:vAlign w:val="center"/>
          </w:tcPr>
          <w:p>
            <w:pPr>
              <w:jc w:val="right"/>
            </w:pPr>
            <w:r>
              <w:rPr>
                <w:rFonts w:ascii="宋体" w:eastAsia="宋体" w:hAnsi="宋体" w:cs="宋体"/>
                <w:b w:val="0"/>
                <w:i w:val="0"/>
                <w:color w:val="000000"/>
                <w:sz w:val="18"/>
              </w:rPr>
              <w:t xml:space="preserve">12.13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923.35</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72" w:type="dxa"/>
            <w:tcBorders/>
            <w:vAlign w:val="center"/>
          </w:tcPr>
          <w:p>
            <w:pPr>
              <w:jc w:val="right"/>
            </w:pPr>
            <w:r>
              <w:rPr>
                <w:rFonts w:ascii="宋体" w:eastAsia="宋体" w:hAnsi="宋体" w:cs="宋体"/>
                <w:b w:val="0"/>
                <w:i w:val="0"/>
                <w:color w:val="000000"/>
                <w:sz w:val="18"/>
              </w:rPr>
              <w:t xml:space="preserve">687.10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w:t>
            </w:r>
          </w:p>
        </w:tc>
        <w:tc>
          <w:tcPr>
            <w:tcW w:w="4300" w:type="dxa"/>
            <w:tcBorders/>
            <w:vAlign w:val="center"/>
          </w:tcPr>
          <w:p>
            <w:pPr>
              <w:jc w:val="left"/>
            </w:pPr>
            <w:r>
              <w:rPr>
                <w:rFonts w:ascii="宋体" w:eastAsia="宋体" w:hAnsi="宋体" w:cs="宋体"/>
                <w:b w:val="0"/>
                <w:i w:val="0"/>
                <w:color w:val="000000"/>
                <w:sz w:val="18"/>
              </w:rPr>
              <w:t xml:space="preserve">工业和信息产业监管</w:t>
            </w:r>
          </w:p>
        </w:tc>
        <w:tc>
          <w:tcPr>
            <w:tcW w:w="1780" w:type="dxa"/>
            <w:tcBorders/>
            <w:vAlign w:val="center"/>
          </w:tcPr>
          <w:p>
            <w:pPr>
              <w:jc w:val="right"/>
            </w:pPr>
            <w:r>
              <w:rPr>
                <w:rFonts w:ascii="宋体" w:eastAsia="宋体" w:hAnsi="宋体" w:cs="宋体"/>
                <w:b w:val="0"/>
                <w:i w:val="0"/>
                <w:color w:val="000000"/>
                <w:sz w:val="18"/>
              </w:rPr>
              <w:t xml:space="preserve">242.85</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72" w:type="dxa"/>
            <w:tcBorders/>
            <w:vAlign w:val="center"/>
          </w:tcPr>
          <w:p>
            <w:pPr>
              <w:jc w:val="right"/>
            </w:pPr>
            <w:r>
              <w:rPr>
                <w:rFonts w:ascii="宋体" w:eastAsia="宋体" w:hAnsi="宋体" w:cs="宋体"/>
                <w:b w:val="0"/>
                <w:i w:val="0"/>
                <w:color w:val="000000"/>
                <w:sz w:val="18"/>
              </w:rPr>
              <w:t xml:space="preserve">6.60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80" w:type="dxa"/>
            <w:tcBorders/>
            <w:vAlign w:val="center"/>
          </w:tcPr>
          <w:p>
            <w:pPr>
              <w:jc w:val="right"/>
            </w:pPr>
            <w:r>
              <w:rPr>
                <w:rFonts w:ascii="宋体" w:eastAsia="宋体" w:hAnsi="宋体" w:cs="宋体"/>
                <w:b w:val="0"/>
                <w:i w:val="0"/>
                <w:color w:val="000000"/>
                <w:sz w:val="18"/>
              </w:rPr>
              <w:t xml:space="preserve">236.25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680.50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680.50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80" w:type="dxa"/>
            <w:tcBorders/>
            <w:vAlign w:val="center"/>
          </w:tcPr>
          <w:p>
            <w:pPr>
              <w:jc w:val="right"/>
            </w:pPr>
            <w:r>
              <w:rPr>
                <w:rFonts w:ascii="宋体" w:eastAsia="宋体" w:hAnsi="宋体" w:cs="宋体"/>
                <w:b w:val="0"/>
                <w:i w:val="0"/>
                <w:color w:val="000000"/>
                <w:sz w:val="18"/>
              </w:rPr>
              <w:t xml:space="preserve">31.88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292.28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31.45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76.54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2.75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57.56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60.96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6.48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29.27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16.71</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11.61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12.13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31.88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102.79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14.18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86.09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1.97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15.06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395.07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31.45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单位：辽宁省沈阳市浑南区工业和信息化局（本级）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063001沈阳市浑南区工业和信息化局本级-210112000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410.71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410.71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工业经济实现平稳健康增长，数字赋能全面提速，“专精特新”培育领跑全市，促进工业稳增长和转型升级，全力推进先进制造业发展实现新突破。</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工业经济实现平稳健康增长，实现工业投资增速，工业数字赋能全面提速，“专精特新”培育领跑全市，促进工业稳增长和转型升级，全力推动先进制造业发展实现新突破。</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推动工业发展促进经济稳定增长</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稳定增长</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工业绿色转型发展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有序推进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社会公共满意度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增强部门行政审批管理水平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安全生产、节能、电力宣传活动经费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已完成电力设施保护宣传品印制发放工作，请款未拨付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工信局搬家费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保障工作人员正常办公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此项目已于24年预算申报后在23年年底完成，24年预算已经申报未能撤回，故此项目在24年未发生支出。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足额报销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其他:此项目已于24年预算申报后在23年年底完成，24年预算已经申报未能撤回，故此项目在24年未发生支出。</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工信局雇员经费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为保障雇员日常工作正常运转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保障雇员工作正常运转，绩效目标稳步实现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经费保障:规范财政资金管理与使用，及时跟进资金拨付进度，建议资金足额保障，确保日常工作正常运转</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工业运行、中小企业、工业投资分析报告编制费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已完成2笔报告编制工作的验收，请款未拨付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经费保障:项目已完成验收请款流程，财政因经费紧张，资金不足，未能拨付经费，故未发生支出，完成值为零。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经费保障:规范财政资金管理与使用，确保资金使用合理有效，建议资金足额下达，提高项目执行率，确保项目按期完成。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工业运行、中小企业、工业投资工作经费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保障单位参会调研培训等工作顺利进行，绩效目标稳步实现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经费保障:财政因经费紧张，资金不足，未能全额拨付项目经费，压缩开支，减少支出，故完成值较低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经费保障:规范财政资金管理与使用，及时跟进资金拨付进度，建议资金足额保障，提高项目执行率，确保项目按期完成。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激励各地区和重点工业企业高质量发展专项资金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确保激励措施早落实、专项资金早到位、激励作用早见效。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已完成对重点工业企业高质量发展专项资金的补贴发放工作。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已按期缴纳完成单位残疾人就业保障金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2020年度规模以上工业企业奖补资金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沈阳市浑南区工业和信息化局本级-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推动工业经济快速发展，提升产业发展质量和产业链现代化水平，优化存量，做大增量。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已完成对2020年度规模以上工业企业奖补资金的补贴发放工作。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发放奖补资金单位数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其他:此项目设置的指标值为全部发放补贴单位数，此次发放为其中部分，本次请款需发放的单位数已全部完成。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其他:此项目设置的指标值为全部发放补贴单位数，此次发放为其中部分，本次请款需发放的单位数已全部完成。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93.36</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