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辽宁省沈阳市浑南区工业和信息化事务服务中心</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辽宁省沈阳市浑南区工业和信息化事务服务中心</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辽宁省沈阳市浑南区工业和信息化事务服务中心</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辽宁省沈阳市浑南区工业和信息化事务服务中心</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辽宁省沈阳市浑南区工业和信息化事务服务中心</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辽宁省沈阳市浑南区工业和信息化事务服务中心概况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第一条  根据《市委编办关于设立区县（市）工业信息化服务中心的通知》，制定本规定。</w:t>
        <w:br/>
        <w:t xml:space="preserve">    第二条 沈阳市浑南区工业信息化服务中心，是沈阳市浑南区工业和信息化局所属事业单位，机构性质为全额拨款事业单位，机构规格相当于副处级。</w:t>
        <w:br/>
        <w:t xml:space="preserve">    第三条 沈阳市浑南区工业信息化服务中心贯彻落实党中央、国务院关于工业和信息化融合、5G产业发展、电力运行、绿色节能方面方针政策及省、市相关部门和区委、区政府要求部署，在履行职责过程中坚持和加强党的集中统一领导。主要职责是：</w:t>
        <w:br/>
        <w:t xml:space="preserve">    （一）根据党和国家的有关方针政策，按照省、市相关部门及区委、区政府的工作安排，研究制定工业信息化服务的工作计划和规章制度，并组织实施。</w:t>
        <w:br/>
        <w:t xml:space="preserve">    （二）承担落实两化融合项目培育与申报等工作，为企业提供工业数字化、智能化、网络化相关服务。</w:t>
        <w:br/>
        <w:t xml:space="preserve">    （三）促进工业互联网产业发展，培育企业建设工业互联网平台、标识解析节点等相关项目。</w:t>
        <w:br/>
        <w:t xml:space="preserve">    （四）贯彻落实电子信息制造业发展任务，推动行业转型升级和产品结构调整，为企业提供行业发展相关服务。</w:t>
        <w:br/>
        <w:t xml:space="preserve">    （五）培育5G应用示范项目及应用场景，为企业提供结合5G技术发展业务指导等服务。</w:t>
        <w:br/>
        <w:t xml:space="preserve">    （六）协调5G通信基础设施建设，指导并联合运营商进行5G宣传、科普，协调运营商进行通信保障工作。</w:t>
        <w:br/>
        <w:t xml:space="preserve">    （七）落实软件产业相关任务，为企业提供政策传达、业务指导等服务。</w:t>
        <w:br/>
        <w:t xml:space="preserve">    （八）负责组织协调电力运行供需、电网运行等问题，开展电力需求侧管理，指导全区节约用电等工作，提供全区电力设施安全运行及反窃电等保障服务。</w:t>
        <w:br/>
        <w:t xml:space="preserve">    （九）负责落实上级工业领域有关节能工作政策、规章，组织开展节能宣传、节能工程和节能技术产品等推广应用，并提供节能监察服务。</w:t>
        <w:br/>
        <w:t xml:space="preserve">    （十）承担区委、区政府及区工业和信息化局交办的其他事项。</w:t>
        <w:br/>
        <w:t xml:space="preserve">    第四条 根据上述职责，沈阳市浑南区工业信息化服务中心设下列内设机构：</w:t>
        <w:br/>
        <w:t xml:space="preserve">    （一）综合办公室。负责综合协调、文字综合、文电、会务、机要、保密、档案、督查督办等工作；负责党组织建设相关工作，负责党风廉政建设和反腐败工作等工作。</w:t>
        <w:br/>
        <w:t xml:space="preserve">    核定全额拨款事业编制3名，部长1名（副科级）。</w:t>
        <w:br/>
        <w:t xml:space="preserve">    （二）两化融合推进部。负责电子信息、软件企业经济运行情况的监测分析；负责组织落实两化融合项目培育与申报等工作；负责协调相关部门指导促进企业推进工业数字化、智能化、网络化制造和应用，培育企业建设工业互联网平台、标识解析节点等相关项目，促进工业互联网发展。落实电子信息制造业专项资金支持项目的申报和实施，推动企业转型升级和产品结构调整。</w:t>
        <w:br/>
        <w:t xml:space="preserve">    核定全额拨款事业编制3名，部长1名（副科级）。</w:t>
        <w:br/>
        <w:t xml:space="preserve">    （三）5G产业发展部。负责贯彻落实上级关于5G产业发展的相关部署要求，培育5G应用示范项目及应用场景，为企业提供结合5G技术发展业务的指导服务。协调5G通信基础设施建设工作，指导并联合运营商进行5G宣传、科普，协调运营商进行通信保障工作。落实软件产业相关任务，为软件企业提供政策传达、业务指导等服务。</w:t>
        <w:br/>
        <w:t xml:space="preserve">    核定全额拨款事业编制3名，部长1名（副科级）。</w:t>
        <w:br/>
        <w:t xml:space="preserve">    （四）电力节能服务部。负责全区电力服务相关工作，组织协调电力运行供需、电网运行等问题，开展电力需求侧管理工作。指导全区节约用电、电力设施安全运行及反窃电等服务保障工作落实上级工业领域有关节能工作政策、规章；组织开展节能宣传、信息传播及培训工作；组织实施资源节约综合利用重大示范工程和新产品、新技术、新设备、新材料的推广应用；负责节能监察服务保障工作（不建立执法队伍）。</w:t>
        <w:br/>
        <w:t xml:space="preserve">    核定全额拨款事业编制4名，部长1名（副科级）。</w:t>
        <w:br/>
        <w:t xml:space="preserve">    第五条 沈阳市浑南区工业信息化服务中心核定全额拨款事业编制11名。设主任1名（副处级），科长2名（正科级）。</w:t>
        <w:br/>
        <w:t xml:space="preserve">    第六条 本规定由中共沈阳市浑南区委机构编制委员会办公室负责解释，其调整由中共沈阳市浑南区委机构编制委员会办公室按规定程序办理。</w:t>
        <w:br/>
        <w:t xml:space="preserve">    第七条 本规定自2021年4月30日起施行。</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辽宁省沈阳市浑南区工业和信息化事务服务中心</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沈阳市浑南区工业和信息化事务服务中心本级，本单位无下设机构。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128.12</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128.12</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128.12</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减少6.92万元，降低5.13%</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基本支出的所需收入减少，经费紧张，缩减开支</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128.12</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127.16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99.25</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工资福利支出118.11万元；商品和服务支出7.37万元；对个人和家庭的补助1.55万元；资本性支出0.13万元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0.96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0.75</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主要包括缴纳残疾人就业保障金等业务支出。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减少6.92万元，降低5.13%</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基本支出减少，经费紧张，缩减开支</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收支平衡，无结转结余资金</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128.12</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127.16</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0.96</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减少6.92万元，降低5.13%</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基本支出减少，经费紧张，缩减开支</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96.35</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98.62</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23.84</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2024年度一般公共预算财政拨款支出128.12万元。按支出功能分类科目分，包括：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1.社会保障和就业支出14.83万元，具体包括：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1.55万元,主要是退休人员采暖补贴等支出，完成年初预算的87.08%，决算数与年初预算数存在差异的主要原因是财政资金紧张未产生退休人员书报费报销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13.28万元,主要是在职人员的基本养老保险缴费等支出，完成年初预算的106.16%，决算数与年初预算数存在差异的主要原因是人员调整变动，新入职人员增加，支出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2.卫生健康支出5.68万元，具体包括：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5.68万元,主要是在职人员的基本医疗保险缴费等支出，完成年初预算的133.3%，决算数与年初预算数存在差异的主要原因是人员调整变动，新入职人员增加，支出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3.资源勘探工业信息等支出94.71万元，具体包括：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资源勘探工业信息等支出（类）工业和信息产业监管（款）事业运行（项）93.75万元,主要是事业运行本级的基本经费等支出，完成年初预算的96.73%，决算数与年初预算数存在差异的主要原因是基本支出减少，经费紧张，缩减开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资源勘探工业信息等支出（类）工业和信息产业监管（款）其他工业和信息产业监管支出（项）0.96万元,主要是残疾人就业保障金缴纳等支出，完成年初预算的32%，决算数与年初预算数存在差异的主要原因是项目支出减少，经费紧张，缩减开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4.住房保障支出12.90万元，具体包括：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12.90万元,主要是在职人员的住房公积金等支出，完成年初预算的92.8%，决算数与年初预算数存在差异的主要原因是财政经费紧张，未拨付支出公积金高比例部分。</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无“三公”经费支出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无此项经费支出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无因公出国任务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无此项经费支出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无此项经费支出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无此项经费支出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无此项经费支出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127.16</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119.66</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7.50</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本单位为事业单位，无机关运行经费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具体而言，本年度我部门共组织对2个项目实施了绩效评价。从预算资金来源看，涉及一般公共预算的项目2个，涉及政府性基金预算的项目0个，涉及国有资本经营预算的项目0个。</w:t>
        <w:br/>
        <w:t xml:space="preserve">    上述评价工作共涉及财政资金0.96万元。其中，一般公共预算资金0.96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个；得分在80分（含）至90分、等级为“良”的项目有0个；得分在60分（含）至80分、等级为“中”的项目有0个；得分在60分以下、等级为“差”的项目有1个。各项目自评发现，部分项目存在预算执行进度偏慢问题等，已要求相关项目单位分析原因并制定改进措施。</w:t>
        <w:br/>
        <w:t xml:space="preserve">    3.部门重点评价情况及结果。</w:t>
        <w:br/>
        <w:t xml:space="preserve">    在全面自评的基础上，本部门选取了1个资金量大、社会关注度高、具有代表性的重点项目实施了部门重点评价。评价工作通过数据采集分析方式进行，确保了评价结果的客观性和公正性。</w:t>
        <w:br/>
        <w:t xml:space="preserve">    我部门组织对1个项目重点评价，结果显示，被评价项目整体绩效情况良好。重点项目为缴纳残疾人就业保障金，涉及资金0.96万元，评价平均分为99.33分，评级情况为优。同时，评价也发现其他项目存在问题，如：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单位：辽宁省沈阳市浑南区工业和信息化事务服务中心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128.12</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14.83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5.68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jc w:val="right"/>
            </w:pPr>
            <w:r>
              <w:rPr>
                <w:rFonts w:ascii="宋体" w:eastAsia="宋体" w:hAnsi="宋体" w:cs="宋体"/>
                <w:b w:val="0"/>
                <w:i w:val="0"/>
                <w:color w:val="000000"/>
                <w:sz w:val="16"/>
              </w:rPr>
              <w:t xml:space="preserve">94.71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12.90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128.12</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128.12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128.12</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128.12</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单位：辽宁省沈阳市浑南区工业和信息化事务服务中心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128.12</w:t>
            </w:r>
          </w:p>
        </w:tc>
        <w:tc>
          <w:tcPr>
            <w:tcW w:w="960" w:type="dxa"/>
            <w:tcBorders/>
            <w:vAlign w:val="center"/>
          </w:tcPr>
          <w:p>
            <w:pPr>
              <w:jc w:val="right"/>
            </w:pPr>
            <w:r>
              <w:rPr>
                <w:rFonts w:ascii="宋体" w:eastAsia="宋体" w:hAnsi="宋体" w:cs="宋体"/>
                <w:b/>
                <w:i w:val="0"/>
                <w:color w:val="000000"/>
                <w:sz w:val="13"/>
              </w:rPr>
              <w:t xml:space="preserve">128.12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14.83</w:t>
            </w:r>
          </w:p>
        </w:tc>
        <w:tc>
          <w:tcPr>
            <w:tcW w:w="960" w:type="dxa"/>
            <w:tcBorders/>
            <w:vAlign w:val="center"/>
          </w:tcPr>
          <w:p>
            <w:pPr>
              <w:jc w:val="right"/>
            </w:pPr>
            <w:r>
              <w:rPr>
                <w:rFonts w:ascii="宋体" w:eastAsia="宋体" w:hAnsi="宋体" w:cs="宋体"/>
                <w:b w:val="0"/>
                <w:i w:val="0"/>
                <w:color w:val="000000"/>
                <w:sz w:val="13"/>
              </w:rPr>
              <w:t xml:space="preserve">14.83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14.83</w:t>
            </w:r>
          </w:p>
        </w:tc>
        <w:tc>
          <w:tcPr>
            <w:tcW w:w="960" w:type="dxa"/>
            <w:tcBorders/>
            <w:vAlign w:val="center"/>
          </w:tcPr>
          <w:p>
            <w:pPr>
              <w:jc w:val="right"/>
            </w:pPr>
            <w:r>
              <w:rPr>
                <w:rFonts w:ascii="宋体" w:eastAsia="宋体" w:hAnsi="宋体" w:cs="宋体"/>
                <w:b w:val="0"/>
                <w:i w:val="0"/>
                <w:color w:val="000000"/>
                <w:sz w:val="13"/>
              </w:rPr>
              <w:t xml:space="preserve">14.83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1.55</w:t>
            </w:r>
          </w:p>
        </w:tc>
        <w:tc>
          <w:tcPr>
            <w:tcW w:w="960" w:type="dxa"/>
            <w:tcBorders/>
            <w:vAlign w:val="center"/>
          </w:tcPr>
          <w:p>
            <w:pPr>
              <w:jc w:val="right"/>
            </w:pPr>
            <w:r>
              <w:rPr>
                <w:rFonts w:ascii="宋体" w:eastAsia="宋体" w:hAnsi="宋体" w:cs="宋体"/>
                <w:b w:val="0"/>
                <w:i w:val="0"/>
                <w:color w:val="000000"/>
                <w:sz w:val="13"/>
              </w:rPr>
              <w:t xml:space="preserve">1.55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13.28</w:t>
            </w:r>
          </w:p>
        </w:tc>
        <w:tc>
          <w:tcPr>
            <w:tcW w:w="960" w:type="dxa"/>
            <w:tcBorders/>
            <w:vAlign w:val="center"/>
          </w:tcPr>
          <w:p>
            <w:pPr>
              <w:jc w:val="right"/>
            </w:pPr>
            <w:r>
              <w:rPr>
                <w:rFonts w:ascii="宋体" w:eastAsia="宋体" w:hAnsi="宋体" w:cs="宋体"/>
                <w:b w:val="0"/>
                <w:i w:val="0"/>
                <w:color w:val="000000"/>
                <w:sz w:val="13"/>
              </w:rPr>
              <w:t xml:space="preserve">13.28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5.68</w:t>
            </w:r>
          </w:p>
        </w:tc>
        <w:tc>
          <w:tcPr>
            <w:tcW w:w="960" w:type="dxa"/>
            <w:tcBorders/>
            <w:vAlign w:val="center"/>
          </w:tcPr>
          <w:p>
            <w:pPr>
              <w:jc w:val="right"/>
            </w:pPr>
            <w:r>
              <w:rPr>
                <w:rFonts w:ascii="宋体" w:eastAsia="宋体" w:hAnsi="宋体" w:cs="宋体"/>
                <w:b w:val="0"/>
                <w:i w:val="0"/>
                <w:color w:val="000000"/>
                <w:sz w:val="13"/>
              </w:rPr>
              <w:t xml:space="preserve">5.68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5.68</w:t>
            </w:r>
          </w:p>
        </w:tc>
        <w:tc>
          <w:tcPr>
            <w:tcW w:w="960" w:type="dxa"/>
            <w:tcBorders/>
            <w:vAlign w:val="center"/>
          </w:tcPr>
          <w:p>
            <w:pPr>
              <w:jc w:val="right"/>
            </w:pPr>
            <w:r>
              <w:rPr>
                <w:rFonts w:ascii="宋体" w:eastAsia="宋体" w:hAnsi="宋体" w:cs="宋体"/>
                <w:b w:val="0"/>
                <w:i w:val="0"/>
                <w:color w:val="000000"/>
                <w:sz w:val="13"/>
              </w:rPr>
              <w:t xml:space="preserve">5.68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5.68</w:t>
            </w:r>
          </w:p>
        </w:tc>
        <w:tc>
          <w:tcPr>
            <w:tcW w:w="960" w:type="dxa"/>
            <w:tcBorders/>
            <w:vAlign w:val="center"/>
          </w:tcPr>
          <w:p>
            <w:pPr>
              <w:jc w:val="right"/>
            </w:pPr>
            <w:r>
              <w:rPr>
                <w:rFonts w:ascii="宋体" w:eastAsia="宋体" w:hAnsi="宋体" w:cs="宋体"/>
                <w:b w:val="0"/>
                <w:i w:val="0"/>
                <w:color w:val="000000"/>
                <w:sz w:val="13"/>
              </w:rPr>
              <w:t xml:space="preserve">5.68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w:t>
            </w:r>
          </w:p>
        </w:tc>
        <w:tc>
          <w:tcPr>
            <w:tcW w:w="3200" w:type="dxa"/>
            <w:tcBorders/>
            <w:vAlign w:val="center"/>
          </w:tcPr>
          <w:p>
            <w:pPr>
              <w:jc w:val="left"/>
            </w:pPr>
            <w:r>
              <w:rPr>
                <w:rFonts w:ascii="宋体" w:eastAsia="宋体" w:hAnsi="宋体" w:cs="宋体"/>
                <w:b w:val="0"/>
                <w:i w:val="0"/>
                <w:color w:val="000000"/>
                <w:sz w:val="13"/>
              </w:rPr>
              <w:t xml:space="preserve">资源勘探工业信息等支出</w:t>
            </w:r>
          </w:p>
        </w:tc>
        <w:tc>
          <w:tcPr>
            <w:tcW w:w="960" w:type="dxa"/>
            <w:tcBorders/>
            <w:vAlign w:val="center"/>
          </w:tcPr>
          <w:p>
            <w:pPr>
              <w:jc w:val="right"/>
            </w:pPr>
            <w:r>
              <w:rPr>
                <w:rFonts w:ascii="宋体" w:eastAsia="宋体" w:hAnsi="宋体" w:cs="宋体"/>
                <w:b w:val="0"/>
                <w:i w:val="0"/>
                <w:color w:val="000000"/>
                <w:sz w:val="13"/>
              </w:rPr>
              <w:t xml:space="preserve">94.71</w:t>
            </w:r>
          </w:p>
        </w:tc>
        <w:tc>
          <w:tcPr>
            <w:tcW w:w="960" w:type="dxa"/>
            <w:tcBorders/>
            <w:vAlign w:val="center"/>
          </w:tcPr>
          <w:p>
            <w:pPr>
              <w:jc w:val="right"/>
            </w:pPr>
            <w:r>
              <w:rPr>
                <w:rFonts w:ascii="宋体" w:eastAsia="宋体" w:hAnsi="宋体" w:cs="宋体"/>
                <w:b w:val="0"/>
                <w:i w:val="0"/>
                <w:color w:val="000000"/>
                <w:sz w:val="13"/>
              </w:rPr>
              <w:t xml:space="preserve">94.71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21505</w:t>
            </w:r>
          </w:p>
        </w:tc>
        <w:tc>
          <w:tcPr>
            <w:tcW w:w="3200" w:type="dxa"/>
            <w:tcBorders/>
            <w:vAlign w:val="center"/>
          </w:tcPr>
          <w:p>
            <w:pPr>
              <w:jc w:val="left"/>
            </w:pPr>
            <w:r>
              <w:rPr>
                <w:rFonts w:ascii="宋体" w:eastAsia="宋体" w:hAnsi="宋体" w:cs="宋体"/>
                <w:b w:val="0"/>
                <w:i w:val="0"/>
                <w:color w:val="000000"/>
                <w:sz w:val="13"/>
              </w:rPr>
              <w:t xml:space="preserve">工业和信息产业监管</w:t>
            </w:r>
          </w:p>
        </w:tc>
        <w:tc>
          <w:tcPr>
            <w:tcW w:w="960" w:type="dxa"/>
            <w:tcBorders/>
            <w:vAlign w:val="center"/>
          </w:tcPr>
          <w:p>
            <w:pPr>
              <w:jc w:val="right"/>
            </w:pPr>
            <w:r>
              <w:rPr>
                <w:rFonts w:ascii="宋体" w:eastAsia="宋体" w:hAnsi="宋体" w:cs="宋体"/>
                <w:b w:val="0"/>
                <w:i w:val="0"/>
                <w:color w:val="000000"/>
                <w:sz w:val="13"/>
              </w:rPr>
              <w:t xml:space="preserve">94.71</w:t>
            </w:r>
          </w:p>
        </w:tc>
        <w:tc>
          <w:tcPr>
            <w:tcW w:w="960" w:type="dxa"/>
            <w:tcBorders/>
            <w:vAlign w:val="center"/>
          </w:tcPr>
          <w:p>
            <w:pPr>
              <w:jc w:val="right"/>
            </w:pPr>
            <w:r>
              <w:rPr>
                <w:rFonts w:ascii="宋体" w:eastAsia="宋体" w:hAnsi="宋体" w:cs="宋体"/>
                <w:b w:val="0"/>
                <w:i w:val="0"/>
                <w:color w:val="000000"/>
                <w:sz w:val="13"/>
              </w:rPr>
              <w:t xml:space="preserve">94.71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2150550</w:t>
            </w:r>
          </w:p>
        </w:tc>
        <w:tc>
          <w:tcPr>
            <w:tcW w:w="3200" w:type="dxa"/>
            <w:tcBorders/>
            <w:vAlign w:val="center"/>
          </w:tcPr>
          <w:p>
            <w:pPr>
              <w:jc w:val="left"/>
            </w:pPr>
            <w:r>
              <w:rPr>
                <w:rFonts w:ascii="宋体" w:eastAsia="宋体" w:hAnsi="宋体" w:cs="宋体"/>
                <w:b w:val="0"/>
                <w:i w:val="0"/>
                <w:color w:val="000000"/>
                <w:sz w:val="13"/>
              </w:rPr>
              <w:t xml:space="preserve">事业运行</w:t>
            </w:r>
          </w:p>
        </w:tc>
        <w:tc>
          <w:tcPr>
            <w:tcW w:w="960" w:type="dxa"/>
            <w:tcBorders/>
            <w:vAlign w:val="center"/>
          </w:tcPr>
          <w:p>
            <w:pPr>
              <w:jc w:val="right"/>
            </w:pPr>
            <w:r>
              <w:rPr>
                <w:rFonts w:ascii="宋体" w:eastAsia="宋体" w:hAnsi="宋体" w:cs="宋体"/>
                <w:b w:val="0"/>
                <w:i w:val="0"/>
                <w:color w:val="000000"/>
                <w:sz w:val="13"/>
              </w:rPr>
              <w:t xml:space="preserve">93.75</w:t>
            </w:r>
          </w:p>
        </w:tc>
        <w:tc>
          <w:tcPr>
            <w:tcW w:w="960" w:type="dxa"/>
            <w:tcBorders/>
            <w:vAlign w:val="center"/>
          </w:tcPr>
          <w:p>
            <w:pPr>
              <w:jc w:val="right"/>
            </w:pPr>
            <w:r>
              <w:rPr>
                <w:rFonts w:ascii="宋体" w:eastAsia="宋体" w:hAnsi="宋体" w:cs="宋体"/>
                <w:b w:val="0"/>
                <w:i w:val="0"/>
                <w:color w:val="000000"/>
                <w:sz w:val="13"/>
              </w:rPr>
              <w:t xml:space="preserve">93.75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2150599</w:t>
            </w:r>
          </w:p>
        </w:tc>
        <w:tc>
          <w:tcPr>
            <w:tcW w:w="3200" w:type="dxa"/>
            <w:tcBorders/>
            <w:vAlign w:val="center"/>
          </w:tcPr>
          <w:p>
            <w:pPr>
              <w:jc w:val="left"/>
            </w:pPr>
            <w:r>
              <w:rPr>
                <w:rFonts w:ascii="宋体" w:eastAsia="宋体" w:hAnsi="宋体" w:cs="宋体"/>
                <w:b w:val="0"/>
                <w:i w:val="0"/>
                <w:color w:val="000000"/>
                <w:sz w:val="13"/>
              </w:rPr>
              <w:t xml:space="preserve">其他工业和信息产业监管支出</w:t>
            </w:r>
          </w:p>
        </w:tc>
        <w:tc>
          <w:tcPr>
            <w:tcW w:w="960" w:type="dxa"/>
            <w:tcBorders/>
            <w:vAlign w:val="center"/>
          </w:tcPr>
          <w:p>
            <w:pPr>
              <w:jc w:val="right"/>
            </w:pPr>
            <w:r>
              <w:rPr>
                <w:rFonts w:ascii="宋体" w:eastAsia="宋体" w:hAnsi="宋体" w:cs="宋体"/>
                <w:b w:val="0"/>
                <w:i w:val="0"/>
                <w:color w:val="000000"/>
                <w:sz w:val="13"/>
              </w:rPr>
              <w:t xml:space="preserve">0.96</w:t>
            </w:r>
          </w:p>
        </w:tc>
        <w:tc>
          <w:tcPr>
            <w:tcW w:w="960" w:type="dxa"/>
            <w:tcBorders/>
            <w:vAlign w:val="center"/>
          </w:tcPr>
          <w:p>
            <w:pPr>
              <w:jc w:val="right"/>
            </w:pPr>
            <w:r>
              <w:rPr>
                <w:rFonts w:ascii="宋体" w:eastAsia="宋体" w:hAnsi="宋体" w:cs="宋体"/>
                <w:b w:val="0"/>
                <w:i w:val="0"/>
                <w:color w:val="000000"/>
                <w:sz w:val="13"/>
              </w:rPr>
              <w:t xml:space="preserve">0.96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12.90</w:t>
            </w:r>
          </w:p>
        </w:tc>
        <w:tc>
          <w:tcPr>
            <w:tcW w:w="960" w:type="dxa"/>
            <w:tcBorders/>
            <w:vAlign w:val="center"/>
          </w:tcPr>
          <w:p>
            <w:pPr>
              <w:jc w:val="right"/>
            </w:pPr>
            <w:r>
              <w:rPr>
                <w:rFonts w:ascii="宋体" w:eastAsia="宋体" w:hAnsi="宋体" w:cs="宋体"/>
                <w:b w:val="0"/>
                <w:i w:val="0"/>
                <w:color w:val="000000"/>
                <w:sz w:val="13"/>
              </w:rPr>
              <w:t xml:space="preserve">12.90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12.90</w:t>
            </w:r>
          </w:p>
        </w:tc>
        <w:tc>
          <w:tcPr>
            <w:tcW w:w="960" w:type="dxa"/>
            <w:tcBorders/>
            <w:vAlign w:val="center"/>
          </w:tcPr>
          <w:p>
            <w:pPr>
              <w:jc w:val="right"/>
            </w:pPr>
            <w:r>
              <w:rPr>
                <w:rFonts w:ascii="宋体" w:eastAsia="宋体" w:hAnsi="宋体" w:cs="宋体"/>
                <w:b w:val="0"/>
                <w:i w:val="0"/>
                <w:color w:val="000000"/>
                <w:sz w:val="13"/>
              </w:rPr>
              <w:t xml:space="preserve">12.90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12.90</w:t>
            </w:r>
          </w:p>
        </w:tc>
        <w:tc>
          <w:tcPr>
            <w:tcW w:w="960" w:type="dxa"/>
            <w:tcBorders/>
            <w:vAlign w:val="center"/>
          </w:tcPr>
          <w:p>
            <w:pPr>
              <w:jc w:val="right"/>
            </w:pPr>
            <w:r>
              <w:rPr>
                <w:rFonts w:ascii="宋体" w:eastAsia="宋体" w:hAnsi="宋体" w:cs="宋体"/>
                <w:b w:val="0"/>
                <w:i w:val="0"/>
                <w:color w:val="000000"/>
                <w:sz w:val="13"/>
              </w:rPr>
              <w:t xml:space="preserve">12.90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单位：辽宁省沈阳市浑南区工业和信息化事务服务中心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128.12</w:t>
            </w:r>
          </w:p>
        </w:tc>
        <w:tc>
          <w:tcPr>
            <w:tcW w:w="1060" w:type="dxa"/>
            <w:tcBorders/>
            <w:vAlign w:val="center"/>
          </w:tcPr>
          <w:p>
            <w:pPr>
              <w:jc w:val="right"/>
            </w:pPr>
            <w:r>
              <w:rPr>
                <w:rFonts w:ascii="宋体" w:eastAsia="宋体" w:hAnsi="宋体" w:cs="宋体"/>
                <w:b/>
                <w:i w:val="0"/>
                <w:color w:val="000000"/>
                <w:sz w:val="14"/>
              </w:rPr>
              <w:t xml:space="preserve">127.16</w:t>
            </w:r>
          </w:p>
        </w:tc>
        <w:tc>
          <w:tcPr>
            <w:tcW w:w="1060" w:type="dxa"/>
            <w:tcBorders/>
            <w:vAlign w:val="center"/>
          </w:tcPr>
          <w:p>
            <w:pPr>
              <w:jc w:val="right"/>
            </w:pPr>
            <w:r>
              <w:rPr>
                <w:rFonts w:ascii="宋体" w:eastAsia="宋体" w:hAnsi="宋体" w:cs="宋体"/>
                <w:b/>
                <w:i w:val="0"/>
                <w:color w:val="000000"/>
                <w:sz w:val="14"/>
              </w:rPr>
              <w:t xml:space="preserve">0.96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14.83</w:t>
            </w:r>
          </w:p>
        </w:tc>
        <w:tc>
          <w:tcPr>
            <w:tcW w:w="1060" w:type="dxa"/>
            <w:tcBorders/>
            <w:vAlign w:val="center"/>
          </w:tcPr>
          <w:p>
            <w:pPr>
              <w:jc w:val="right"/>
            </w:pPr>
            <w:r>
              <w:rPr>
                <w:rFonts w:ascii="宋体" w:eastAsia="宋体" w:hAnsi="宋体" w:cs="宋体"/>
                <w:b w:val="0"/>
                <w:i w:val="0"/>
                <w:color w:val="000000"/>
                <w:sz w:val="14"/>
              </w:rPr>
              <w:t xml:space="preserve">14.83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14.83</w:t>
            </w:r>
          </w:p>
        </w:tc>
        <w:tc>
          <w:tcPr>
            <w:tcW w:w="1060" w:type="dxa"/>
            <w:tcBorders/>
            <w:vAlign w:val="center"/>
          </w:tcPr>
          <w:p>
            <w:pPr>
              <w:jc w:val="right"/>
            </w:pPr>
            <w:r>
              <w:rPr>
                <w:rFonts w:ascii="宋体" w:eastAsia="宋体" w:hAnsi="宋体" w:cs="宋体"/>
                <w:b w:val="0"/>
                <w:i w:val="0"/>
                <w:color w:val="000000"/>
                <w:sz w:val="14"/>
              </w:rPr>
              <w:t xml:space="preserve">14.83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1.55</w:t>
            </w:r>
          </w:p>
        </w:tc>
        <w:tc>
          <w:tcPr>
            <w:tcW w:w="1060" w:type="dxa"/>
            <w:tcBorders/>
            <w:vAlign w:val="center"/>
          </w:tcPr>
          <w:p>
            <w:pPr>
              <w:jc w:val="right"/>
            </w:pPr>
            <w:r>
              <w:rPr>
                <w:rFonts w:ascii="宋体" w:eastAsia="宋体" w:hAnsi="宋体" w:cs="宋体"/>
                <w:b w:val="0"/>
                <w:i w:val="0"/>
                <w:color w:val="000000"/>
                <w:sz w:val="14"/>
              </w:rPr>
              <w:t xml:space="preserve">1.55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13.28</w:t>
            </w:r>
          </w:p>
        </w:tc>
        <w:tc>
          <w:tcPr>
            <w:tcW w:w="1060" w:type="dxa"/>
            <w:tcBorders/>
            <w:vAlign w:val="center"/>
          </w:tcPr>
          <w:p>
            <w:pPr>
              <w:jc w:val="right"/>
            </w:pPr>
            <w:r>
              <w:rPr>
                <w:rFonts w:ascii="宋体" w:eastAsia="宋体" w:hAnsi="宋体" w:cs="宋体"/>
                <w:b w:val="0"/>
                <w:i w:val="0"/>
                <w:color w:val="000000"/>
                <w:sz w:val="14"/>
              </w:rPr>
              <w:t xml:space="preserve">13.28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5.68</w:t>
            </w:r>
          </w:p>
        </w:tc>
        <w:tc>
          <w:tcPr>
            <w:tcW w:w="1060" w:type="dxa"/>
            <w:tcBorders/>
            <w:vAlign w:val="center"/>
          </w:tcPr>
          <w:p>
            <w:pPr>
              <w:jc w:val="right"/>
            </w:pPr>
            <w:r>
              <w:rPr>
                <w:rFonts w:ascii="宋体" w:eastAsia="宋体" w:hAnsi="宋体" w:cs="宋体"/>
                <w:b w:val="0"/>
                <w:i w:val="0"/>
                <w:color w:val="000000"/>
                <w:sz w:val="14"/>
              </w:rPr>
              <w:t xml:space="preserve">5.68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5.68</w:t>
            </w:r>
          </w:p>
        </w:tc>
        <w:tc>
          <w:tcPr>
            <w:tcW w:w="1060" w:type="dxa"/>
            <w:tcBorders/>
            <w:vAlign w:val="center"/>
          </w:tcPr>
          <w:p>
            <w:pPr>
              <w:jc w:val="right"/>
            </w:pPr>
            <w:r>
              <w:rPr>
                <w:rFonts w:ascii="宋体" w:eastAsia="宋体" w:hAnsi="宋体" w:cs="宋体"/>
                <w:b w:val="0"/>
                <w:i w:val="0"/>
                <w:color w:val="000000"/>
                <w:sz w:val="14"/>
              </w:rPr>
              <w:t xml:space="preserve">5.68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5.68</w:t>
            </w:r>
          </w:p>
        </w:tc>
        <w:tc>
          <w:tcPr>
            <w:tcW w:w="1060" w:type="dxa"/>
            <w:tcBorders/>
            <w:vAlign w:val="center"/>
          </w:tcPr>
          <w:p>
            <w:pPr>
              <w:jc w:val="right"/>
            </w:pPr>
            <w:r>
              <w:rPr>
                <w:rFonts w:ascii="宋体" w:eastAsia="宋体" w:hAnsi="宋体" w:cs="宋体"/>
                <w:b w:val="0"/>
                <w:i w:val="0"/>
                <w:color w:val="000000"/>
                <w:sz w:val="14"/>
              </w:rPr>
              <w:t xml:space="preserve">5.68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w:t>
            </w:r>
          </w:p>
        </w:tc>
        <w:tc>
          <w:tcPr>
            <w:tcW w:w="3440" w:type="dxa"/>
            <w:tcBorders/>
            <w:vAlign w:val="center"/>
          </w:tcPr>
          <w:p>
            <w:pPr>
              <w:jc w:val="left"/>
            </w:pPr>
            <w:r>
              <w:rPr>
                <w:rFonts w:ascii="宋体" w:eastAsia="宋体" w:hAnsi="宋体" w:cs="宋体"/>
                <w:b w:val="0"/>
                <w:i w:val="0"/>
                <w:color w:val="000000"/>
                <w:sz w:val="14"/>
              </w:rPr>
              <w:t xml:space="preserve">资源勘探工业信息等支出</w:t>
            </w:r>
          </w:p>
        </w:tc>
        <w:tc>
          <w:tcPr>
            <w:tcW w:w="1060" w:type="dxa"/>
            <w:tcBorders/>
            <w:vAlign w:val="center"/>
          </w:tcPr>
          <w:p>
            <w:pPr>
              <w:jc w:val="right"/>
            </w:pPr>
            <w:r>
              <w:rPr>
                <w:rFonts w:ascii="宋体" w:eastAsia="宋体" w:hAnsi="宋体" w:cs="宋体"/>
                <w:b w:val="0"/>
                <w:i w:val="0"/>
                <w:color w:val="000000"/>
                <w:sz w:val="14"/>
              </w:rPr>
              <w:t xml:space="preserve">94.71</w:t>
            </w:r>
          </w:p>
        </w:tc>
        <w:tc>
          <w:tcPr>
            <w:tcW w:w="1060" w:type="dxa"/>
            <w:tcBorders/>
            <w:vAlign w:val="center"/>
          </w:tcPr>
          <w:p>
            <w:pPr>
              <w:jc w:val="right"/>
            </w:pPr>
            <w:r>
              <w:rPr>
                <w:rFonts w:ascii="宋体" w:eastAsia="宋体" w:hAnsi="宋体" w:cs="宋体"/>
                <w:b w:val="0"/>
                <w:i w:val="0"/>
                <w:color w:val="000000"/>
                <w:sz w:val="14"/>
              </w:rPr>
              <w:t xml:space="preserve">93.75</w:t>
            </w:r>
          </w:p>
        </w:tc>
        <w:tc>
          <w:tcPr>
            <w:tcW w:w="1060" w:type="dxa"/>
            <w:tcBorders/>
            <w:vAlign w:val="center"/>
          </w:tcPr>
          <w:p>
            <w:pPr>
              <w:jc w:val="right"/>
            </w:pPr>
            <w:r>
              <w:rPr>
                <w:rFonts w:ascii="宋体" w:eastAsia="宋体" w:hAnsi="宋体" w:cs="宋体"/>
                <w:b w:val="0"/>
                <w:i w:val="0"/>
                <w:color w:val="000000"/>
                <w:sz w:val="14"/>
              </w:rPr>
              <w:t xml:space="preserve">0.96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21505</w:t>
            </w:r>
          </w:p>
        </w:tc>
        <w:tc>
          <w:tcPr>
            <w:tcW w:w="3440" w:type="dxa"/>
            <w:tcBorders/>
            <w:vAlign w:val="center"/>
          </w:tcPr>
          <w:p>
            <w:pPr>
              <w:jc w:val="left"/>
            </w:pPr>
            <w:r>
              <w:rPr>
                <w:rFonts w:ascii="宋体" w:eastAsia="宋体" w:hAnsi="宋体" w:cs="宋体"/>
                <w:b w:val="0"/>
                <w:i w:val="0"/>
                <w:color w:val="000000"/>
                <w:sz w:val="14"/>
              </w:rPr>
              <w:t xml:space="preserve">工业和信息产业监管</w:t>
            </w:r>
          </w:p>
        </w:tc>
        <w:tc>
          <w:tcPr>
            <w:tcW w:w="1060" w:type="dxa"/>
            <w:tcBorders/>
            <w:vAlign w:val="center"/>
          </w:tcPr>
          <w:p>
            <w:pPr>
              <w:jc w:val="right"/>
            </w:pPr>
            <w:r>
              <w:rPr>
                <w:rFonts w:ascii="宋体" w:eastAsia="宋体" w:hAnsi="宋体" w:cs="宋体"/>
                <w:b w:val="0"/>
                <w:i w:val="0"/>
                <w:color w:val="000000"/>
                <w:sz w:val="14"/>
              </w:rPr>
              <w:t xml:space="preserve">94.71</w:t>
            </w:r>
          </w:p>
        </w:tc>
        <w:tc>
          <w:tcPr>
            <w:tcW w:w="1060" w:type="dxa"/>
            <w:tcBorders/>
            <w:vAlign w:val="center"/>
          </w:tcPr>
          <w:p>
            <w:pPr>
              <w:jc w:val="right"/>
            </w:pPr>
            <w:r>
              <w:rPr>
                <w:rFonts w:ascii="宋体" w:eastAsia="宋体" w:hAnsi="宋体" w:cs="宋体"/>
                <w:b w:val="0"/>
                <w:i w:val="0"/>
                <w:color w:val="000000"/>
                <w:sz w:val="14"/>
              </w:rPr>
              <w:t xml:space="preserve">93.75</w:t>
            </w:r>
          </w:p>
        </w:tc>
        <w:tc>
          <w:tcPr>
            <w:tcW w:w="1060" w:type="dxa"/>
            <w:tcBorders/>
            <w:vAlign w:val="center"/>
          </w:tcPr>
          <w:p>
            <w:pPr>
              <w:jc w:val="right"/>
            </w:pPr>
            <w:r>
              <w:rPr>
                <w:rFonts w:ascii="宋体" w:eastAsia="宋体" w:hAnsi="宋体" w:cs="宋体"/>
                <w:b w:val="0"/>
                <w:i w:val="0"/>
                <w:color w:val="000000"/>
                <w:sz w:val="14"/>
              </w:rPr>
              <w:t xml:space="preserve">0.96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2150550</w:t>
            </w:r>
          </w:p>
        </w:tc>
        <w:tc>
          <w:tcPr>
            <w:tcW w:w="3440" w:type="dxa"/>
            <w:tcBorders/>
            <w:vAlign w:val="center"/>
          </w:tcPr>
          <w:p>
            <w:pPr>
              <w:jc w:val="left"/>
            </w:pPr>
            <w:r>
              <w:rPr>
                <w:rFonts w:ascii="宋体" w:eastAsia="宋体" w:hAnsi="宋体" w:cs="宋体"/>
                <w:b w:val="0"/>
                <w:i w:val="0"/>
                <w:color w:val="000000"/>
                <w:sz w:val="14"/>
              </w:rPr>
              <w:t xml:space="preserve">事业运行</w:t>
            </w:r>
          </w:p>
        </w:tc>
        <w:tc>
          <w:tcPr>
            <w:tcW w:w="1060" w:type="dxa"/>
            <w:tcBorders/>
            <w:vAlign w:val="center"/>
          </w:tcPr>
          <w:p>
            <w:pPr>
              <w:jc w:val="right"/>
            </w:pPr>
            <w:r>
              <w:rPr>
                <w:rFonts w:ascii="宋体" w:eastAsia="宋体" w:hAnsi="宋体" w:cs="宋体"/>
                <w:b w:val="0"/>
                <w:i w:val="0"/>
                <w:color w:val="000000"/>
                <w:sz w:val="14"/>
              </w:rPr>
              <w:t xml:space="preserve">93.75</w:t>
            </w:r>
          </w:p>
        </w:tc>
        <w:tc>
          <w:tcPr>
            <w:tcW w:w="1060" w:type="dxa"/>
            <w:tcBorders/>
            <w:vAlign w:val="center"/>
          </w:tcPr>
          <w:p>
            <w:pPr>
              <w:jc w:val="right"/>
            </w:pPr>
            <w:r>
              <w:rPr>
                <w:rFonts w:ascii="宋体" w:eastAsia="宋体" w:hAnsi="宋体" w:cs="宋体"/>
                <w:b w:val="0"/>
                <w:i w:val="0"/>
                <w:color w:val="000000"/>
                <w:sz w:val="14"/>
              </w:rPr>
              <w:t xml:space="preserve">93.75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2150599</w:t>
            </w:r>
          </w:p>
        </w:tc>
        <w:tc>
          <w:tcPr>
            <w:tcW w:w="3440" w:type="dxa"/>
            <w:tcBorders/>
            <w:vAlign w:val="center"/>
          </w:tcPr>
          <w:p>
            <w:pPr>
              <w:jc w:val="left"/>
            </w:pPr>
            <w:r>
              <w:rPr>
                <w:rFonts w:ascii="宋体" w:eastAsia="宋体" w:hAnsi="宋体" w:cs="宋体"/>
                <w:b w:val="0"/>
                <w:i w:val="0"/>
                <w:color w:val="000000"/>
                <w:sz w:val="14"/>
              </w:rPr>
              <w:t xml:space="preserve">其他工业和信息产业监管支出</w:t>
            </w:r>
          </w:p>
        </w:tc>
        <w:tc>
          <w:tcPr>
            <w:tcW w:w="1060" w:type="dxa"/>
            <w:tcBorders/>
            <w:vAlign w:val="center"/>
          </w:tcPr>
          <w:p>
            <w:pPr>
              <w:jc w:val="right"/>
            </w:pPr>
            <w:r>
              <w:rPr>
                <w:rFonts w:ascii="宋体" w:eastAsia="宋体" w:hAnsi="宋体" w:cs="宋体"/>
                <w:b w:val="0"/>
                <w:i w:val="0"/>
                <w:color w:val="000000"/>
                <w:sz w:val="14"/>
              </w:rPr>
              <w:t xml:space="preserve">0.96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0.96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12.90</w:t>
            </w:r>
          </w:p>
        </w:tc>
        <w:tc>
          <w:tcPr>
            <w:tcW w:w="1060" w:type="dxa"/>
            <w:tcBorders/>
            <w:vAlign w:val="center"/>
          </w:tcPr>
          <w:p>
            <w:pPr>
              <w:jc w:val="right"/>
            </w:pPr>
            <w:r>
              <w:rPr>
                <w:rFonts w:ascii="宋体" w:eastAsia="宋体" w:hAnsi="宋体" w:cs="宋体"/>
                <w:b w:val="0"/>
                <w:i w:val="0"/>
                <w:color w:val="000000"/>
                <w:sz w:val="14"/>
              </w:rPr>
              <w:t xml:space="preserve">12.90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12.90</w:t>
            </w:r>
          </w:p>
        </w:tc>
        <w:tc>
          <w:tcPr>
            <w:tcW w:w="1060" w:type="dxa"/>
            <w:tcBorders/>
            <w:vAlign w:val="center"/>
          </w:tcPr>
          <w:p>
            <w:pPr>
              <w:jc w:val="right"/>
            </w:pPr>
            <w:r>
              <w:rPr>
                <w:rFonts w:ascii="宋体" w:eastAsia="宋体" w:hAnsi="宋体" w:cs="宋体"/>
                <w:b w:val="0"/>
                <w:i w:val="0"/>
                <w:color w:val="000000"/>
                <w:sz w:val="14"/>
              </w:rPr>
              <w:t xml:space="preserve">12.90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12.90</w:t>
            </w:r>
          </w:p>
        </w:tc>
        <w:tc>
          <w:tcPr>
            <w:tcW w:w="1060" w:type="dxa"/>
            <w:tcBorders/>
            <w:vAlign w:val="center"/>
          </w:tcPr>
          <w:p>
            <w:pPr>
              <w:jc w:val="right"/>
            </w:pPr>
            <w:r>
              <w:rPr>
                <w:rFonts w:ascii="宋体" w:eastAsia="宋体" w:hAnsi="宋体" w:cs="宋体"/>
                <w:b w:val="0"/>
                <w:i w:val="0"/>
                <w:color w:val="000000"/>
                <w:sz w:val="14"/>
              </w:rPr>
              <w:t xml:space="preserve">12.90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单位：辽宁省沈阳市浑南区工业和信息化事务服务中心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128.12</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14.83</w:t>
            </w:r>
          </w:p>
        </w:tc>
        <w:tc>
          <w:tcPr>
            <w:tcW w:w="1100" w:type="dxa"/>
            <w:tcBorders/>
            <w:vAlign w:val="center"/>
          </w:tcPr>
          <w:p>
            <w:pPr>
              <w:jc w:val="right"/>
            </w:pPr>
            <w:r>
              <w:rPr>
                <w:rFonts w:ascii="宋体" w:eastAsia="宋体" w:hAnsi="宋体" w:cs="宋体"/>
                <w:b w:val="0"/>
                <w:i w:val="0"/>
                <w:color w:val="000000"/>
                <w:sz w:val="14"/>
              </w:rPr>
              <w:t xml:space="preserve">14.83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5.68</w:t>
            </w:r>
          </w:p>
        </w:tc>
        <w:tc>
          <w:tcPr>
            <w:tcW w:w="1100" w:type="dxa"/>
            <w:tcBorders/>
            <w:vAlign w:val="center"/>
          </w:tcPr>
          <w:p>
            <w:pPr>
              <w:jc w:val="right"/>
            </w:pPr>
            <w:r>
              <w:rPr>
                <w:rFonts w:ascii="宋体" w:eastAsia="宋体" w:hAnsi="宋体" w:cs="宋体"/>
                <w:b w:val="0"/>
                <w:i w:val="0"/>
                <w:color w:val="000000"/>
                <w:sz w:val="14"/>
              </w:rPr>
              <w:t xml:space="preserve">5.68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jc w:val="right"/>
            </w:pPr>
            <w:r>
              <w:rPr>
                <w:rFonts w:ascii="宋体" w:eastAsia="宋体" w:hAnsi="宋体" w:cs="宋体"/>
                <w:b w:val="0"/>
                <w:i w:val="0"/>
                <w:color w:val="000000"/>
                <w:sz w:val="14"/>
              </w:rPr>
              <w:t xml:space="preserve">94.71</w:t>
            </w:r>
          </w:p>
        </w:tc>
        <w:tc>
          <w:tcPr>
            <w:tcW w:w="1100" w:type="dxa"/>
            <w:tcBorders/>
            <w:vAlign w:val="center"/>
          </w:tcPr>
          <w:p>
            <w:pPr>
              <w:jc w:val="right"/>
            </w:pPr>
            <w:r>
              <w:rPr>
                <w:rFonts w:ascii="宋体" w:eastAsia="宋体" w:hAnsi="宋体" w:cs="宋体"/>
                <w:b w:val="0"/>
                <w:i w:val="0"/>
                <w:color w:val="000000"/>
                <w:sz w:val="14"/>
              </w:rPr>
              <w:t xml:space="preserve">94.71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12.90</w:t>
            </w:r>
          </w:p>
        </w:tc>
        <w:tc>
          <w:tcPr>
            <w:tcW w:w="1100" w:type="dxa"/>
            <w:tcBorders/>
            <w:vAlign w:val="center"/>
          </w:tcPr>
          <w:p>
            <w:pPr>
              <w:jc w:val="right"/>
            </w:pPr>
            <w:r>
              <w:rPr>
                <w:rFonts w:ascii="宋体" w:eastAsia="宋体" w:hAnsi="宋体" w:cs="宋体"/>
                <w:b w:val="0"/>
                <w:i w:val="0"/>
                <w:color w:val="000000"/>
                <w:sz w:val="14"/>
              </w:rPr>
              <w:t xml:space="preserve">12.90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128.12</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128.12</w:t>
            </w:r>
          </w:p>
        </w:tc>
        <w:tc>
          <w:tcPr>
            <w:tcW w:w="1100" w:type="dxa"/>
            <w:tcBorders/>
            <w:vAlign w:val="center"/>
          </w:tcPr>
          <w:p>
            <w:pPr>
              <w:jc w:val="right"/>
            </w:pPr>
            <w:r>
              <w:rPr>
                <w:rFonts w:ascii="宋体" w:eastAsia="宋体" w:hAnsi="宋体" w:cs="宋体"/>
                <w:b w:val="0"/>
                <w:i w:val="0"/>
                <w:color w:val="000000"/>
                <w:sz w:val="14"/>
              </w:rPr>
              <w:t xml:space="preserve">128.12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128.12</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128.12</w:t>
            </w:r>
          </w:p>
        </w:tc>
        <w:tc>
          <w:tcPr>
            <w:tcW w:w="1100" w:type="dxa"/>
            <w:tcBorders/>
            <w:vAlign w:val="center"/>
          </w:tcPr>
          <w:p>
            <w:pPr>
              <w:jc w:val="right"/>
            </w:pPr>
            <w:r>
              <w:rPr>
                <w:rFonts w:ascii="宋体" w:eastAsia="宋体" w:hAnsi="宋体" w:cs="宋体"/>
                <w:b w:val="0"/>
                <w:i w:val="0"/>
                <w:color w:val="000000"/>
                <w:sz w:val="14"/>
              </w:rPr>
              <w:t xml:space="preserve">128.12</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单位：辽宁省沈阳市浑南区工业和信息化事务服务中心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128.12</w:t>
            </w:r>
          </w:p>
        </w:tc>
        <w:tc>
          <w:tcPr>
            <w:tcW w:w="1780" w:type="dxa"/>
            <w:tcBorders/>
            <w:vAlign w:val="center"/>
          </w:tcPr>
          <w:p>
            <w:pPr>
              <w:jc w:val="right"/>
            </w:pPr>
            <w:r>
              <w:rPr>
                <w:rFonts w:ascii="宋体" w:eastAsia="宋体" w:hAnsi="宋体" w:cs="宋体"/>
                <w:b/>
                <w:i w:val="0"/>
                <w:color w:val="000000"/>
                <w:sz w:val="18"/>
              </w:rPr>
              <w:t xml:space="preserve">127.16</w:t>
            </w:r>
          </w:p>
        </w:tc>
        <w:tc>
          <w:tcPr>
            <w:tcW w:w="1772" w:type="dxa"/>
            <w:tcBorders/>
            <w:vAlign w:val="center"/>
          </w:tcPr>
          <w:p>
            <w:pPr>
              <w:jc w:val="right"/>
            </w:pPr>
            <w:r>
              <w:rPr>
                <w:rFonts w:ascii="宋体" w:eastAsia="宋体" w:hAnsi="宋体" w:cs="宋体"/>
                <w:b/>
                <w:i w:val="0"/>
                <w:color w:val="000000"/>
                <w:sz w:val="18"/>
              </w:rPr>
              <w:t xml:space="preserve">0.96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14.83</w:t>
            </w:r>
          </w:p>
        </w:tc>
        <w:tc>
          <w:tcPr>
            <w:tcW w:w="1780" w:type="dxa"/>
            <w:tcBorders/>
            <w:vAlign w:val="center"/>
          </w:tcPr>
          <w:p>
            <w:pPr>
              <w:jc w:val="right"/>
            </w:pPr>
            <w:r>
              <w:rPr>
                <w:rFonts w:ascii="宋体" w:eastAsia="宋体" w:hAnsi="宋体" w:cs="宋体"/>
                <w:b w:val="0"/>
                <w:i w:val="0"/>
                <w:color w:val="000000"/>
                <w:sz w:val="18"/>
              </w:rPr>
              <w:t xml:space="preserve">14.83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14.83</w:t>
            </w:r>
          </w:p>
        </w:tc>
        <w:tc>
          <w:tcPr>
            <w:tcW w:w="1780" w:type="dxa"/>
            <w:tcBorders/>
            <w:vAlign w:val="center"/>
          </w:tcPr>
          <w:p>
            <w:pPr>
              <w:jc w:val="right"/>
            </w:pPr>
            <w:r>
              <w:rPr>
                <w:rFonts w:ascii="宋体" w:eastAsia="宋体" w:hAnsi="宋体" w:cs="宋体"/>
                <w:b w:val="0"/>
                <w:i w:val="0"/>
                <w:color w:val="000000"/>
                <w:sz w:val="18"/>
              </w:rPr>
              <w:t xml:space="preserve">14.83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1.55</w:t>
            </w:r>
          </w:p>
        </w:tc>
        <w:tc>
          <w:tcPr>
            <w:tcW w:w="1780" w:type="dxa"/>
            <w:tcBorders/>
            <w:vAlign w:val="center"/>
          </w:tcPr>
          <w:p>
            <w:pPr>
              <w:jc w:val="right"/>
            </w:pPr>
            <w:r>
              <w:rPr>
                <w:rFonts w:ascii="宋体" w:eastAsia="宋体" w:hAnsi="宋体" w:cs="宋体"/>
                <w:b w:val="0"/>
                <w:i w:val="0"/>
                <w:color w:val="000000"/>
                <w:sz w:val="18"/>
              </w:rPr>
              <w:t xml:space="preserve">1.55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13.28</w:t>
            </w:r>
          </w:p>
        </w:tc>
        <w:tc>
          <w:tcPr>
            <w:tcW w:w="1780" w:type="dxa"/>
            <w:tcBorders/>
            <w:vAlign w:val="center"/>
          </w:tcPr>
          <w:p>
            <w:pPr>
              <w:jc w:val="right"/>
            </w:pPr>
            <w:r>
              <w:rPr>
                <w:rFonts w:ascii="宋体" w:eastAsia="宋体" w:hAnsi="宋体" w:cs="宋体"/>
                <w:b w:val="0"/>
                <w:i w:val="0"/>
                <w:color w:val="000000"/>
                <w:sz w:val="18"/>
              </w:rPr>
              <w:t xml:space="preserve">13.28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5.68</w:t>
            </w:r>
          </w:p>
        </w:tc>
        <w:tc>
          <w:tcPr>
            <w:tcW w:w="1780" w:type="dxa"/>
            <w:tcBorders/>
            <w:vAlign w:val="center"/>
          </w:tcPr>
          <w:p>
            <w:pPr>
              <w:jc w:val="right"/>
            </w:pPr>
            <w:r>
              <w:rPr>
                <w:rFonts w:ascii="宋体" w:eastAsia="宋体" w:hAnsi="宋体" w:cs="宋体"/>
                <w:b w:val="0"/>
                <w:i w:val="0"/>
                <w:color w:val="000000"/>
                <w:sz w:val="18"/>
              </w:rPr>
              <w:t xml:space="preserve">5.68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5.68</w:t>
            </w:r>
          </w:p>
        </w:tc>
        <w:tc>
          <w:tcPr>
            <w:tcW w:w="1780" w:type="dxa"/>
            <w:tcBorders/>
            <w:vAlign w:val="center"/>
          </w:tcPr>
          <w:p>
            <w:pPr>
              <w:jc w:val="right"/>
            </w:pPr>
            <w:r>
              <w:rPr>
                <w:rFonts w:ascii="宋体" w:eastAsia="宋体" w:hAnsi="宋体" w:cs="宋体"/>
                <w:b w:val="0"/>
                <w:i w:val="0"/>
                <w:color w:val="000000"/>
                <w:sz w:val="18"/>
              </w:rPr>
              <w:t xml:space="preserve">5.68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5.68</w:t>
            </w:r>
          </w:p>
        </w:tc>
        <w:tc>
          <w:tcPr>
            <w:tcW w:w="1780" w:type="dxa"/>
            <w:tcBorders/>
            <w:vAlign w:val="center"/>
          </w:tcPr>
          <w:p>
            <w:pPr>
              <w:jc w:val="right"/>
            </w:pPr>
            <w:r>
              <w:rPr>
                <w:rFonts w:ascii="宋体" w:eastAsia="宋体" w:hAnsi="宋体" w:cs="宋体"/>
                <w:b w:val="0"/>
                <w:i w:val="0"/>
                <w:color w:val="000000"/>
                <w:sz w:val="18"/>
              </w:rPr>
              <w:t xml:space="preserve">5.68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215</w:t>
            </w:r>
          </w:p>
        </w:tc>
        <w:tc>
          <w:tcPr>
            <w:tcW w:w="4300" w:type="dxa"/>
            <w:tcBorders/>
            <w:vAlign w:val="center"/>
          </w:tcPr>
          <w:p>
            <w:pPr>
              <w:jc w:val="left"/>
            </w:pPr>
            <w:r>
              <w:rPr>
                <w:rFonts w:ascii="宋体" w:eastAsia="宋体" w:hAnsi="宋体" w:cs="宋体"/>
                <w:b w:val="0"/>
                <w:i w:val="0"/>
                <w:color w:val="000000"/>
                <w:sz w:val="18"/>
              </w:rPr>
              <w:t xml:space="preserve">资源勘探工业信息等支出</w:t>
            </w:r>
          </w:p>
        </w:tc>
        <w:tc>
          <w:tcPr>
            <w:tcW w:w="1780" w:type="dxa"/>
            <w:tcBorders/>
            <w:vAlign w:val="center"/>
          </w:tcPr>
          <w:p>
            <w:pPr>
              <w:jc w:val="right"/>
            </w:pPr>
            <w:r>
              <w:rPr>
                <w:rFonts w:ascii="宋体" w:eastAsia="宋体" w:hAnsi="宋体" w:cs="宋体"/>
                <w:b w:val="0"/>
                <w:i w:val="0"/>
                <w:color w:val="000000"/>
                <w:sz w:val="18"/>
              </w:rPr>
              <w:t xml:space="preserve">94.71</w:t>
            </w:r>
          </w:p>
        </w:tc>
        <w:tc>
          <w:tcPr>
            <w:tcW w:w="1780" w:type="dxa"/>
            <w:tcBorders/>
            <w:vAlign w:val="center"/>
          </w:tcPr>
          <w:p>
            <w:pPr>
              <w:jc w:val="right"/>
            </w:pPr>
            <w:r>
              <w:rPr>
                <w:rFonts w:ascii="宋体" w:eastAsia="宋体" w:hAnsi="宋体" w:cs="宋体"/>
                <w:b w:val="0"/>
                <w:i w:val="0"/>
                <w:color w:val="000000"/>
                <w:sz w:val="18"/>
              </w:rPr>
              <w:t xml:space="preserve">93.75</w:t>
            </w:r>
          </w:p>
        </w:tc>
        <w:tc>
          <w:tcPr>
            <w:tcW w:w="1772" w:type="dxa"/>
            <w:tcBorders/>
            <w:vAlign w:val="center"/>
          </w:tcPr>
          <w:p>
            <w:pPr>
              <w:jc w:val="right"/>
            </w:pPr>
            <w:r>
              <w:rPr>
                <w:rFonts w:ascii="宋体" w:eastAsia="宋体" w:hAnsi="宋体" w:cs="宋体"/>
                <w:b w:val="0"/>
                <w:i w:val="0"/>
                <w:color w:val="000000"/>
                <w:sz w:val="18"/>
              </w:rPr>
              <w:t xml:space="preserve">0.96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21505</w:t>
            </w:r>
          </w:p>
        </w:tc>
        <w:tc>
          <w:tcPr>
            <w:tcW w:w="4300" w:type="dxa"/>
            <w:tcBorders/>
            <w:vAlign w:val="center"/>
          </w:tcPr>
          <w:p>
            <w:pPr>
              <w:jc w:val="left"/>
            </w:pPr>
            <w:r>
              <w:rPr>
                <w:rFonts w:ascii="宋体" w:eastAsia="宋体" w:hAnsi="宋体" w:cs="宋体"/>
                <w:b w:val="0"/>
                <w:i w:val="0"/>
                <w:color w:val="000000"/>
                <w:sz w:val="18"/>
              </w:rPr>
              <w:t xml:space="preserve">工业和信息产业监管</w:t>
            </w:r>
          </w:p>
        </w:tc>
        <w:tc>
          <w:tcPr>
            <w:tcW w:w="1780" w:type="dxa"/>
            <w:tcBorders/>
            <w:vAlign w:val="center"/>
          </w:tcPr>
          <w:p>
            <w:pPr>
              <w:jc w:val="right"/>
            </w:pPr>
            <w:r>
              <w:rPr>
                <w:rFonts w:ascii="宋体" w:eastAsia="宋体" w:hAnsi="宋体" w:cs="宋体"/>
                <w:b w:val="0"/>
                <w:i w:val="0"/>
                <w:color w:val="000000"/>
                <w:sz w:val="18"/>
              </w:rPr>
              <w:t xml:space="preserve">94.71</w:t>
            </w:r>
          </w:p>
        </w:tc>
        <w:tc>
          <w:tcPr>
            <w:tcW w:w="1780" w:type="dxa"/>
            <w:tcBorders/>
            <w:vAlign w:val="center"/>
          </w:tcPr>
          <w:p>
            <w:pPr>
              <w:jc w:val="right"/>
            </w:pPr>
            <w:r>
              <w:rPr>
                <w:rFonts w:ascii="宋体" w:eastAsia="宋体" w:hAnsi="宋体" w:cs="宋体"/>
                <w:b w:val="0"/>
                <w:i w:val="0"/>
                <w:color w:val="000000"/>
                <w:sz w:val="18"/>
              </w:rPr>
              <w:t xml:space="preserve">93.75</w:t>
            </w:r>
          </w:p>
        </w:tc>
        <w:tc>
          <w:tcPr>
            <w:tcW w:w="1772" w:type="dxa"/>
            <w:tcBorders/>
            <w:vAlign w:val="center"/>
          </w:tcPr>
          <w:p>
            <w:pPr>
              <w:jc w:val="right"/>
            </w:pPr>
            <w:r>
              <w:rPr>
                <w:rFonts w:ascii="宋体" w:eastAsia="宋体" w:hAnsi="宋体" w:cs="宋体"/>
                <w:b w:val="0"/>
                <w:i w:val="0"/>
                <w:color w:val="000000"/>
                <w:sz w:val="18"/>
              </w:rPr>
              <w:t xml:space="preserve">0.96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2150550</w:t>
            </w:r>
          </w:p>
        </w:tc>
        <w:tc>
          <w:tcPr>
            <w:tcW w:w="4300" w:type="dxa"/>
            <w:tcBorders/>
            <w:vAlign w:val="center"/>
          </w:tcPr>
          <w:p>
            <w:pPr>
              <w:jc w:val="left"/>
            </w:pPr>
            <w:r>
              <w:rPr>
                <w:rFonts w:ascii="宋体" w:eastAsia="宋体" w:hAnsi="宋体" w:cs="宋体"/>
                <w:b w:val="0"/>
                <w:i w:val="0"/>
                <w:color w:val="000000"/>
                <w:sz w:val="18"/>
              </w:rPr>
              <w:t xml:space="preserve">事业运行</w:t>
            </w:r>
          </w:p>
        </w:tc>
        <w:tc>
          <w:tcPr>
            <w:tcW w:w="1780" w:type="dxa"/>
            <w:tcBorders/>
            <w:vAlign w:val="center"/>
          </w:tcPr>
          <w:p>
            <w:pPr>
              <w:jc w:val="right"/>
            </w:pPr>
            <w:r>
              <w:rPr>
                <w:rFonts w:ascii="宋体" w:eastAsia="宋体" w:hAnsi="宋体" w:cs="宋体"/>
                <w:b w:val="0"/>
                <w:i w:val="0"/>
                <w:color w:val="000000"/>
                <w:sz w:val="18"/>
              </w:rPr>
              <w:t xml:space="preserve">93.75</w:t>
            </w:r>
          </w:p>
        </w:tc>
        <w:tc>
          <w:tcPr>
            <w:tcW w:w="1780" w:type="dxa"/>
            <w:tcBorders/>
            <w:vAlign w:val="center"/>
          </w:tcPr>
          <w:p>
            <w:pPr>
              <w:jc w:val="right"/>
            </w:pPr>
            <w:r>
              <w:rPr>
                <w:rFonts w:ascii="宋体" w:eastAsia="宋体" w:hAnsi="宋体" w:cs="宋体"/>
                <w:b w:val="0"/>
                <w:i w:val="0"/>
                <w:color w:val="000000"/>
                <w:sz w:val="18"/>
              </w:rPr>
              <w:t xml:space="preserve">93.75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2150599</w:t>
            </w:r>
          </w:p>
        </w:tc>
        <w:tc>
          <w:tcPr>
            <w:tcW w:w="4300" w:type="dxa"/>
            <w:tcBorders/>
            <w:vAlign w:val="center"/>
          </w:tcPr>
          <w:p>
            <w:pPr>
              <w:jc w:val="left"/>
            </w:pPr>
            <w:r>
              <w:rPr>
                <w:rFonts w:ascii="宋体" w:eastAsia="宋体" w:hAnsi="宋体" w:cs="宋体"/>
                <w:b w:val="0"/>
                <w:i w:val="0"/>
                <w:color w:val="000000"/>
                <w:sz w:val="18"/>
              </w:rPr>
              <w:t xml:space="preserve">其他工业和信息产业监管支出</w:t>
            </w:r>
          </w:p>
        </w:tc>
        <w:tc>
          <w:tcPr>
            <w:tcW w:w="1780" w:type="dxa"/>
            <w:tcBorders/>
            <w:vAlign w:val="center"/>
          </w:tcPr>
          <w:p>
            <w:pPr>
              <w:jc w:val="right"/>
            </w:pPr>
            <w:r>
              <w:rPr>
                <w:rFonts w:ascii="宋体" w:eastAsia="宋体" w:hAnsi="宋体" w:cs="宋体"/>
                <w:b w:val="0"/>
                <w:i w:val="0"/>
                <w:color w:val="000000"/>
                <w:sz w:val="18"/>
              </w:rPr>
              <w:t xml:space="preserve">0.96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0.96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12.90</w:t>
            </w:r>
          </w:p>
        </w:tc>
        <w:tc>
          <w:tcPr>
            <w:tcW w:w="1780" w:type="dxa"/>
            <w:tcBorders/>
            <w:vAlign w:val="center"/>
          </w:tcPr>
          <w:p>
            <w:pPr>
              <w:jc w:val="right"/>
            </w:pPr>
            <w:r>
              <w:rPr>
                <w:rFonts w:ascii="宋体" w:eastAsia="宋体" w:hAnsi="宋体" w:cs="宋体"/>
                <w:b w:val="0"/>
                <w:i w:val="0"/>
                <w:color w:val="000000"/>
                <w:sz w:val="18"/>
              </w:rPr>
              <w:t xml:space="preserve">12.90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12.90</w:t>
            </w:r>
          </w:p>
        </w:tc>
        <w:tc>
          <w:tcPr>
            <w:tcW w:w="1780" w:type="dxa"/>
            <w:tcBorders/>
            <w:vAlign w:val="center"/>
          </w:tcPr>
          <w:p>
            <w:pPr>
              <w:jc w:val="right"/>
            </w:pPr>
            <w:r>
              <w:rPr>
                <w:rFonts w:ascii="宋体" w:eastAsia="宋体" w:hAnsi="宋体" w:cs="宋体"/>
                <w:b w:val="0"/>
                <w:i w:val="0"/>
                <w:color w:val="000000"/>
                <w:sz w:val="18"/>
              </w:rPr>
              <w:t xml:space="preserve">12.90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12.90</w:t>
            </w:r>
          </w:p>
        </w:tc>
        <w:tc>
          <w:tcPr>
            <w:tcW w:w="1780" w:type="dxa"/>
            <w:tcBorders/>
            <w:vAlign w:val="center"/>
          </w:tcPr>
          <w:p>
            <w:pPr>
              <w:jc w:val="right"/>
            </w:pPr>
            <w:r>
              <w:rPr>
                <w:rFonts w:ascii="宋体" w:eastAsia="宋体" w:hAnsi="宋体" w:cs="宋体"/>
                <w:b w:val="0"/>
                <w:i w:val="0"/>
                <w:color w:val="000000"/>
                <w:sz w:val="18"/>
              </w:rPr>
              <w:t xml:space="preserve">12.90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单位：辽宁省沈阳市浑南区工业和信息化事务服务中心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118.11</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7.37</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33.57</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1.45</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2.31</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2.39</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jc w:val="right"/>
            </w:pPr>
            <w:r>
              <w:rPr>
                <w:rFonts w:ascii="宋体" w:eastAsia="宋体" w:hAnsi="宋体" w:cs="宋体"/>
                <w:b w:val="0"/>
                <w:i w:val="0"/>
                <w:color w:val="000000"/>
                <w:sz w:val="14"/>
              </w:rPr>
              <w:t xml:space="preserve">0.13</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3.52</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43.88</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jc w:val="right"/>
            </w:pPr>
            <w:r>
              <w:rPr>
                <w:rFonts w:ascii="宋体" w:eastAsia="宋体" w:hAnsi="宋体" w:cs="宋体"/>
                <w:b w:val="0"/>
                <w:i w:val="0"/>
                <w:color w:val="000000"/>
                <w:sz w:val="14"/>
              </w:rPr>
              <w:t xml:space="preserve">0.13</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13.28</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4.74</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5.68</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0.58</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0.27</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12.90</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1.55</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1.55</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0.91</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119.66</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7.50</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单位：辽宁省沈阳市浑南区工业和信息化事务服务中心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单位：辽宁省沈阳市浑南区工业和信息化事务服务中心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单位：辽宁省沈阳市浑南区工业和信息化事务服务中心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063002沈阳市浑南区工业和信息化事务服务中心-210112000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128.94</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128.94</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27.55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27.55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92.11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保障单位正常运转，人员正常工作</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高效完成了各级部门安排的各项工作任务，组织了工业互联网平台、智能强省等多项申报工作，助力工业互联网大会成功举办。</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软件维护覆盖率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经济效益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工业投资增速</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在职工作人员满意度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部门内控制度完善提升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推进公共服务体系建设</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推动完善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缴纳残疾人就业保障金（经建科）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沈阳市浑南区工业和信息化局-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沈阳市浑南区工业和信息化事务服务中心-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93.29%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已按期缴纳完成单位残疾人就业保障金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99.33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软件、互联网相关服务业工作经费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沈阳市浑南区工业和信息化局-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沈阳市浑南区工业和信息化事务服务中心-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因财政经费紧张，资金不足，压缩开支，未能发生支出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遴选工业互联网产业示范基地数量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经费保障:财政因经费紧张，资金不足，压缩开支，减少支出，本年该项目未发生支出，故完成值为0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参加中国工业设计展览会优秀企业数量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经费保障:财政因经费紧张，资金不足，压缩开支，减少支出，本年该项目未发生支出，故完成值为0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工业互联网创新发展项目补助标准合格率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经费保障:财政因经费紧张，资金不足，压缩开支，减少支出，本年该项目未发生支出，故完成值为0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经费保障:财政因经费紧张，资金不足，压缩开支，减少支出，本年该项目未发生支出，故完成值为0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经费保障:财政因经费紧张，资金不足，压缩开支，减少支出，本年该项目未发生支出，故完成值为0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工业互联网创新项目应用场景广阔</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场景广阔</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经费保障:财政因经费紧张，资金不足，压缩开支，减少支出，本年该项目未发生支出，故完成值为0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经费保障:财政因经费紧张，资金不足，压缩开支，减少支出，本年该项目未发生支出，故完成值为0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经费保障:财政因经费紧张，资金不足，压缩开支，减少支出，本年该项目未发生支出，故完成值为0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