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辽宁省沈阳浑南科技城建设发展服务中心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辽宁省沈阳浑南科技城建设发展服务中心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辽宁省沈阳浑南科技城建设发展服务中心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辽宁省沈阳浑南科技城建设发展服务中心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辽宁省沈阳浑南科技城建设发展服务中心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辽宁省沈阳浑南科技城建设发展服务中心概况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围绕贯彻国家和省、市的产业发展战略及有关政策措施，统筹招商引资，参与项目布局，推动项目建设，实施企业服务，开展相关公益性工作，促进我区产业转型升级和创新发展，加快构建现代产业生态体系。</w:t>
        <w:br/>
        <w:t xml:space="preserve">    （二）统筹全区项目工作。参与项目布局，承担综合协调、服务推进、舆情分析、信息化建设等相关工作。</w:t>
        <w:br/>
        <w:t xml:space="preserve">    （三）统筹全区招商引资工作。承担综合协调、服务推进、舆情分析、信息化建设等相关工作。</w:t>
        <w:br/>
        <w:t xml:space="preserve">    （四）统筹全区招商引资政策工作。承担招商引资项目的合同管理、政策落实和服务推进等相关工作。</w:t>
        <w:br/>
        <w:t xml:space="preserve">    （五）参与区政府制定产业发展政策和鼓励措施，开展调研论证、提出建议和方案，进行政策执行效果评估及有关产业发展重大专项课题研究服务等工作。</w:t>
        <w:br/>
        <w:t xml:space="preserve">    （六）策划、协调和组织开展我区对外交流、经济合作、产业发展等重要活动。</w:t>
        <w:br/>
        <w:t xml:space="preserve">    （七）联系国内外各类政府机构和社会组织，为我区产业发展提供服务和支持等工作。</w:t>
        <w:br/>
        <w:t xml:space="preserve">    （八）按照国家、省、市相关政策法规要求，负责对纪检监察机关、公安司法机关、海关等部门查办案件涉案财物的价格认定工作。</w:t>
        <w:br/>
        <w:t xml:space="preserve">    （九）协调服务原物资局所属企业，管理现有资产，企业转制、债权债务清理，处置历史遗留问题等工作。</w:t>
        <w:br/>
        <w:t xml:space="preserve">    （十）承担区委、区政府交办的其他事项。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辽宁省沈阳浑南科技城建设发展服务中心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辽宁省沈阳浑南科技城建设发展服务中心，本单位无下设机构。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433.76</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433.76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433.76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减少67.78万元，降低13.51%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人员经费减少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433.76</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429.37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98.99</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工资福利支出365.59万元；商品和服务支出21.52万元；对个人和家庭的补助41.26万元；资本性支出1.00万元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4.39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主要包括派遣人员办公经费和伙食费，残疾人保障金等业务支出。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减少67.78万元，降低13.51%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人员经费支出减少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433.76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429.37</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4.39</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减少67.78万元，降低13.51%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人员经费支出减少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85.32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85.38</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80.09</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2024年度一般公共预算财政拨款支出433.76万元。按支出功能分类科目分，包括：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1.一般公共服务支出292.61万元，具体包括：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商贸事务（款）事业运行（项）288.22万元,主要是用于事业单位在职人员的人员经费和公用经费等支出，完成年初预算的80.97%，决算数与年初预算数存在差异的主要原因是人员经费减少与公用经费缩减。</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商贸事务（款）其他商贸事务支出（项）4.39万元,主要是派遣人员办公经费和伙食费，残疾人保障金等支出，完成年初预算的80.11%，决算数与年初预算数存在差异的主要原因是部分项目预算未下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2.社会保障和就业支出82.18万元，具体包括：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39.90万元,主要是离休干部工资及离退休取暖补贴等支出，完成年初预算的104.3%，决算数与年初预算数存在差异的主要原因是离休人员本年护理费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40.40万元,主要是单位基本养老保险缴费等支出，完成年初预算的100%，决算数与年初预算数存在差异的主要原因是完全按照预算与实际情况执行，不存在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1.88万元,主要是单位职业年金缴费等支出，完成年初预算的100%，决算数与年初预算数存在差异的主要原因是完全按照预算与实际情况执行，不存在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3.卫生健康支出15.82万元，具体包括：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（1）卫生健康支出（类）行政事业单位医疗（款）事业单位医疗（项）15.82万元,主要是单位医疗保险缴费等支出，完成年初预算的86.73%，决算数与年初预算数存在差异的主要原因是医疗补助未发放。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4.住房保障支出43.15万元，具体包括：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（1）住房保障支出（类）住房改革支出（款）住房公积金（项）43.15万元,主要是单位职工住房公积金缴纳等支出，完成年初预算的84.6%，决算数与年初预算数存在差异的主要原因是暂未缴纳职工高比例公积金。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我单位无“三公”经费支出，无预算安排</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我单位无因公出国经费支出，无预算安排</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我单位无因公出国经费支出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我单位无因公务接待费支出，无预算安排</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我单位无因公务接待费支出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我单位无公务用车购置及运行费支出，无预算安排</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我单位无公务用车购置及运行费支出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429.37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406.85</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22.52</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具体而言，本年度我部门共组织对4个项目实施了绩效评价。从预算资金来源看，涉及一般公共预算的项目4个，涉及政府性基金预算的项目0个，涉及国有资本经营预算的项目0个。</w:t>
        <w:br/>
        <w:t xml:space="preserve">    上述评价工作共涉及财政资金6.28万元。其中，一般公共预算资金6.28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3个；得分在80分（含）至90分、等级为“良”的项目有0个；得分在60分（含）至80分、等级为“中”的项目有0；得分在60分以下、等级为“差”的项目有1个。</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部门：辽宁省沈阳浑南科技城建设发展服务中心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433.76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292.61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82.17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15.82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43.15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433.76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433.76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433.76</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433.76</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部门：辽宁省沈阳浑南科技城建设发展服务中心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433.76</w:t>
            </w:r>
          </w:p>
        </w:tc>
        <w:tc>
          <w:tcPr>
            <w:tcW w:w="960" w:type="dxa"/>
            <w:tcBorders/>
            <w:vAlign w:val="center"/>
          </w:tcPr>
          <w:p>
            <w:pPr>
              <w:jc w:val="right"/>
            </w:pPr>
            <w:r>
              <w:rPr>
                <w:rFonts w:ascii="宋体" w:eastAsia="宋体" w:hAnsi="宋体" w:cs="宋体"/>
                <w:b/>
                <w:i w:val="0"/>
                <w:color w:val="000000"/>
                <w:sz w:val="13"/>
              </w:rPr>
              <w:t xml:space="preserve">433.76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292.61</w:t>
            </w:r>
          </w:p>
        </w:tc>
        <w:tc>
          <w:tcPr>
            <w:tcW w:w="960" w:type="dxa"/>
            <w:tcBorders/>
            <w:vAlign w:val="center"/>
          </w:tcPr>
          <w:p>
            <w:pPr>
              <w:jc w:val="right"/>
            </w:pPr>
            <w:r>
              <w:rPr>
                <w:rFonts w:ascii="宋体" w:eastAsia="宋体" w:hAnsi="宋体" w:cs="宋体"/>
                <w:b w:val="0"/>
                <w:i w:val="0"/>
                <w:color w:val="000000"/>
                <w:sz w:val="13"/>
              </w:rPr>
              <w:t xml:space="preserve">292.61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20113</w:t>
            </w:r>
          </w:p>
        </w:tc>
        <w:tc>
          <w:tcPr>
            <w:tcW w:w="3200" w:type="dxa"/>
            <w:tcBorders/>
            <w:vAlign w:val="center"/>
          </w:tcPr>
          <w:p>
            <w:pPr>
              <w:jc w:val="left"/>
            </w:pPr>
            <w:r>
              <w:rPr>
                <w:rFonts w:ascii="宋体" w:eastAsia="宋体" w:hAnsi="宋体" w:cs="宋体"/>
                <w:b w:val="0"/>
                <w:i w:val="0"/>
                <w:color w:val="000000"/>
                <w:sz w:val="13"/>
              </w:rPr>
              <w:t xml:space="preserve">商贸事务</w:t>
            </w:r>
          </w:p>
        </w:tc>
        <w:tc>
          <w:tcPr>
            <w:tcW w:w="960" w:type="dxa"/>
            <w:tcBorders/>
            <w:vAlign w:val="center"/>
          </w:tcPr>
          <w:p>
            <w:pPr>
              <w:jc w:val="right"/>
            </w:pPr>
            <w:r>
              <w:rPr>
                <w:rFonts w:ascii="宋体" w:eastAsia="宋体" w:hAnsi="宋体" w:cs="宋体"/>
                <w:b w:val="0"/>
                <w:i w:val="0"/>
                <w:color w:val="000000"/>
                <w:sz w:val="13"/>
              </w:rPr>
              <w:t xml:space="preserve">292.61</w:t>
            </w:r>
          </w:p>
        </w:tc>
        <w:tc>
          <w:tcPr>
            <w:tcW w:w="960" w:type="dxa"/>
            <w:tcBorders/>
            <w:vAlign w:val="center"/>
          </w:tcPr>
          <w:p>
            <w:pPr>
              <w:jc w:val="right"/>
            </w:pPr>
            <w:r>
              <w:rPr>
                <w:rFonts w:ascii="宋体" w:eastAsia="宋体" w:hAnsi="宋体" w:cs="宋体"/>
                <w:b w:val="0"/>
                <w:i w:val="0"/>
                <w:color w:val="000000"/>
                <w:sz w:val="13"/>
              </w:rPr>
              <w:t xml:space="preserve">292.61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2011350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288.22</w:t>
            </w:r>
          </w:p>
        </w:tc>
        <w:tc>
          <w:tcPr>
            <w:tcW w:w="960" w:type="dxa"/>
            <w:tcBorders/>
            <w:vAlign w:val="center"/>
          </w:tcPr>
          <w:p>
            <w:pPr>
              <w:jc w:val="right"/>
            </w:pPr>
            <w:r>
              <w:rPr>
                <w:rFonts w:ascii="宋体" w:eastAsia="宋体" w:hAnsi="宋体" w:cs="宋体"/>
                <w:b w:val="0"/>
                <w:i w:val="0"/>
                <w:color w:val="000000"/>
                <w:sz w:val="13"/>
              </w:rPr>
              <w:t xml:space="preserve">288.22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2011399</w:t>
            </w:r>
          </w:p>
        </w:tc>
        <w:tc>
          <w:tcPr>
            <w:tcW w:w="3200" w:type="dxa"/>
            <w:tcBorders/>
            <w:vAlign w:val="center"/>
          </w:tcPr>
          <w:p>
            <w:pPr>
              <w:jc w:val="left"/>
            </w:pPr>
            <w:r>
              <w:rPr>
                <w:rFonts w:ascii="宋体" w:eastAsia="宋体" w:hAnsi="宋体" w:cs="宋体"/>
                <w:b w:val="0"/>
                <w:i w:val="0"/>
                <w:color w:val="000000"/>
                <w:sz w:val="13"/>
              </w:rPr>
              <w:t xml:space="preserve">其他商贸事务支出</w:t>
            </w:r>
          </w:p>
        </w:tc>
        <w:tc>
          <w:tcPr>
            <w:tcW w:w="960" w:type="dxa"/>
            <w:tcBorders/>
            <w:vAlign w:val="center"/>
          </w:tcPr>
          <w:p>
            <w:pPr>
              <w:jc w:val="right"/>
            </w:pPr>
            <w:r>
              <w:rPr>
                <w:rFonts w:ascii="宋体" w:eastAsia="宋体" w:hAnsi="宋体" w:cs="宋体"/>
                <w:b w:val="0"/>
                <w:i w:val="0"/>
                <w:color w:val="000000"/>
                <w:sz w:val="13"/>
              </w:rPr>
              <w:t xml:space="preserve">4.39</w:t>
            </w:r>
          </w:p>
        </w:tc>
        <w:tc>
          <w:tcPr>
            <w:tcW w:w="960" w:type="dxa"/>
            <w:tcBorders/>
            <w:vAlign w:val="center"/>
          </w:tcPr>
          <w:p>
            <w:pPr>
              <w:jc w:val="right"/>
            </w:pPr>
            <w:r>
              <w:rPr>
                <w:rFonts w:ascii="宋体" w:eastAsia="宋体" w:hAnsi="宋体" w:cs="宋体"/>
                <w:b w:val="0"/>
                <w:i w:val="0"/>
                <w:color w:val="000000"/>
                <w:sz w:val="13"/>
              </w:rPr>
              <w:t xml:space="preserve">4.39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82.18</w:t>
            </w:r>
          </w:p>
        </w:tc>
        <w:tc>
          <w:tcPr>
            <w:tcW w:w="960" w:type="dxa"/>
            <w:tcBorders/>
            <w:vAlign w:val="center"/>
          </w:tcPr>
          <w:p>
            <w:pPr>
              <w:jc w:val="right"/>
            </w:pPr>
            <w:r>
              <w:rPr>
                <w:rFonts w:ascii="宋体" w:eastAsia="宋体" w:hAnsi="宋体" w:cs="宋体"/>
                <w:b w:val="0"/>
                <w:i w:val="0"/>
                <w:color w:val="000000"/>
                <w:sz w:val="13"/>
              </w:rPr>
              <w:t xml:space="preserve">82.18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82.18</w:t>
            </w:r>
          </w:p>
        </w:tc>
        <w:tc>
          <w:tcPr>
            <w:tcW w:w="960" w:type="dxa"/>
            <w:tcBorders/>
            <w:vAlign w:val="center"/>
          </w:tcPr>
          <w:p>
            <w:pPr>
              <w:jc w:val="right"/>
            </w:pPr>
            <w:r>
              <w:rPr>
                <w:rFonts w:ascii="宋体" w:eastAsia="宋体" w:hAnsi="宋体" w:cs="宋体"/>
                <w:b w:val="0"/>
                <w:i w:val="0"/>
                <w:color w:val="000000"/>
                <w:sz w:val="13"/>
              </w:rPr>
              <w:t xml:space="preserve">82.18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39.90</w:t>
            </w:r>
          </w:p>
        </w:tc>
        <w:tc>
          <w:tcPr>
            <w:tcW w:w="960" w:type="dxa"/>
            <w:tcBorders/>
            <w:vAlign w:val="center"/>
          </w:tcPr>
          <w:p>
            <w:pPr>
              <w:jc w:val="right"/>
            </w:pPr>
            <w:r>
              <w:rPr>
                <w:rFonts w:ascii="宋体" w:eastAsia="宋体" w:hAnsi="宋体" w:cs="宋体"/>
                <w:b w:val="0"/>
                <w:i w:val="0"/>
                <w:color w:val="000000"/>
                <w:sz w:val="13"/>
              </w:rPr>
              <w:t xml:space="preserve">39.90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40.40</w:t>
            </w:r>
          </w:p>
        </w:tc>
        <w:tc>
          <w:tcPr>
            <w:tcW w:w="960" w:type="dxa"/>
            <w:tcBorders/>
            <w:vAlign w:val="center"/>
          </w:tcPr>
          <w:p>
            <w:pPr>
              <w:jc w:val="right"/>
            </w:pPr>
            <w:r>
              <w:rPr>
                <w:rFonts w:ascii="宋体" w:eastAsia="宋体" w:hAnsi="宋体" w:cs="宋体"/>
                <w:b w:val="0"/>
                <w:i w:val="0"/>
                <w:color w:val="000000"/>
                <w:sz w:val="13"/>
              </w:rPr>
              <w:t xml:space="preserve">40.40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1.88</w:t>
            </w:r>
          </w:p>
        </w:tc>
        <w:tc>
          <w:tcPr>
            <w:tcW w:w="960" w:type="dxa"/>
            <w:tcBorders/>
            <w:vAlign w:val="center"/>
          </w:tcPr>
          <w:p>
            <w:pPr>
              <w:jc w:val="right"/>
            </w:pPr>
            <w:r>
              <w:rPr>
                <w:rFonts w:ascii="宋体" w:eastAsia="宋体" w:hAnsi="宋体" w:cs="宋体"/>
                <w:b w:val="0"/>
                <w:i w:val="0"/>
                <w:color w:val="000000"/>
                <w:sz w:val="13"/>
              </w:rPr>
              <w:t xml:space="preserve">1.88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15.82</w:t>
            </w:r>
          </w:p>
        </w:tc>
        <w:tc>
          <w:tcPr>
            <w:tcW w:w="960" w:type="dxa"/>
            <w:tcBorders/>
            <w:vAlign w:val="center"/>
          </w:tcPr>
          <w:p>
            <w:pPr>
              <w:jc w:val="right"/>
            </w:pPr>
            <w:r>
              <w:rPr>
                <w:rFonts w:ascii="宋体" w:eastAsia="宋体" w:hAnsi="宋体" w:cs="宋体"/>
                <w:b w:val="0"/>
                <w:i w:val="0"/>
                <w:color w:val="000000"/>
                <w:sz w:val="13"/>
              </w:rPr>
              <w:t xml:space="preserve">15.82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15.82</w:t>
            </w:r>
          </w:p>
        </w:tc>
        <w:tc>
          <w:tcPr>
            <w:tcW w:w="960" w:type="dxa"/>
            <w:tcBorders/>
            <w:vAlign w:val="center"/>
          </w:tcPr>
          <w:p>
            <w:pPr>
              <w:jc w:val="right"/>
            </w:pPr>
            <w:r>
              <w:rPr>
                <w:rFonts w:ascii="宋体" w:eastAsia="宋体" w:hAnsi="宋体" w:cs="宋体"/>
                <w:b w:val="0"/>
                <w:i w:val="0"/>
                <w:color w:val="000000"/>
                <w:sz w:val="13"/>
              </w:rPr>
              <w:t xml:space="preserve">15.82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15.82</w:t>
            </w:r>
          </w:p>
        </w:tc>
        <w:tc>
          <w:tcPr>
            <w:tcW w:w="960" w:type="dxa"/>
            <w:tcBorders/>
            <w:vAlign w:val="center"/>
          </w:tcPr>
          <w:p>
            <w:pPr>
              <w:jc w:val="right"/>
            </w:pPr>
            <w:r>
              <w:rPr>
                <w:rFonts w:ascii="宋体" w:eastAsia="宋体" w:hAnsi="宋体" w:cs="宋体"/>
                <w:b w:val="0"/>
                <w:i w:val="0"/>
                <w:color w:val="000000"/>
                <w:sz w:val="13"/>
              </w:rPr>
              <w:t xml:space="preserve">15.82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43.15</w:t>
            </w:r>
          </w:p>
        </w:tc>
        <w:tc>
          <w:tcPr>
            <w:tcW w:w="960" w:type="dxa"/>
            <w:tcBorders/>
            <w:vAlign w:val="center"/>
          </w:tcPr>
          <w:p>
            <w:pPr>
              <w:jc w:val="right"/>
            </w:pPr>
            <w:r>
              <w:rPr>
                <w:rFonts w:ascii="宋体" w:eastAsia="宋体" w:hAnsi="宋体" w:cs="宋体"/>
                <w:b w:val="0"/>
                <w:i w:val="0"/>
                <w:color w:val="000000"/>
                <w:sz w:val="13"/>
              </w:rPr>
              <w:t xml:space="preserve">43.15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43.15</w:t>
            </w:r>
          </w:p>
        </w:tc>
        <w:tc>
          <w:tcPr>
            <w:tcW w:w="960" w:type="dxa"/>
            <w:tcBorders/>
            <w:vAlign w:val="center"/>
          </w:tcPr>
          <w:p>
            <w:pPr>
              <w:jc w:val="right"/>
            </w:pPr>
            <w:r>
              <w:rPr>
                <w:rFonts w:ascii="宋体" w:eastAsia="宋体" w:hAnsi="宋体" w:cs="宋体"/>
                <w:b w:val="0"/>
                <w:i w:val="0"/>
                <w:color w:val="000000"/>
                <w:sz w:val="13"/>
              </w:rPr>
              <w:t xml:space="preserve">43.15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43.15</w:t>
            </w:r>
          </w:p>
        </w:tc>
        <w:tc>
          <w:tcPr>
            <w:tcW w:w="960" w:type="dxa"/>
            <w:tcBorders/>
            <w:vAlign w:val="center"/>
          </w:tcPr>
          <w:p>
            <w:pPr>
              <w:jc w:val="right"/>
            </w:pPr>
            <w:r>
              <w:rPr>
                <w:rFonts w:ascii="宋体" w:eastAsia="宋体" w:hAnsi="宋体" w:cs="宋体"/>
                <w:b w:val="0"/>
                <w:i w:val="0"/>
                <w:color w:val="000000"/>
                <w:sz w:val="13"/>
              </w:rPr>
              <w:t xml:space="preserve">43.15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部门：辽宁省沈阳浑南科技城建设发展服务中心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433.76</w:t>
            </w:r>
          </w:p>
        </w:tc>
        <w:tc>
          <w:tcPr>
            <w:tcW w:w="1060" w:type="dxa"/>
            <w:tcBorders/>
            <w:vAlign w:val="center"/>
          </w:tcPr>
          <w:p>
            <w:pPr>
              <w:jc w:val="right"/>
            </w:pPr>
            <w:r>
              <w:rPr>
                <w:rFonts w:ascii="宋体" w:eastAsia="宋体" w:hAnsi="宋体" w:cs="宋体"/>
                <w:b/>
                <w:i w:val="0"/>
                <w:color w:val="000000"/>
                <w:sz w:val="14"/>
              </w:rPr>
              <w:t xml:space="preserve">429.37</w:t>
            </w:r>
          </w:p>
        </w:tc>
        <w:tc>
          <w:tcPr>
            <w:tcW w:w="1060" w:type="dxa"/>
            <w:tcBorders/>
            <w:vAlign w:val="center"/>
          </w:tcPr>
          <w:p>
            <w:pPr>
              <w:jc w:val="right"/>
            </w:pPr>
            <w:r>
              <w:rPr>
                <w:rFonts w:ascii="宋体" w:eastAsia="宋体" w:hAnsi="宋体" w:cs="宋体"/>
                <w:b/>
                <w:i w:val="0"/>
                <w:color w:val="000000"/>
                <w:sz w:val="14"/>
              </w:rPr>
              <w:t xml:space="preserve">4.39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292.61</w:t>
            </w:r>
          </w:p>
        </w:tc>
        <w:tc>
          <w:tcPr>
            <w:tcW w:w="1060" w:type="dxa"/>
            <w:tcBorders/>
            <w:vAlign w:val="center"/>
          </w:tcPr>
          <w:p>
            <w:pPr>
              <w:jc w:val="right"/>
            </w:pPr>
            <w:r>
              <w:rPr>
                <w:rFonts w:ascii="宋体" w:eastAsia="宋体" w:hAnsi="宋体" w:cs="宋体"/>
                <w:b w:val="0"/>
                <w:i w:val="0"/>
                <w:color w:val="000000"/>
                <w:sz w:val="14"/>
              </w:rPr>
              <w:t xml:space="preserve">288.22</w:t>
            </w:r>
          </w:p>
        </w:tc>
        <w:tc>
          <w:tcPr>
            <w:tcW w:w="1060" w:type="dxa"/>
            <w:tcBorders/>
            <w:vAlign w:val="center"/>
          </w:tcPr>
          <w:p>
            <w:pPr>
              <w:jc w:val="right"/>
            </w:pPr>
            <w:r>
              <w:rPr>
                <w:rFonts w:ascii="宋体" w:eastAsia="宋体" w:hAnsi="宋体" w:cs="宋体"/>
                <w:b w:val="0"/>
                <w:i w:val="0"/>
                <w:color w:val="000000"/>
                <w:sz w:val="14"/>
              </w:rPr>
              <w:t xml:space="preserve">4.39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20113</w:t>
            </w:r>
          </w:p>
        </w:tc>
        <w:tc>
          <w:tcPr>
            <w:tcW w:w="3440" w:type="dxa"/>
            <w:tcBorders/>
            <w:vAlign w:val="center"/>
          </w:tcPr>
          <w:p>
            <w:pPr>
              <w:jc w:val="left"/>
            </w:pPr>
            <w:r>
              <w:rPr>
                <w:rFonts w:ascii="宋体" w:eastAsia="宋体" w:hAnsi="宋体" w:cs="宋体"/>
                <w:b w:val="0"/>
                <w:i w:val="0"/>
                <w:color w:val="000000"/>
                <w:sz w:val="14"/>
              </w:rPr>
              <w:t xml:space="preserve">商贸事务</w:t>
            </w:r>
          </w:p>
        </w:tc>
        <w:tc>
          <w:tcPr>
            <w:tcW w:w="1060" w:type="dxa"/>
            <w:tcBorders/>
            <w:vAlign w:val="center"/>
          </w:tcPr>
          <w:p>
            <w:pPr>
              <w:jc w:val="right"/>
            </w:pPr>
            <w:r>
              <w:rPr>
                <w:rFonts w:ascii="宋体" w:eastAsia="宋体" w:hAnsi="宋体" w:cs="宋体"/>
                <w:b w:val="0"/>
                <w:i w:val="0"/>
                <w:color w:val="000000"/>
                <w:sz w:val="14"/>
              </w:rPr>
              <w:t xml:space="preserve">292.61</w:t>
            </w:r>
          </w:p>
        </w:tc>
        <w:tc>
          <w:tcPr>
            <w:tcW w:w="1060" w:type="dxa"/>
            <w:tcBorders/>
            <w:vAlign w:val="center"/>
          </w:tcPr>
          <w:p>
            <w:pPr>
              <w:jc w:val="right"/>
            </w:pPr>
            <w:r>
              <w:rPr>
                <w:rFonts w:ascii="宋体" w:eastAsia="宋体" w:hAnsi="宋体" w:cs="宋体"/>
                <w:b w:val="0"/>
                <w:i w:val="0"/>
                <w:color w:val="000000"/>
                <w:sz w:val="14"/>
              </w:rPr>
              <w:t xml:space="preserve">288.22</w:t>
            </w:r>
          </w:p>
        </w:tc>
        <w:tc>
          <w:tcPr>
            <w:tcW w:w="1060" w:type="dxa"/>
            <w:tcBorders/>
            <w:vAlign w:val="center"/>
          </w:tcPr>
          <w:p>
            <w:pPr>
              <w:jc w:val="right"/>
            </w:pPr>
            <w:r>
              <w:rPr>
                <w:rFonts w:ascii="宋体" w:eastAsia="宋体" w:hAnsi="宋体" w:cs="宋体"/>
                <w:b w:val="0"/>
                <w:i w:val="0"/>
                <w:color w:val="000000"/>
                <w:sz w:val="14"/>
              </w:rPr>
              <w:t xml:space="preserve">4.39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2011350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288.22</w:t>
            </w:r>
          </w:p>
        </w:tc>
        <w:tc>
          <w:tcPr>
            <w:tcW w:w="1060" w:type="dxa"/>
            <w:tcBorders/>
            <w:vAlign w:val="center"/>
          </w:tcPr>
          <w:p>
            <w:pPr>
              <w:jc w:val="right"/>
            </w:pPr>
            <w:r>
              <w:rPr>
                <w:rFonts w:ascii="宋体" w:eastAsia="宋体" w:hAnsi="宋体" w:cs="宋体"/>
                <w:b w:val="0"/>
                <w:i w:val="0"/>
                <w:color w:val="000000"/>
                <w:sz w:val="14"/>
              </w:rPr>
              <w:t xml:space="preserve">288.22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2011399</w:t>
            </w:r>
          </w:p>
        </w:tc>
        <w:tc>
          <w:tcPr>
            <w:tcW w:w="3440" w:type="dxa"/>
            <w:tcBorders/>
            <w:vAlign w:val="center"/>
          </w:tcPr>
          <w:p>
            <w:pPr>
              <w:jc w:val="left"/>
            </w:pPr>
            <w:r>
              <w:rPr>
                <w:rFonts w:ascii="宋体" w:eastAsia="宋体" w:hAnsi="宋体" w:cs="宋体"/>
                <w:b w:val="0"/>
                <w:i w:val="0"/>
                <w:color w:val="000000"/>
                <w:sz w:val="14"/>
              </w:rPr>
              <w:t xml:space="preserve">其他商贸事务支出</w:t>
            </w:r>
          </w:p>
        </w:tc>
        <w:tc>
          <w:tcPr>
            <w:tcW w:w="1060" w:type="dxa"/>
            <w:tcBorders/>
            <w:vAlign w:val="center"/>
          </w:tcPr>
          <w:p>
            <w:pPr>
              <w:jc w:val="right"/>
            </w:pPr>
            <w:r>
              <w:rPr>
                <w:rFonts w:ascii="宋体" w:eastAsia="宋体" w:hAnsi="宋体" w:cs="宋体"/>
                <w:b w:val="0"/>
                <w:i w:val="0"/>
                <w:color w:val="000000"/>
                <w:sz w:val="14"/>
              </w:rPr>
              <w:t xml:space="preserve">4.39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4.39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82.18</w:t>
            </w:r>
          </w:p>
        </w:tc>
        <w:tc>
          <w:tcPr>
            <w:tcW w:w="1060" w:type="dxa"/>
            <w:tcBorders/>
            <w:vAlign w:val="center"/>
          </w:tcPr>
          <w:p>
            <w:pPr>
              <w:jc w:val="right"/>
            </w:pPr>
            <w:r>
              <w:rPr>
                <w:rFonts w:ascii="宋体" w:eastAsia="宋体" w:hAnsi="宋体" w:cs="宋体"/>
                <w:b w:val="0"/>
                <w:i w:val="0"/>
                <w:color w:val="000000"/>
                <w:sz w:val="14"/>
              </w:rPr>
              <w:t xml:space="preserve">82.18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82.18</w:t>
            </w:r>
          </w:p>
        </w:tc>
        <w:tc>
          <w:tcPr>
            <w:tcW w:w="1060" w:type="dxa"/>
            <w:tcBorders/>
            <w:vAlign w:val="center"/>
          </w:tcPr>
          <w:p>
            <w:pPr>
              <w:jc w:val="right"/>
            </w:pPr>
            <w:r>
              <w:rPr>
                <w:rFonts w:ascii="宋体" w:eastAsia="宋体" w:hAnsi="宋体" w:cs="宋体"/>
                <w:b w:val="0"/>
                <w:i w:val="0"/>
                <w:color w:val="000000"/>
                <w:sz w:val="14"/>
              </w:rPr>
              <w:t xml:space="preserve">82.18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39.90</w:t>
            </w:r>
          </w:p>
        </w:tc>
        <w:tc>
          <w:tcPr>
            <w:tcW w:w="1060" w:type="dxa"/>
            <w:tcBorders/>
            <w:vAlign w:val="center"/>
          </w:tcPr>
          <w:p>
            <w:pPr>
              <w:jc w:val="right"/>
            </w:pPr>
            <w:r>
              <w:rPr>
                <w:rFonts w:ascii="宋体" w:eastAsia="宋体" w:hAnsi="宋体" w:cs="宋体"/>
                <w:b w:val="0"/>
                <w:i w:val="0"/>
                <w:color w:val="000000"/>
                <w:sz w:val="14"/>
              </w:rPr>
              <w:t xml:space="preserve">39.90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40.40</w:t>
            </w:r>
          </w:p>
        </w:tc>
        <w:tc>
          <w:tcPr>
            <w:tcW w:w="1060" w:type="dxa"/>
            <w:tcBorders/>
            <w:vAlign w:val="center"/>
          </w:tcPr>
          <w:p>
            <w:pPr>
              <w:jc w:val="right"/>
            </w:pPr>
            <w:r>
              <w:rPr>
                <w:rFonts w:ascii="宋体" w:eastAsia="宋体" w:hAnsi="宋体" w:cs="宋体"/>
                <w:b w:val="0"/>
                <w:i w:val="0"/>
                <w:color w:val="000000"/>
                <w:sz w:val="14"/>
              </w:rPr>
              <w:t xml:space="preserve">40.40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1.88</w:t>
            </w:r>
          </w:p>
        </w:tc>
        <w:tc>
          <w:tcPr>
            <w:tcW w:w="1060" w:type="dxa"/>
            <w:tcBorders/>
            <w:vAlign w:val="center"/>
          </w:tcPr>
          <w:p>
            <w:pPr>
              <w:jc w:val="right"/>
            </w:pPr>
            <w:r>
              <w:rPr>
                <w:rFonts w:ascii="宋体" w:eastAsia="宋体" w:hAnsi="宋体" w:cs="宋体"/>
                <w:b w:val="0"/>
                <w:i w:val="0"/>
                <w:color w:val="000000"/>
                <w:sz w:val="14"/>
              </w:rPr>
              <w:t xml:space="preserve">1.88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15.82</w:t>
            </w:r>
          </w:p>
        </w:tc>
        <w:tc>
          <w:tcPr>
            <w:tcW w:w="1060" w:type="dxa"/>
            <w:tcBorders/>
            <w:vAlign w:val="center"/>
          </w:tcPr>
          <w:p>
            <w:pPr>
              <w:jc w:val="right"/>
            </w:pPr>
            <w:r>
              <w:rPr>
                <w:rFonts w:ascii="宋体" w:eastAsia="宋体" w:hAnsi="宋体" w:cs="宋体"/>
                <w:b w:val="0"/>
                <w:i w:val="0"/>
                <w:color w:val="000000"/>
                <w:sz w:val="14"/>
              </w:rPr>
              <w:t xml:space="preserve">15.82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15.82</w:t>
            </w:r>
          </w:p>
        </w:tc>
        <w:tc>
          <w:tcPr>
            <w:tcW w:w="1060" w:type="dxa"/>
            <w:tcBorders/>
            <w:vAlign w:val="center"/>
          </w:tcPr>
          <w:p>
            <w:pPr>
              <w:jc w:val="right"/>
            </w:pPr>
            <w:r>
              <w:rPr>
                <w:rFonts w:ascii="宋体" w:eastAsia="宋体" w:hAnsi="宋体" w:cs="宋体"/>
                <w:b w:val="0"/>
                <w:i w:val="0"/>
                <w:color w:val="000000"/>
                <w:sz w:val="14"/>
              </w:rPr>
              <w:t xml:space="preserve">15.82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15.82</w:t>
            </w:r>
          </w:p>
        </w:tc>
        <w:tc>
          <w:tcPr>
            <w:tcW w:w="1060" w:type="dxa"/>
            <w:tcBorders/>
            <w:vAlign w:val="center"/>
          </w:tcPr>
          <w:p>
            <w:pPr>
              <w:jc w:val="right"/>
            </w:pPr>
            <w:r>
              <w:rPr>
                <w:rFonts w:ascii="宋体" w:eastAsia="宋体" w:hAnsi="宋体" w:cs="宋体"/>
                <w:b w:val="0"/>
                <w:i w:val="0"/>
                <w:color w:val="000000"/>
                <w:sz w:val="14"/>
              </w:rPr>
              <w:t xml:space="preserve">15.82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43.15</w:t>
            </w:r>
          </w:p>
        </w:tc>
        <w:tc>
          <w:tcPr>
            <w:tcW w:w="1060" w:type="dxa"/>
            <w:tcBorders/>
            <w:vAlign w:val="center"/>
          </w:tcPr>
          <w:p>
            <w:pPr>
              <w:jc w:val="right"/>
            </w:pPr>
            <w:r>
              <w:rPr>
                <w:rFonts w:ascii="宋体" w:eastAsia="宋体" w:hAnsi="宋体" w:cs="宋体"/>
                <w:b w:val="0"/>
                <w:i w:val="0"/>
                <w:color w:val="000000"/>
                <w:sz w:val="14"/>
              </w:rPr>
              <w:t xml:space="preserve">43.15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43.15</w:t>
            </w:r>
          </w:p>
        </w:tc>
        <w:tc>
          <w:tcPr>
            <w:tcW w:w="1060" w:type="dxa"/>
            <w:tcBorders/>
            <w:vAlign w:val="center"/>
          </w:tcPr>
          <w:p>
            <w:pPr>
              <w:jc w:val="right"/>
            </w:pPr>
            <w:r>
              <w:rPr>
                <w:rFonts w:ascii="宋体" w:eastAsia="宋体" w:hAnsi="宋体" w:cs="宋体"/>
                <w:b w:val="0"/>
                <w:i w:val="0"/>
                <w:color w:val="000000"/>
                <w:sz w:val="14"/>
              </w:rPr>
              <w:t xml:space="preserve">43.15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43.15</w:t>
            </w:r>
          </w:p>
        </w:tc>
        <w:tc>
          <w:tcPr>
            <w:tcW w:w="1060" w:type="dxa"/>
            <w:tcBorders/>
            <w:vAlign w:val="center"/>
          </w:tcPr>
          <w:p>
            <w:pPr>
              <w:jc w:val="right"/>
            </w:pPr>
            <w:r>
              <w:rPr>
                <w:rFonts w:ascii="宋体" w:eastAsia="宋体" w:hAnsi="宋体" w:cs="宋体"/>
                <w:b w:val="0"/>
                <w:i w:val="0"/>
                <w:color w:val="000000"/>
                <w:sz w:val="14"/>
              </w:rPr>
              <w:t xml:space="preserve">43.15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部门：辽宁省沈阳浑南科技城建设发展服务中心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433.76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292.61</w:t>
            </w:r>
          </w:p>
        </w:tc>
        <w:tc>
          <w:tcPr>
            <w:tcW w:w="1100" w:type="dxa"/>
            <w:tcBorders/>
            <w:vAlign w:val="center"/>
          </w:tcPr>
          <w:p>
            <w:pPr>
              <w:jc w:val="right"/>
            </w:pPr>
            <w:r>
              <w:rPr>
                <w:rFonts w:ascii="宋体" w:eastAsia="宋体" w:hAnsi="宋体" w:cs="宋体"/>
                <w:b w:val="0"/>
                <w:i w:val="0"/>
                <w:color w:val="000000"/>
                <w:sz w:val="14"/>
              </w:rPr>
              <w:t xml:space="preserve">292.61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82.17</w:t>
            </w:r>
          </w:p>
        </w:tc>
        <w:tc>
          <w:tcPr>
            <w:tcW w:w="1100" w:type="dxa"/>
            <w:tcBorders/>
            <w:vAlign w:val="center"/>
          </w:tcPr>
          <w:p>
            <w:pPr>
              <w:jc w:val="right"/>
            </w:pPr>
            <w:r>
              <w:rPr>
                <w:rFonts w:ascii="宋体" w:eastAsia="宋体" w:hAnsi="宋体" w:cs="宋体"/>
                <w:b w:val="0"/>
                <w:i w:val="0"/>
                <w:color w:val="000000"/>
                <w:sz w:val="14"/>
              </w:rPr>
              <w:t xml:space="preserve">82.17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15.82</w:t>
            </w:r>
          </w:p>
        </w:tc>
        <w:tc>
          <w:tcPr>
            <w:tcW w:w="1100" w:type="dxa"/>
            <w:tcBorders/>
            <w:vAlign w:val="center"/>
          </w:tcPr>
          <w:p>
            <w:pPr>
              <w:jc w:val="right"/>
            </w:pPr>
            <w:r>
              <w:rPr>
                <w:rFonts w:ascii="宋体" w:eastAsia="宋体" w:hAnsi="宋体" w:cs="宋体"/>
                <w:b w:val="0"/>
                <w:i w:val="0"/>
                <w:color w:val="000000"/>
                <w:sz w:val="14"/>
              </w:rPr>
              <w:t xml:space="preserve">15.82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43.15</w:t>
            </w:r>
          </w:p>
        </w:tc>
        <w:tc>
          <w:tcPr>
            <w:tcW w:w="1100" w:type="dxa"/>
            <w:tcBorders/>
            <w:vAlign w:val="center"/>
          </w:tcPr>
          <w:p>
            <w:pPr>
              <w:jc w:val="right"/>
            </w:pPr>
            <w:r>
              <w:rPr>
                <w:rFonts w:ascii="宋体" w:eastAsia="宋体" w:hAnsi="宋体" w:cs="宋体"/>
                <w:b w:val="0"/>
                <w:i w:val="0"/>
                <w:color w:val="000000"/>
                <w:sz w:val="14"/>
              </w:rPr>
              <w:t xml:space="preserve">43.15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433.76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433.76</w:t>
            </w:r>
          </w:p>
        </w:tc>
        <w:tc>
          <w:tcPr>
            <w:tcW w:w="1100" w:type="dxa"/>
            <w:tcBorders/>
            <w:vAlign w:val="center"/>
          </w:tcPr>
          <w:p>
            <w:pPr>
              <w:jc w:val="right"/>
            </w:pPr>
            <w:r>
              <w:rPr>
                <w:rFonts w:ascii="宋体" w:eastAsia="宋体" w:hAnsi="宋体" w:cs="宋体"/>
                <w:b w:val="0"/>
                <w:i w:val="0"/>
                <w:color w:val="000000"/>
                <w:sz w:val="14"/>
              </w:rPr>
              <w:t xml:space="preserve">433.76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433.76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433.76</w:t>
            </w:r>
          </w:p>
        </w:tc>
        <w:tc>
          <w:tcPr>
            <w:tcW w:w="1100" w:type="dxa"/>
            <w:tcBorders/>
            <w:vAlign w:val="center"/>
          </w:tcPr>
          <w:p>
            <w:pPr>
              <w:jc w:val="right"/>
            </w:pPr>
            <w:r>
              <w:rPr>
                <w:rFonts w:ascii="宋体" w:eastAsia="宋体" w:hAnsi="宋体" w:cs="宋体"/>
                <w:b w:val="0"/>
                <w:i w:val="0"/>
                <w:color w:val="000000"/>
                <w:sz w:val="14"/>
              </w:rPr>
              <w:t xml:space="preserve">433.76</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部门：辽宁省沈阳浑南科技城建设发展服务中心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433.76</w:t>
            </w:r>
          </w:p>
        </w:tc>
        <w:tc>
          <w:tcPr>
            <w:tcW w:w="1780" w:type="dxa"/>
            <w:tcBorders/>
            <w:vAlign w:val="center"/>
          </w:tcPr>
          <w:p>
            <w:pPr>
              <w:jc w:val="right"/>
            </w:pPr>
            <w:r>
              <w:rPr>
                <w:rFonts w:ascii="宋体" w:eastAsia="宋体" w:hAnsi="宋体" w:cs="宋体"/>
                <w:b/>
                <w:i w:val="0"/>
                <w:color w:val="000000"/>
                <w:sz w:val="18"/>
              </w:rPr>
              <w:t xml:space="preserve">429.37</w:t>
            </w:r>
          </w:p>
        </w:tc>
        <w:tc>
          <w:tcPr>
            <w:tcW w:w="1772" w:type="dxa"/>
            <w:tcBorders/>
            <w:vAlign w:val="center"/>
          </w:tcPr>
          <w:p>
            <w:pPr>
              <w:jc w:val="right"/>
            </w:pPr>
            <w:r>
              <w:rPr>
                <w:rFonts w:ascii="宋体" w:eastAsia="宋体" w:hAnsi="宋体" w:cs="宋体"/>
                <w:b/>
                <w:i w:val="0"/>
                <w:color w:val="000000"/>
                <w:sz w:val="18"/>
              </w:rPr>
              <w:t xml:space="preserve">4.39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292.61</w:t>
            </w:r>
          </w:p>
        </w:tc>
        <w:tc>
          <w:tcPr>
            <w:tcW w:w="1780" w:type="dxa"/>
            <w:tcBorders/>
            <w:vAlign w:val="center"/>
          </w:tcPr>
          <w:p>
            <w:pPr>
              <w:jc w:val="right"/>
            </w:pPr>
            <w:r>
              <w:rPr>
                <w:rFonts w:ascii="宋体" w:eastAsia="宋体" w:hAnsi="宋体" w:cs="宋体"/>
                <w:b w:val="0"/>
                <w:i w:val="0"/>
                <w:color w:val="000000"/>
                <w:sz w:val="18"/>
              </w:rPr>
              <w:t xml:space="preserve">288.22</w:t>
            </w:r>
          </w:p>
        </w:tc>
        <w:tc>
          <w:tcPr>
            <w:tcW w:w="1772" w:type="dxa"/>
            <w:tcBorders/>
            <w:vAlign w:val="center"/>
          </w:tcPr>
          <w:p>
            <w:pPr>
              <w:jc w:val="right"/>
            </w:pPr>
            <w:r>
              <w:rPr>
                <w:rFonts w:ascii="宋体" w:eastAsia="宋体" w:hAnsi="宋体" w:cs="宋体"/>
                <w:b w:val="0"/>
                <w:i w:val="0"/>
                <w:color w:val="000000"/>
                <w:sz w:val="18"/>
              </w:rPr>
              <w:t xml:space="preserve">4.39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20113</w:t>
            </w:r>
          </w:p>
        </w:tc>
        <w:tc>
          <w:tcPr>
            <w:tcW w:w="4300" w:type="dxa"/>
            <w:tcBorders/>
            <w:vAlign w:val="center"/>
          </w:tcPr>
          <w:p>
            <w:pPr>
              <w:jc w:val="left"/>
            </w:pPr>
            <w:r>
              <w:rPr>
                <w:rFonts w:ascii="宋体" w:eastAsia="宋体" w:hAnsi="宋体" w:cs="宋体"/>
                <w:b w:val="0"/>
                <w:i w:val="0"/>
                <w:color w:val="000000"/>
                <w:sz w:val="18"/>
              </w:rPr>
              <w:t xml:space="preserve">商贸事务</w:t>
            </w:r>
          </w:p>
        </w:tc>
        <w:tc>
          <w:tcPr>
            <w:tcW w:w="1780" w:type="dxa"/>
            <w:tcBorders/>
            <w:vAlign w:val="center"/>
          </w:tcPr>
          <w:p>
            <w:pPr>
              <w:jc w:val="right"/>
            </w:pPr>
            <w:r>
              <w:rPr>
                <w:rFonts w:ascii="宋体" w:eastAsia="宋体" w:hAnsi="宋体" w:cs="宋体"/>
                <w:b w:val="0"/>
                <w:i w:val="0"/>
                <w:color w:val="000000"/>
                <w:sz w:val="18"/>
              </w:rPr>
              <w:t xml:space="preserve">292.61</w:t>
            </w:r>
          </w:p>
        </w:tc>
        <w:tc>
          <w:tcPr>
            <w:tcW w:w="1780" w:type="dxa"/>
            <w:tcBorders/>
            <w:vAlign w:val="center"/>
          </w:tcPr>
          <w:p>
            <w:pPr>
              <w:jc w:val="right"/>
            </w:pPr>
            <w:r>
              <w:rPr>
                <w:rFonts w:ascii="宋体" w:eastAsia="宋体" w:hAnsi="宋体" w:cs="宋体"/>
                <w:b w:val="0"/>
                <w:i w:val="0"/>
                <w:color w:val="000000"/>
                <w:sz w:val="18"/>
              </w:rPr>
              <w:t xml:space="preserve">288.22</w:t>
            </w:r>
          </w:p>
        </w:tc>
        <w:tc>
          <w:tcPr>
            <w:tcW w:w="1772" w:type="dxa"/>
            <w:tcBorders/>
            <w:vAlign w:val="center"/>
          </w:tcPr>
          <w:p>
            <w:pPr>
              <w:jc w:val="right"/>
            </w:pPr>
            <w:r>
              <w:rPr>
                <w:rFonts w:ascii="宋体" w:eastAsia="宋体" w:hAnsi="宋体" w:cs="宋体"/>
                <w:b w:val="0"/>
                <w:i w:val="0"/>
                <w:color w:val="000000"/>
                <w:sz w:val="18"/>
              </w:rPr>
              <w:t xml:space="preserve">4.39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2011350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288.22</w:t>
            </w:r>
          </w:p>
        </w:tc>
        <w:tc>
          <w:tcPr>
            <w:tcW w:w="1780" w:type="dxa"/>
            <w:tcBorders/>
            <w:vAlign w:val="center"/>
          </w:tcPr>
          <w:p>
            <w:pPr>
              <w:jc w:val="right"/>
            </w:pPr>
            <w:r>
              <w:rPr>
                <w:rFonts w:ascii="宋体" w:eastAsia="宋体" w:hAnsi="宋体" w:cs="宋体"/>
                <w:b w:val="0"/>
                <w:i w:val="0"/>
                <w:color w:val="000000"/>
                <w:sz w:val="18"/>
              </w:rPr>
              <w:t xml:space="preserve">288.22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2011399</w:t>
            </w:r>
          </w:p>
        </w:tc>
        <w:tc>
          <w:tcPr>
            <w:tcW w:w="4300" w:type="dxa"/>
            <w:tcBorders/>
            <w:vAlign w:val="center"/>
          </w:tcPr>
          <w:p>
            <w:pPr>
              <w:jc w:val="left"/>
            </w:pPr>
            <w:r>
              <w:rPr>
                <w:rFonts w:ascii="宋体" w:eastAsia="宋体" w:hAnsi="宋体" w:cs="宋体"/>
                <w:b w:val="0"/>
                <w:i w:val="0"/>
                <w:color w:val="000000"/>
                <w:sz w:val="18"/>
              </w:rPr>
              <w:t xml:space="preserve">其他商贸事务支出</w:t>
            </w:r>
          </w:p>
        </w:tc>
        <w:tc>
          <w:tcPr>
            <w:tcW w:w="1780" w:type="dxa"/>
            <w:tcBorders/>
            <w:vAlign w:val="center"/>
          </w:tcPr>
          <w:p>
            <w:pPr>
              <w:jc w:val="right"/>
            </w:pPr>
            <w:r>
              <w:rPr>
                <w:rFonts w:ascii="宋体" w:eastAsia="宋体" w:hAnsi="宋体" w:cs="宋体"/>
                <w:b w:val="0"/>
                <w:i w:val="0"/>
                <w:color w:val="000000"/>
                <w:sz w:val="18"/>
              </w:rPr>
              <w:t xml:space="preserve">4.39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4.39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82.18</w:t>
            </w:r>
          </w:p>
        </w:tc>
        <w:tc>
          <w:tcPr>
            <w:tcW w:w="1780" w:type="dxa"/>
            <w:tcBorders/>
            <w:vAlign w:val="center"/>
          </w:tcPr>
          <w:p>
            <w:pPr>
              <w:jc w:val="right"/>
            </w:pPr>
            <w:r>
              <w:rPr>
                <w:rFonts w:ascii="宋体" w:eastAsia="宋体" w:hAnsi="宋体" w:cs="宋体"/>
                <w:b w:val="0"/>
                <w:i w:val="0"/>
                <w:color w:val="000000"/>
                <w:sz w:val="18"/>
              </w:rPr>
              <w:t xml:space="preserve">82.18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82.18</w:t>
            </w:r>
          </w:p>
        </w:tc>
        <w:tc>
          <w:tcPr>
            <w:tcW w:w="1780" w:type="dxa"/>
            <w:tcBorders/>
            <w:vAlign w:val="center"/>
          </w:tcPr>
          <w:p>
            <w:pPr>
              <w:jc w:val="right"/>
            </w:pPr>
            <w:r>
              <w:rPr>
                <w:rFonts w:ascii="宋体" w:eastAsia="宋体" w:hAnsi="宋体" w:cs="宋体"/>
                <w:b w:val="0"/>
                <w:i w:val="0"/>
                <w:color w:val="000000"/>
                <w:sz w:val="18"/>
              </w:rPr>
              <w:t xml:space="preserve">82.18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39.90</w:t>
            </w:r>
          </w:p>
        </w:tc>
        <w:tc>
          <w:tcPr>
            <w:tcW w:w="1780" w:type="dxa"/>
            <w:tcBorders/>
            <w:vAlign w:val="center"/>
          </w:tcPr>
          <w:p>
            <w:pPr>
              <w:jc w:val="right"/>
            </w:pPr>
            <w:r>
              <w:rPr>
                <w:rFonts w:ascii="宋体" w:eastAsia="宋体" w:hAnsi="宋体" w:cs="宋体"/>
                <w:b w:val="0"/>
                <w:i w:val="0"/>
                <w:color w:val="000000"/>
                <w:sz w:val="18"/>
              </w:rPr>
              <w:t xml:space="preserve">39.90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40.40</w:t>
            </w:r>
          </w:p>
        </w:tc>
        <w:tc>
          <w:tcPr>
            <w:tcW w:w="1780" w:type="dxa"/>
            <w:tcBorders/>
            <w:vAlign w:val="center"/>
          </w:tcPr>
          <w:p>
            <w:pPr>
              <w:jc w:val="right"/>
            </w:pPr>
            <w:r>
              <w:rPr>
                <w:rFonts w:ascii="宋体" w:eastAsia="宋体" w:hAnsi="宋体" w:cs="宋体"/>
                <w:b w:val="0"/>
                <w:i w:val="0"/>
                <w:color w:val="000000"/>
                <w:sz w:val="18"/>
              </w:rPr>
              <w:t xml:space="preserve">40.40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1.88</w:t>
            </w:r>
          </w:p>
        </w:tc>
        <w:tc>
          <w:tcPr>
            <w:tcW w:w="1780" w:type="dxa"/>
            <w:tcBorders/>
            <w:vAlign w:val="center"/>
          </w:tcPr>
          <w:p>
            <w:pPr>
              <w:jc w:val="right"/>
            </w:pPr>
            <w:r>
              <w:rPr>
                <w:rFonts w:ascii="宋体" w:eastAsia="宋体" w:hAnsi="宋体" w:cs="宋体"/>
                <w:b w:val="0"/>
                <w:i w:val="0"/>
                <w:color w:val="000000"/>
                <w:sz w:val="18"/>
              </w:rPr>
              <w:t xml:space="preserve">1.88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15.82</w:t>
            </w:r>
          </w:p>
        </w:tc>
        <w:tc>
          <w:tcPr>
            <w:tcW w:w="1780" w:type="dxa"/>
            <w:tcBorders/>
            <w:vAlign w:val="center"/>
          </w:tcPr>
          <w:p>
            <w:pPr>
              <w:jc w:val="right"/>
            </w:pPr>
            <w:r>
              <w:rPr>
                <w:rFonts w:ascii="宋体" w:eastAsia="宋体" w:hAnsi="宋体" w:cs="宋体"/>
                <w:b w:val="0"/>
                <w:i w:val="0"/>
                <w:color w:val="000000"/>
                <w:sz w:val="18"/>
              </w:rPr>
              <w:t xml:space="preserve">15.82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15.82</w:t>
            </w:r>
          </w:p>
        </w:tc>
        <w:tc>
          <w:tcPr>
            <w:tcW w:w="1780" w:type="dxa"/>
            <w:tcBorders/>
            <w:vAlign w:val="center"/>
          </w:tcPr>
          <w:p>
            <w:pPr>
              <w:jc w:val="right"/>
            </w:pPr>
            <w:r>
              <w:rPr>
                <w:rFonts w:ascii="宋体" w:eastAsia="宋体" w:hAnsi="宋体" w:cs="宋体"/>
                <w:b w:val="0"/>
                <w:i w:val="0"/>
                <w:color w:val="000000"/>
                <w:sz w:val="18"/>
              </w:rPr>
              <w:t xml:space="preserve">15.82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15.82</w:t>
            </w:r>
          </w:p>
        </w:tc>
        <w:tc>
          <w:tcPr>
            <w:tcW w:w="1780" w:type="dxa"/>
            <w:tcBorders/>
            <w:vAlign w:val="center"/>
          </w:tcPr>
          <w:p>
            <w:pPr>
              <w:jc w:val="right"/>
            </w:pPr>
            <w:r>
              <w:rPr>
                <w:rFonts w:ascii="宋体" w:eastAsia="宋体" w:hAnsi="宋体" w:cs="宋体"/>
                <w:b w:val="0"/>
                <w:i w:val="0"/>
                <w:color w:val="000000"/>
                <w:sz w:val="18"/>
              </w:rPr>
              <w:t xml:space="preserve">15.82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43.15</w:t>
            </w:r>
          </w:p>
        </w:tc>
        <w:tc>
          <w:tcPr>
            <w:tcW w:w="1780" w:type="dxa"/>
            <w:tcBorders/>
            <w:vAlign w:val="center"/>
          </w:tcPr>
          <w:p>
            <w:pPr>
              <w:jc w:val="right"/>
            </w:pPr>
            <w:r>
              <w:rPr>
                <w:rFonts w:ascii="宋体" w:eastAsia="宋体" w:hAnsi="宋体" w:cs="宋体"/>
                <w:b w:val="0"/>
                <w:i w:val="0"/>
                <w:color w:val="000000"/>
                <w:sz w:val="18"/>
              </w:rPr>
              <w:t xml:space="preserve">43.15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43.15</w:t>
            </w:r>
          </w:p>
        </w:tc>
        <w:tc>
          <w:tcPr>
            <w:tcW w:w="1780" w:type="dxa"/>
            <w:tcBorders/>
            <w:vAlign w:val="center"/>
          </w:tcPr>
          <w:p>
            <w:pPr>
              <w:jc w:val="right"/>
            </w:pPr>
            <w:r>
              <w:rPr>
                <w:rFonts w:ascii="宋体" w:eastAsia="宋体" w:hAnsi="宋体" w:cs="宋体"/>
                <w:b w:val="0"/>
                <w:i w:val="0"/>
                <w:color w:val="000000"/>
                <w:sz w:val="18"/>
              </w:rPr>
              <w:t xml:space="preserve">43.15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43.15</w:t>
            </w:r>
          </w:p>
        </w:tc>
        <w:tc>
          <w:tcPr>
            <w:tcW w:w="1780" w:type="dxa"/>
            <w:tcBorders/>
            <w:vAlign w:val="center"/>
          </w:tcPr>
          <w:p>
            <w:pPr>
              <w:jc w:val="right"/>
            </w:pPr>
            <w:r>
              <w:rPr>
                <w:rFonts w:ascii="宋体" w:eastAsia="宋体" w:hAnsi="宋体" w:cs="宋体"/>
                <w:b w:val="0"/>
                <w:i w:val="0"/>
                <w:color w:val="000000"/>
                <w:sz w:val="18"/>
              </w:rPr>
              <w:t xml:space="preserve">43.15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部门：辽宁省沈阳浑南科技城建设发展服务中心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365.59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21.52</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108.75</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2.62</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14.16</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9.46</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1.00</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8.33</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123.14</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1.00</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40.40</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1.88</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13.70</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15.82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0.50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0.22</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43.15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41.26</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jc w:val="right"/>
            </w:pPr>
            <w:r>
              <w:rPr>
                <w:rFonts w:ascii="宋体" w:eastAsia="宋体" w:hAnsi="宋体" w:cs="宋体"/>
                <w:b w:val="0"/>
                <w:i w:val="0"/>
                <w:color w:val="000000"/>
                <w:sz w:val="14"/>
              </w:rPr>
              <w:t xml:space="preserve">32.92</w:t>
            </w: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7.08</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1.26</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1.00</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2.00</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1.98</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406.85</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22.52</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部门：辽宁省沈阳浑南科技城建设发展服务中心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部门：辽宁省沈阳浑南科技城建设发展服务中心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部门：辽宁省沈阳浑南科技城建设发展服务中心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071001沈阳浑南科技城建设发展服务中心本级-210112000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502.91</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502.91</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13.19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13.19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323.10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84.73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84.72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完成当年任务，有效提高工作质量</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基本完成当年任务</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24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财政资金紧张，削减经费开资，导致本年的档案整理费此专项财政没有拨款，没有完成目标</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经费保障:财政资金紧张，削减经费开资，导致本年的档案整理费此专项财政没有拨款，没有完成目标</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24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财政资金紧张，削减经费开资，导致本年的档案整理费此专项财政没有拨款，没有完成目标</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经费保障:财政资金紧张，削减经费开资，导致本年的档案整理费此专项财政没有拨款，没有完成目标</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24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人均公用经费变动率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财政资金紧张，削减经费开资，导致本年的档案整理费此专项财政没有拨款，没有完成目标</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经费保障:财政资金紧张，削减经费开资，导致本年的档案整理费此专项财政没有拨款，没有完成目标</w:t>
            </w:r>
          </w:p>
        </w:tc>
      </w:tr>
      <w:tr>
        <w:trPr>
          <w:trHeight w:hRule="exact" w:val="324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财政资金紧张，削减经费开资，导致本年的档案整理费此专项财政没有拨款，没有完成目标</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经费保障:财政资金紧张，削减经费开资，导致本年的档案整理费此专项财政没有拨款，没有完成目标</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开设专栏扩大政策宣传面</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宣传政策</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普法宣教培训完成情况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经贸活动与投资促进企业满意度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完善部门内部控制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项目</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人才队伍建设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持续发展</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93.31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沈阳浑南科技城建设发展服务中心-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沈阳浑南科技城建设发展服务中心本级-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本次档案整理后，将实现档案收集、整理、保管、利用规划化，档案信息化建设和信息安全得到保障。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经费保障:财政资金紧张，削减经费开资，导致本年的档案整理费此专项财政没有拨款，没有完成目标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经费保障:财政资金紧张，削减经费开资，导致本年的档案整理费此专项财政没有拨款，没有完成目标</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经费保障:财政资金紧张，削减经费开资，导致本年的档案整理费此专项财政没有拨款，没有完成目标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经费保障:财政资金紧张，削减经费开资，导致本年的档案整理费此专项财政没有拨款，没有完成目标</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奖金发放到位率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经费保障:财政资金紧张，削减经费开资，导致本年的档案整理费此专项财政没有拨款，没有完成目标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经费保障:财政资金紧张，削减经费开资，导致本年的档案整理费此专项财政没有拨款，没有完成目标</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经费保障:财政资金紧张，削减经费开资，导致本年的档案整理费此专项财政没有拨款，没有完成目标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经费保障:财政资金紧张，削减经费开资，导致本年的档案整理费此专项财政没有拨款，没有完成目标</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经费保障:财政资金紧张，削减经费开资，导致本年的档案整理费此专项财政没有拨款，没有完成目标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经费保障:财政资金紧张，削减经费开资，导致本年的档案整理费此专项财政没有拨款，没有完成目标</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残疾人就业及康复政策区域性宣贯政策知晓率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经费保障:财政资金紧张，削减经费开资，导致本年的档案整理费此专项财政没有拨款，没有完成目标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经费保障:财政资金紧张，削减经费开资，导致本年的档案整理费此专项财政没有拨款，没有完成目标</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新增人员经费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沈阳浑南科技城建设发展服务中心-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沈阳浑南科技城建设发展服务中心本级-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2024年4月，我单位调入一名领导董浩丹，7月新招两名事业编人员，特申请三人经费。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突破卡脖子技术成功率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资金使用的各环节信息公开机制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沈阳浑南科技城建设发展服务中心-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沈阳浑南科技城建设发展服务中心本级-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商是我区经济发展的主要工作之一，是我区经济发展的引擎。只有招商工作搞好了，才能落地效益更好、税收更大的好项目。才能增长我们区的财政收入，为我区更好更快的发展提供有力的保障。同时，也能提高我区工作人员的收入水平，激发大家的工作积极性。鼓舞全体员工的斗志，为我区的全面腾飞而努力奋斗。从而形成良性循环，为我区实现可持续发展奠定良好的基础</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12021304267001535缴纳残疾人就业保障金(债务科)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沈阳浑南科技城建设发展服务中心-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沈阳浑南科技城建设发展服务中心本级-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97.48%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依据辽残联发（2017）41号、辽财非（2014）438号、辽财非（2016）415号、沈残联发（2013）33号、沈残联发（2015）50号，21人*1710元（2023年预计社平工资114000*1.5%）=2024年应缴残疾人就业保障金金额35910元。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99.75</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