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辽宁省沈阳市浑南区财政事务服务中心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0" w:space="720.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辽宁省沈阳市浑南区财政事务服务中心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辽宁省沈阳市浑南区财政事务服务中心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辽宁省沈阳市浑南区财政事务服务中心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辽宁省沈阳市浑南区财政事务服务中心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0" w:space="720.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辽宁省沈阳市浑南区财政事务服务中心概况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负责浑南区行政事业单位预算资金的收支核算、业务处理及监督管理。配合区财政局开展国库集中支付工作；对财政资金进行支付审核、会计核算及决算；协助区财政局对非税收入进行收缴管理；协助区财政局对财政收付机构系统内部进行监督检查；对会计凭证进行装订并留存保管。</w:t>
        <w:br/>
        <w:t xml:space="preserve">        （二）配合区财政局做好财政预算绩效管理政策制度和细则实施，维护定量和定性相结合的共性绩效指标框架，组织开展预算绩效目标编制、审核、批复以及运行监控、实施评价、考核，并指导各预算单位全面开展预算绩效管理工作、评价结果应用。</w:t>
        <w:br/>
        <w:t xml:space="preserve">        （三）负责对浑南区行政事业单位政府投资建设项目预（结）算进行审核，提高政府投资建设项目预（结）算编制质量，为建设项目招标控制价及核拨建设资金提供参考依据 。</w:t>
        <w:br/>
        <w:t xml:space="preserve">        （四）配合区财政局做好街道部门预算编制执行及资金管理工作，监管街道财政性资金内部核算及使用管理、资产管理、债务管理等工作。配合区财政局落实区委、区政府关于财源建设工作的决策部署；制定财源建设专项工作方案和年度工作计划；做好区协税护税工作领导小组办公室日常工作。承担督办区协税护税领导小组各成员单位落实工作领导小组会议决议和各交办事项。</w:t>
        <w:br/>
        <w:t xml:space="preserve">        （五）承担核算浑南区机关事业单位养老金的收入及安排浑南区机关事业单位养老金支出等。</w:t>
        <w:br/>
        <w:t xml:space="preserve">        （六）配合区财政局做好行政事业单位资产管理工作，指导和监督检查区直行政事业单位国有资产工作，组织开展行政事业单位资产清查、资产年报、产权登记汇总等工作。</w:t>
        <w:br/>
        <w:t xml:space="preserve">        （七）配合区财政局做好全区政府债务规模控制，并按国家和省、市要求组织协调地方政府债券发行相关工作。负责全区政府债务及政府相关债务预算管理、综合统计、风险预警、债务资产管理工作；编制区本级政府债务预算；组织新增债券申报；完善发行费用缴纳及协议签订等后续工作。</w:t>
        <w:br/>
        <w:t xml:space="preserve">        （八）完成区委、区政府及区财政局交办的其他任务。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辽宁省沈阳市浑南区财政事务服务中心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浑南区财政事务服务中心本级，本单位无下设机构。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584.46</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584.46</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584.46</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减少1064.61万元，降低64.56%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城乡社区相关经费较上年大幅减少，根据年度资金统筹实际，财政拨款收入由支出规模决定，相应大幅度降低</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584.46</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539.91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92.38</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工资福利支出509.58万元；商品和服务支出25.44万元；对个人和家庭的补助4.90万元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44.55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7.62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主要包括财政事务、城乡社区公共设施等业务支出。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减少1064.61万元，降低64.56%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城乡社区支出减少，本年度根据城乡社区发展实际需求对于支出结构进行优化调整，减少了非必要支出</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收支平衡，无结转结余资金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584.46</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539.91</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44.55</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减少997.92万元，降低63.06%</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城乡社区支出较上年大幅减少，根据年度资金统筹实际，财政拨款收入由支出规模决定，相应大幅度降低</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40.20</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93.75</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5.07</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2024年度一般公共预算财政拨款支出584.46万元。按支出功能分类科目分，包括：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1.一般公共服务支出413.53万元，具体包括：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（1）一般公共服务支出（类）财政事务（款）事业运行（项）388.98万元,主要是人员基本工资和绩效工资等支出，完成年初预算的88.32%，决算数与年初预算数存在差异的主要原因是本年度人员数量出现变动。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财政事务（款）其他财政事务支出（项）24.55万元,主要是劳务费等支出，完成年初预算的35.86%，决算数与年初预算数存在差异的主要原因是本年度控制商品和服务支出，优化了资金使用效率。</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2.社会保障和就业支出77.45万元，具体包括：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3.64万元,主要是退休费等支出，完成年初预算的73.98%，决算数与年初预算数存在差异的主要原因是前期预估预算数高于实际支出数，防止出现事业单位离退休人员经费不足以发放的情况。</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50.49万元,主要是机关事业单位基本养老保险缴费等支出，完成年初预算的102.21%，决算数与年初预算数存在差异的主要原因是养老保险基数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23.32万元,主要是职业年金缴费等支出，完成年初预算的100%，决算数与年初预算数存在差异的主要原因是本项预算为追加预算，无年初预算，决算数为本年实际发生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3.卫生健康支出20.00万元，具体包括：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（1）卫生健康支出（类）行政事业单位医疗（款）事业单位医疗（项）20.00万元,主要是职工基本医疗保险缴费等支出，完成年初预算的101.88%，决算数与年初预算数存在差异的主要原因是医疗保险基数调整。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4.城乡社区支出20.00万元，具体包括：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公共设施（款）其他城乡社区公共设施支出（项）20.00万元,主要是委托业务费等支出，完成年初预算的2.48%，决算数与年初预算数存在差异的主要原因是根据城乡社区发展实际需求对于支出结构进行优化调整，减少了非必要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5.住房保障支出53.49万元，具体包括：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（1）住房保障支出（类）住房改革支出（款）住房公积金（项）53.49万元,主要是缴纳住房公积金等支出，完成年初预算的81.05%，决算数与年初预算数存在差异的主要原因是暂未支付高比例部分。</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无“三公”经费预算，未发生“三公”经费支出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无因公出国（境）费预算，未发生因公出国（境）费支出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本年与上年均未发生因公出国（境）费支出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无公务接待费预算，未发生公务接待费支出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本年与上年均未发生公务接待费支出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无公务用车购置及运行费预算，未发生公务用车购置及运行费支出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本年与上年均未发生公务用车购置及运行费支出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539.92</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514.48</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25.44</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浑南区财政事务服务中心为事业单位，无机关运行经费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0" w:space="720.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具体而言，本年度我部门共组织对8个项目实施了绩效评价。从预算资金来源看，涉及一般公共预算的项目8个，涉及政府性基金预算的项目0个，涉及国有资本经营预算的项目0个。</w:t>
        <w:br/>
        <w:t xml:space="preserve">        上述评价工作共涉及财政资金575.9万元。其中，一般公共预算资金575.9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2个；得分在80分（含）至90分、等级为“良”的项目有1个；得分在60分（含）至80分、等级为“中”的项目有2；得分在60分以下、等级为“差”的项目有3个。各项目自评发现，部分项目存在过程管理不够规范、绩效目标实现程度不足、项目资料归档不及时等问题，如：部分实施环节记录不完整、个别效益指标实际完成值与目标值存在差距、阶段性验收材料整理滞后。已要求相关项目单位分析原因并制定改进措施。</w:t>
        <w:br/>
        <w:t xml:space="preserve">        3.部门重点评价情况及结果。</w:t>
        <w:br/>
        <w:t xml:space="preserve">        本单位无部门重点评价项目。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0" w:space="720.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0" w:space="720.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单位：辽宁省沈阳市浑南区财政事务服务中心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20" w:type="dxa"/>
            <w:tcBorders/>
            <w:vAlign w:val="center"/>
          </w:tcPr>
          <w:p>
            <w:pPr>
              <w:jc w:val="center"/>
            </w:pPr>
            <w:r>
              <w:rPr>
                <w:rFonts w:ascii="宋体" w:eastAsia="宋体" w:hAnsi="宋体" w:cs="宋体"/>
                <w:b w:val="0"/>
                <w:i w:val="0"/>
                <w:color w:val="000000"/>
                <w:sz w:val="16"/>
              </w:rPr>
              <w:t xml:space="preserve">金额</w:t>
            </w:r>
          </w:p>
        </w:tc>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32" w:type="dxa"/>
            <w:tcBorders/>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584.46</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413.53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77.45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20.00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20.00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53.49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584.46</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584.46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584.46</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584.46</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单位：辽宁省沈阳市浑南区财政事务服务中心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tcBorders/>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tcBorders/>
            <w:vAlign w:val="center"/>
          </w:tcPr>
          <w:p>
            <w:pPr>
              <w:jc w:val="center"/>
            </w:pPr>
            <w:r>
              <w:rPr>
                <w:rFonts w:ascii="宋体" w:eastAsia="宋体" w:hAnsi="宋体" w:cs="宋体"/>
                <w:b w:val="0"/>
                <w:i w:val="0"/>
                <w:color w:val="000000"/>
                <w:sz w:val="13"/>
              </w:rPr>
              <w:t xml:space="preserve">科目名称</w:t>
            </w: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584.46</w:t>
            </w:r>
          </w:p>
        </w:tc>
        <w:tc>
          <w:tcPr>
            <w:tcW w:w="960" w:type="dxa"/>
            <w:tcBorders/>
            <w:vAlign w:val="center"/>
          </w:tcPr>
          <w:p>
            <w:pPr>
              <w:jc w:val="right"/>
            </w:pPr>
            <w:r>
              <w:rPr>
                <w:rFonts w:ascii="宋体" w:eastAsia="宋体" w:hAnsi="宋体" w:cs="宋体"/>
                <w:b/>
                <w:i w:val="0"/>
                <w:color w:val="000000"/>
                <w:sz w:val="13"/>
              </w:rPr>
              <w:t xml:space="preserve">584.46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413.53</w:t>
            </w:r>
          </w:p>
        </w:tc>
        <w:tc>
          <w:tcPr>
            <w:tcW w:w="960" w:type="dxa"/>
            <w:tcBorders/>
            <w:vAlign w:val="center"/>
          </w:tcPr>
          <w:p>
            <w:pPr>
              <w:jc w:val="right"/>
            </w:pPr>
            <w:r>
              <w:rPr>
                <w:rFonts w:ascii="宋体" w:eastAsia="宋体" w:hAnsi="宋体" w:cs="宋体"/>
                <w:b w:val="0"/>
                <w:i w:val="0"/>
                <w:color w:val="000000"/>
                <w:sz w:val="13"/>
              </w:rPr>
              <w:t xml:space="preserve">413.53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w:t>
            </w:r>
          </w:p>
        </w:tc>
        <w:tc>
          <w:tcPr>
            <w:tcW w:w="3200" w:type="dxa"/>
            <w:tcBorders/>
            <w:vAlign w:val="center"/>
          </w:tcPr>
          <w:p>
            <w:pPr>
              <w:jc w:val="left"/>
            </w:pPr>
            <w:r>
              <w:rPr>
                <w:rFonts w:ascii="宋体" w:eastAsia="宋体" w:hAnsi="宋体" w:cs="宋体"/>
                <w:b w:val="0"/>
                <w:i w:val="0"/>
                <w:color w:val="000000"/>
                <w:sz w:val="13"/>
              </w:rPr>
              <w:t xml:space="preserve">财政事务</w:t>
            </w:r>
          </w:p>
        </w:tc>
        <w:tc>
          <w:tcPr>
            <w:tcW w:w="960" w:type="dxa"/>
            <w:tcBorders/>
            <w:vAlign w:val="center"/>
          </w:tcPr>
          <w:p>
            <w:pPr>
              <w:jc w:val="right"/>
            </w:pPr>
            <w:r>
              <w:rPr>
                <w:rFonts w:ascii="宋体" w:eastAsia="宋体" w:hAnsi="宋体" w:cs="宋体"/>
                <w:b w:val="0"/>
                <w:i w:val="0"/>
                <w:color w:val="000000"/>
                <w:sz w:val="13"/>
              </w:rPr>
              <w:t xml:space="preserve">413.53</w:t>
            </w:r>
          </w:p>
        </w:tc>
        <w:tc>
          <w:tcPr>
            <w:tcW w:w="960" w:type="dxa"/>
            <w:tcBorders/>
            <w:vAlign w:val="center"/>
          </w:tcPr>
          <w:p>
            <w:pPr>
              <w:jc w:val="right"/>
            </w:pPr>
            <w:r>
              <w:rPr>
                <w:rFonts w:ascii="宋体" w:eastAsia="宋体" w:hAnsi="宋体" w:cs="宋体"/>
                <w:b w:val="0"/>
                <w:i w:val="0"/>
                <w:color w:val="000000"/>
                <w:sz w:val="13"/>
              </w:rPr>
              <w:t xml:space="preserve">413.53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388.98</w:t>
            </w:r>
          </w:p>
        </w:tc>
        <w:tc>
          <w:tcPr>
            <w:tcW w:w="960" w:type="dxa"/>
            <w:tcBorders/>
            <w:vAlign w:val="center"/>
          </w:tcPr>
          <w:p>
            <w:pPr>
              <w:jc w:val="right"/>
            </w:pPr>
            <w:r>
              <w:rPr>
                <w:rFonts w:ascii="宋体" w:eastAsia="宋体" w:hAnsi="宋体" w:cs="宋体"/>
                <w:b w:val="0"/>
                <w:i w:val="0"/>
                <w:color w:val="000000"/>
                <w:sz w:val="13"/>
              </w:rPr>
              <w:t xml:space="preserve">388.98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2010699</w:t>
            </w:r>
          </w:p>
        </w:tc>
        <w:tc>
          <w:tcPr>
            <w:tcW w:w="3200" w:type="dxa"/>
            <w:tcBorders/>
            <w:vAlign w:val="center"/>
          </w:tcPr>
          <w:p>
            <w:pPr>
              <w:jc w:val="left"/>
            </w:pPr>
            <w:r>
              <w:rPr>
                <w:rFonts w:ascii="宋体" w:eastAsia="宋体" w:hAnsi="宋体" w:cs="宋体"/>
                <w:b w:val="0"/>
                <w:i w:val="0"/>
                <w:color w:val="000000"/>
                <w:sz w:val="13"/>
              </w:rPr>
              <w:t xml:space="preserve">其他财政事务支出</w:t>
            </w:r>
          </w:p>
        </w:tc>
        <w:tc>
          <w:tcPr>
            <w:tcW w:w="960" w:type="dxa"/>
            <w:tcBorders/>
            <w:vAlign w:val="center"/>
          </w:tcPr>
          <w:p>
            <w:pPr>
              <w:jc w:val="right"/>
            </w:pPr>
            <w:r>
              <w:rPr>
                <w:rFonts w:ascii="宋体" w:eastAsia="宋体" w:hAnsi="宋体" w:cs="宋体"/>
                <w:b w:val="0"/>
                <w:i w:val="0"/>
                <w:color w:val="000000"/>
                <w:sz w:val="13"/>
              </w:rPr>
              <w:t xml:space="preserve">24.55</w:t>
            </w:r>
          </w:p>
        </w:tc>
        <w:tc>
          <w:tcPr>
            <w:tcW w:w="960" w:type="dxa"/>
            <w:tcBorders/>
            <w:vAlign w:val="center"/>
          </w:tcPr>
          <w:p>
            <w:pPr>
              <w:jc w:val="right"/>
            </w:pPr>
            <w:r>
              <w:rPr>
                <w:rFonts w:ascii="宋体" w:eastAsia="宋体" w:hAnsi="宋体" w:cs="宋体"/>
                <w:b w:val="0"/>
                <w:i w:val="0"/>
                <w:color w:val="000000"/>
                <w:sz w:val="13"/>
              </w:rPr>
              <w:t xml:space="preserve">24.55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77.45</w:t>
            </w:r>
          </w:p>
        </w:tc>
        <w:tc>
          <w:tcPr>
            <w:tcW w:w="960" w:type="dxa"/>
            <w:tcBorders/>
            <w:vAlign w:val="center"/>
          </w:tcPr>
          <w:p>
            <w:pPr>
              <w:jc w:val="right"/>
            </w:pPr>
            <w:r>
              <w:rPr>
                <w:rFonts w:ascii="宋体" w:eastAsia="宋体" w:hAnsi="宋体" w:cs="宋体"/>
                <w:b w:val="0"/>
                <w:i w:val="0"/>
                <w:color w:val="000000"/>
                <w:sz w:val="13"/>
              </w:rPr>
              <w:t xml:space="preserve">77.45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77.45</w:t>
            </w:r>
          </w:p>
        </w:tc>
        <w:tc>
          <w:tcPr>
            <w:tcW w:w="960" w:type="dxa"/>
            <w:tcBorders/>
            <w:vAlign w:val="center"/>
          </w:tcPr>
          <w:p>
            <w:pPr>
              <w:jc w:val="right"/>
            </w:pPr>
            <w:r>
              <w:rPr>
                <w:rFonts w:ascii="宋体" w:eastAsia="宋体" w:hAnsi="宋体" w:cs="宋体"/>
                <w:b w:val="0"/>
                <w:i w:val="0"/>
                <w:color w:val="000000"/>
                <w:sz w:val="13"/>
              </w:rPr>
              <w:t xml:space="preserve">77.45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3.64</w:t>
            </w:r>
          </w:p>
        </w:tc>
        <w:tc>
          <w:tcPr>
            <w:tcW w:w="960" w:type="dxa"/>
            <w:tcBorders/>
            <w:vAlign w:val="center"/>
          </w:tcPr>
          <w:p>
            <w:pPr>
              <w:jc w:val="right"/>
            </w:pPr>
            <w:r>
              <w:rPr>
                <w:rFonts w:ascii="宋体" w:eastAsia="宋体" w:hAnsi="宋体" w:cs="宋体"/>
                <w:b w:val="0"/>
                <w:i w:val="0"/>
                <w:color w:val="000000"/>
                <w:sz w:val="13"/>
              </w:rPr>
              <w:t xml:space="preserve">3.64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50.49</w:t>
            </w:r>
          </w:p>
        </w:tc>
        <w:tc>
          <w:tcPr>
            <w:tcW w:w="960" w:type="dxa"/>
            <w:tcBorders/>
            <w:vAlign w:val="center"/>
          </w:tcPr>
          <w:p>
            <w:pPr>
              <w:jc w:val="right"/>
            </w:pPr>
            <w:r>
              <w:rPr>
                <w:rFonts w:ascii="宋体" w:eastAsia="宋体" w:hAnsi="宋体" w:cs="宋体"/>
                <w:b w:val="0"/>
                <w:i w:val="0"/>
                <w:color w:val="000000"/>
                <w:sz w:val="13"/>
              </w:rPr>
              <w:t xml:space="preserve">50.49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23.32</w:t>
            </w:r>
          </w:p>
        </w:tc>
        <w:tc>
          <w:tcPr>
            <w:tcW w:w="960" w:type="dxa"/>
            <w:tcBorders/>
            <w:vAlign w:val="center"/>
          </w:tcPr>
          <w:p>
            <w:pPr>
              <w:jc w:val="right"/>
            </w:pPr>
            <w:r>
              <w:rPr>
                <w:rFonts w:ascii="宋体" w:eastAsia="宋体" w:hAnsi="宋体" w:cs="宋体"/>
                <w:b w:val="0"/>
                <w:i w:val="0"/>
                <w:color w:val="000000"/>
                <w:sz w:val="13"/>
              </w:rPr>
              <w:t xml:space="preserve">23.32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w:t>
            </w:r>
          </w:p>
        </w:tc>
        <w:tc>
          <w:tcPr>
            <w:tcW w:w="3200" w:type="dxa"/>
            <w:tcBorders/>
            <w:vAlign w:val="center"/>
          </w:tcPr>
          <w:p>
            <w:pPr>
              <w:jc w:val="left"/>
            </w:pPr>
            <w:r>
              <w:rPr>
                <w:rFonts w:ascii="宋体" w:eastAsia="宋体" w:hAnsi="宋体" w:cs="宋体"/>
                <w:b w:val="0"/>
                <w:i w:val="0"/>
                <w:color w:val="000000"/>
                <w:sz w:val="13"/>
              </w:rPr>
              <w:t xml:space="preserve">城乡社区公共设施</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2120399</w:t>
            </w:r>
          </w:p>
        </w:tc>
        <w:tc>
          <w:tcPr>
            <w:tcW w:w="3200" w:type="dxa"/>
            <w:tcBorders/>
            <w:vAlign w:val="center"/>
          </w:tcPr>
          <w:p>
            <w:pPr>
              <w:jc w:val="left"/>
            </w:pPr>
            <w:r>
              <w:rPr>
                <w:rFonts w:ascii="宋体" w:eastAsia="宋体" w:hAnsi="宋体" w:cs="宋体"/>
                <w:b w:val="0"/>
                <w:i w:val="0"/>
                <w:color w:val="000000"/>
                <w:sz w:val="13"/>
              </w:rPr>
              <w:t xml:space="preserve">其他城乡社区公共设施支出</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53.49</w:t>
            </w:r>
          </w:p>
        </w:tc>
        <w:tc>
          <w:tcPr>
            <w:tcW w:w="960" w:type="dxa"/>
            <w:tcBorders/>
            <w:vAlign w:val="center"/>
          </w:tcPr>
          <w:p>
            <w:pPr>
              <w:jc w:val="right"/>
            </w:pPr>
            <w:r>
              <w:rPr>
                <w:rFonts w:ascii="宋体" w:eastAsia="宋体" w:hAnsi="宋体" w:cs="宋体"/>
                <w:b w:val="0"/>
                <w:i w:val="0"/>
                <w:color w:val="000000"/>
                <w:sz w:val="13"/>
              </w:rPr>
              <w:t xml:space="preserve">53.49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53.49</w:t>
            </w:r>
          </w:p>
        </w:tc>
        <w:tc>
          <w:tcPr>
            <w:tcW w:w="960" w:type="dxa"/>
            <w:tcBorders/>
            <w:vAlign w:val="center"/>
          </w:tcPr>
          <w:p>
            <w:pPr>
              <w:jc w:val="right"/>
            </w:pPr>
            <w:r>
              <w:rPr>
                <w:rFonts w:ascii="宋体" w:eastAsia="宋体" w:hAnsi="宋体" w:cs="宋体"/>
                <w:b w:val="0"/>
                <w:i w:val="0"/>
                <w:color w:val="000000"/>
                <w:sz w:val="13"/>
              </w:rPr>
              <w:t xml:space="preserve">53.49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53.49</w:t>
            </w:r>
          </w:p>
        </w:tc>
        <w:tc>
          <w:tcPr>
            <w:tcW w:w="960" w:type="dxa"/>
            <w:tcBorders/>
            <w:vAlign w:val="center"/>
          </w:tcPr>
          <w:p>
            <w:pPr>
              <w:jc w:val="right"/>
            </w:pPr>
            <w:r>
              <w:rPr>
                <w:rFonts w:ascii="宋体" w:eastAsia="宋体" w:hAnsi="宋体" w:cs="宋体"/>
                <w:b w:val="0"/>
                <w:i w:val="0"/>
                <w:color w:val="000000"/>
                <w:sz w:val="13"/>
              </w:rPr>
              <w:t xml:space="preserve">53.49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单位：辽宁省沈阳市浑南区财政事务服务中心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tcBorders/>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tcBorders/>
            <w:vAlign w:val="center"/>
          </w:tcPr>
          <w:p>
            <w:pPr>
              <w:jc w:val="center"/>
            </w:pPr>
            <w:r>
              <w:rPr>
                <w:rFonts w:ascii="宋体" w:eastAsia="宋体" w:hAnsi="宋体" w:cs="宋体"/>
                <w:b w:val="0"/>
                <w:i w:val="0"/>
                <w:color w:val="000000"/>
                <w:sz w:val="14"/>
              </w:rPr>
              <w:t xml:space="preserve">科目名称</w:t>
            </w: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584.46</w:t>
            </w:r>
          </w:p>
        </w:tc>
        <w:tc>
          <w:tcPr>
            <w:tcW w:w="1060" w:type="dxa"/>
            <w:tcBorders/>
            <w:vAlign w:val="center"/>
          </w:tcPr>
          <w:p>
            <w:pPr>
              <w:jc w:val="right"/>
            </w:pPr>
            <w:r>
              <w:rPr>
                <w:rFonts w:ascii="宋体" w:eastAsia="宋体" w:hAnsi="宋体" w:cs="宋体"/>
                <w:b/>
                <w:i w:val="0"/>
                <w:color w:val="000000"/>
                <w:sz w:val="14"/>
              </w:rPr>
              <w:t xml:space="preserve">539.91</w:t>
            </w:r>
          </w:p>
        </w:tc>
        <w:tc>
          <w:tcPr>
            <w:tcW w:w="1060" w:type="dxa"/>
            <w:tcBorders/>
            <w:vAlign w:val="center"/>
          </w:tcPr>
          <w:p>
            <w:pPr>
              <w:jc w:val="right"/>
            </w:pPr>
            <w:r>
              <w:rPr>
                <w:rFonts w:ascii="宋体" w:eastAsia="宋体" w:hAnsi="宋体" w:cs="宋体"/>
                <w:b/>
                <w:i w:val="0"/>
                <w:color w:val="000000"/>
                <w:sz w:val="14"/>
              </w:rPr>
              <w:t xml:space="preserve">44.55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413.53</w:t>
            </w:r>
          </w:p>
        </w:tc>
        <w:tc>
          <w:tcPr>
            <w:tcW w:w="1060" w:type="dxa"/>
            <w:tcBorders/>
            <w:vAlign w:val="center"/>
          </w:tcPr>
          <w:p>
            <w:pPr>
              <w:jc w:val="right"/>
            </w:pPr>
            <w:r>
              <w:rPr>
                <w:rFonts w:ascii="宋体" w:eastAsia="宋体" w:hAnsi="宋体" w:cs="宋体"/>
                <w:b w:val="0"/>
                <w:i w:val="0"/>
                <w:color w:val="000000"/>
                <w:sz w:val="14"/>
              </w:rPr>
              <w:t xml:space="preserve">388.98</w:t>
            </w:r>
          </w:p>
        </w:tc>
        <w:tc>
          <w:tcPr>
            <w:tcW w:w="1060" w:type="dxa"/>
            <w:tcBorders/>
            <w:vAlign w:val="center"/>
          </w:tcPr>
          <w:p>
            <w:pPr>
              <w:jc w:val="right"/>
            </w:pPr>
            <w:r>
              <w:rPr>
                <w:rFonts w:ascii="宋体" w:eastAsia="宋体" w:hAnsi="宋体" w:cs="宋体"/>
                <w:b w:val="0"/>
                <w:i w:val="0"/>
                <w:color w:val="000000"/>
                <w:sz w:val="14"/>
              </w:rPr>
              <w:t xml:space="preserve">24.55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w:t>
            </w:r>
          </w:p>
        </w:tc>
        <w:tc>
          <w:tcPr>
            <w:tcW w:w="3440" w:type="dxa"/>
            <w:tcBorders/>
            <w:vAlign w:val="center"/>
          </w:tcPr>
          <w:p>
            <w:pPr>
              <w:jc w:val="left"/>
            </w:pPr>
            <w:r>
              <w:rPr>
                <w:rFonts w:ascii="宋体" w:eastAsia="宋体" w:hAnsi="宋体" w:cs="宋体"/>
                <w:b w:val="0"/>
                <w:i w:val="0"/>
                <w:color w:val="000000"/>
                <w:sz w:val="14"/>
              </w:rPr>
              <w:t xml:space="preserve">财政事务</w:t>
            </w:r>
          </w:p>
        </w:tc>
        <w:tc>
          <w:tcPr>
            <w:tcW w:w="1060" w:type="dxa"/>
            <w:tcBorders/>
            <w:vAlign w:val="center"/>
          </w:tcPr>
          <w:p>
            <w:pPr>
              <w:jc w:val="right"/>
            </w:pPr>
            <w:r>
              <w:rPr>
                <w:rFonts w:ascii="宋体" w:eastAsia="宋体" w:hAnsi="宋体" w:cs="宋体"/>
                <w:b w:val="0"/>
                <w:i w:val="0"/>
                <w:color w:val="000000"/>
                <w:sz w:val="14"/>
              </w:rPr>
              <w:t xml:space="preserve">413.53</w:t>
            </w:r>
          </w:p>
        </w:tc>
        <w:tc>
          <w:tcPr>
            <w:tcW w:w="1060" w:type="dxa"/>
            <w:tcBorders/>
            <w:vAlign w:val="center"/>
          </w:tcPr>
          <w:p>
            <w:pPr>
              <w:jc w:val="right"/>
            </w:pPr>
            <w:r>
              <w:rPr>
                <w:rFonts w:ascii="宋体" w:eastAsia="宋体" w:hAnsi="宋体" w:cs="宋体"/>
                <w:b w:val="0"/>
                <w:i w:val="0"/>
                <w:color w:val="000000"/>
                <w:sz w:val="14"/>
              </w:rPr>
              <w:t xml:space="preserve">388.98</w:t>
            </w:r>
          </w:p>
        </w:tc>
        <w:tc>
          <w:tcPr>
            <w:tcW w:w="1060" w:type="dxa"/>
            <w:tcBorders/>
            <w:vAlign w:val="center"/>
          </w:tcPr>
          <w:p>
            <w:pPr>
              <w:jc w:val="right"/>
            </w:pPr>
            <w:r>
              <w:rPr>
                <w:rFonts w:ascii="宋体" w:eastAsia="宋体" w:hAnsi="宋体" w:cs="宋体"/>
                <w:b w:val="0"/>
                <w:i w:val="0"/>
                <w:color w:val="000000"/>
                <w:sz w:val="14"/>
              </w:rPr>
              <w:t xml:space="preserve">24.55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388.98</w:t>
            </w:r>
          </w:p>
        </w:tc>
        <w:tc>
          <w:tcPr>
            <w:tcW w:w="1060" w:type="dxa"/>
            <w:tcBorders/>
            <w:vAlign w:val="center"/>
          </w:tcPr>
          <w:p>
            <w:pPr>
              <w:jc w:val="right"/>
            </w:pPr>
            <w:r>
              <w:rPr>
                <w:rFonts w:ascii="宋体" w:eastAsia="宋体" w:hAnsi="宋体" w:cs="宋体"/>
                <w:b w:val="0"/>
                <w:i w:val="0"/>
                <w:color w:val="000000"/>
                <w:sz w:val="14"/>
              </w:rPr>
              <w:t xml:space="preserve">388.98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2010699</w:t>
            </w:r>
          </w:p>
        </w:tc>
        <w:tc>
          <w:tcPr>
            <w:tcW w:w="3440" w:type="dxa"/>
            <w:tcBorders/>
            <w:vAlign w:val="center"/>
          </w:tcPr>
          <w:p>
            <w:pPr>
              <w:jc w:val="left"/>
            </w:pPr>
            <w:r>
              <w:rPr>
                <w:rFonts w:ascii="宋体" w:eastAsia="宋体" w:hAnsi="宋体" w:cs="宋体"/>
                <w:b w:val="0"/>
                <w:i w:val="0"/>
                <w:color w:val="000000"/>
                <w:sz w:val="14"/>
              </w:rPr>
              <w:t xml:space="preserve">其他财政事务支出</w:t>
            </w:r>
          </w:p>
        </w:tc>
        <w:tc>
          <w:tcPr>
            <w:tcW w:w="1060" w:type="dxa"/>
            <w:tcBorders/>
            <w:vAlign w:val="center"/>
          </w:tcPr>
          <w:p>
            <w:pPr>
              <w:jc w:val="right"/>
            </w:pPr>
            <w:r>
              <w:rPr>
                <w:rFonts w:ascii="宋体" w:eastAsia="宋体" w:hAnsi="宋体" w:cs="宋体"/>
                <w:b w:val="0"/>
                <w:i w:val="0"/>
                <w:color w:val="000000"/>
                <w:sz w:val="14"/>
              </w:rPr>
              <w:t xml:space="preserve">24.55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24.55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77.45</w:t>
            </w:r>
          </w:p>
        </w:tc>
        <w:tc>
          <w:tcPr>
            <w:tcW w:w="1060" w:type="dxa"/>
            <w:tcBorders/>
            <w:vAlign w:val="center"/>
          </w:tcPr>
          <w:p>
            <w:pPr>
              <w:jc w:val="right"/>
            </w:pPr>
            <w:r>
              <w:rPr>
                <w:rFonts w:ascii="宋体" w:eastAsia="宋体" w:hAnsi="宋体" w:cs="宋体"/>
                <w:b w:val="0"/>
                <w:i w:val="0"/>
                <w:color w:val="000000"/>
                <w:sz w:val="14"/>
              </w:rPr>
              <w:t xml:space="preserve">77.45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77.45</w:t>
            </w:r>
          </w:p>
        </w:tc>
        <w:tc>
          <w:tcPr>
            <w:tcW w:w="1060" w:type="dxa"/>
            <w:tcBorders/>
            <w:vAlign w:val="center"/>
          </w:tcPr>
          <w:p>
            <w:pPr>
              <w:jc w:val="right"/>
            </w:pPr>
            <w:r>
              <w:rPr>
                <w:rFonts w:ascii="宋体" w:eastAsia="宋体" w:hAnsi="宋体" w:cs="宋体"/>
                <w:b w:val="0"/>
                <w:i w:val="0"/>
                <w:color w:val="000000"/>
                <w:sz w:val="14"/>
              </w:rPr>
              <w:t xml:space="preserve">77.45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3.64</w:t>
            </w:r>
          </w:p>
        </w:tc>
        <w:tc>
          <w:tcPr>
            <w:tcW w:w="1060" w:type="dxa"/>
            <w:tcBorders/>
            <w:vAlign w:val="center"/>
          </w:tcPr>
          <w:p>
            <w:pPr>
              <w:jc w:val="right"/>
            </w:pPr>
            <w:r>
              <w:rPr>
                <w:rFonts w:ascii="宋体" w:eastAsia="宋体" w:hAnsi="宋体" w:cs="宋体"/>
                <w:b w:val="0"/>
                <w:i w:val="0"/>
                <w:color w:val="000000"/>
                <w:sz w:val="14"/>
              </w:rPr>
              <w:t xml:space="preserve">3.64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50.49</w:t>
            </w:r>
          </w:p>
        </w:tc>
        <w:tc>
          <w:tcPr>
            <w:tcW w:w="1060" w:type="dxa"/>
            <w:tcBorders/>
            <w:vAlign w:val="center"/>
          </w:tcPr>
          <w:p>
            <w:pPr>
              <w:jc w:val="right"/>
            </w:pPr>
            <w:r>
              <w:rPr>
                <w:rFonts w:ascii="宋体" w:eastAsia="宋体" w:hAnsi="宋体" w:cs="宋体"/>
                <w:b w:val="0"/>
                <w:i w:val="0"/>
                <w:color w:val="000000"/>
                <w:sz w:val="14"/>
              </w:rPr>
              <w:t xml:space="preserve">50.49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23.32</w:t>
            </w:r>
          </w:p>
        </w:tc>
        <w:tc>
          <w:tcPr>
            <w:tcW w:w="1060" w:type="dxa"/>
            <w:tcBorders/>
            <w:vAlign w:val="center"/>
          </w:tcPr>
          <w:p>
            <w:pPr>
              <w:jc w:val="right"/>
            </w:pPr>
            <w:r>
              <w:rPr>
                <w:rFonts w:ascii="宋体" w:eastAsia="宋体" w:hAnsi="宋体" w:cs="宋体"/>
                <w:b w:val="0"/>
                <w:i w:val="0"/>
                <w:color w:val="000000"/>
                <w:sz w:val="14"/>
              </w:rPr>
              <w:t xml:space="preserve">23.32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w:t>
            </w:r>
          </w:p>
        </w:tc>
        <w:tc>
          <w:tcPr>
            <w:tcW w:w="3440" w:type="dxa"/>
            <w:tcBorders/>
            <w:vAlign w:val="center"/>
          </w:tcPr>
          <w:p>
            <w:pPr>
              <w:jc w:val="left"/>
            </w:pPr>
            <w:r>
              <w:rPr>
                <w:rFonts w:ascii="宋体" w:eastAsia="宋体" w:hAnsi="宋体" w:cs="宋体"/>
                <w:b w:val="0"/>
                <w:i w:val="0"/>
                <w:color w:val="000000"/>
                <w:sz w:val="14"/>
              </w:rPr>
              <w:t xml:space="preserve">城乡社区公共设施</w:t>
            </w: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2120399</w:t>
            </w:r>
          </w:p>
        </w:tc>
        <w:tc>
          <w:tcPr>
            <w:tcW w:w="3440" w:type="dxa"/>
            <w:tcBorders/>
            <w:vAlign w:val="center"/>
          </w:tcPr>
          <w:p>
            <w:pPr>
              <w:jc w:val="left"/>
            </w:pPr>
            <w:r>
              <w:rPr>
                <w:rFonts w:ascii="宋体" w:eastAsia="宋体" w:hAnsi="宋体" w:cs="宋体"/>
                <w:b w:val="0"/>
                <w:i w:val="0"/>
                <w:color w:val="000000"/>
                <w:sz w:val="14"/>
              </w:rPr>
              <w:t xml:space="preserve">其他城乡社区公共设施支出</w:t>
            </w: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53.49</w:t>
            </w:r>
          </w:p>
        </w:tc>
        <w:tc>
          <w:tcPr>
            <w:tcW w:w="1060" w:type="dxa"/>
            <w:tcBorders/>
            <w:vAlign w:val="center"/>
          </w:tcPr>
          <w:p>
            <w:pPr>
              <w:jc w:val="right"/>
            </w:pPr>
            <w:r>
              <w:rPr>
                <w:rFonts w:ascii="宋体" w:eastAsia="宋体" w:hAnsi="宋体" w:cs="宋体"/>
                <w:b w:val="0"/>
                <w:i w:val="0"/>
                <w:color w:val="000000"/>
                <w:sz w:val="14"/>
              </w:rPr>
              <w:t xml:space="preserve">53.49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53.49</w:t>
            </w:r>
          </w:p>
        </w:tc>
        <w:tc>
          <w:tcPr>
            <w:tcW w:w="1060" w:type="dxa"/>
            <w:tcBorders/>
            <w:vAlign w:val="center"/>
          </w:tcPr>
          <w:p>
            <w:pPr>
              <w:jc w:val="right"/>
            </w:pPr>
            <w:r>
              <w:rPr>
                <w:rFonts w:ascii="宋体" w:eastAsia="宋体" w:hAnsi="宋体" w:cs="宋体"/>
                <w:b w:val="0"/>
                <w:i w:val="0"/>
                <w:color w:val="000000"/>
                <w:sz w:val="14"/>
              </w:rPr>
              <w:t xml:space="preserve">53.49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53.49</w:t>
            </w:r>
          </w:p>
        </w:tc>
        <w:tc>
          <w:tcPr>
            <w:tcW w:w="1060" w:type="dxa"/>
            <w:tcBorders/>
            <w:vAlign w:val="center"/>
          </w:tcPr>
          <w:p>
            <w:pPr>
              <w:jc w:val="right"/>
            </w:pPr>
            <w:r>
              <w:rPr>
                <w:rFonts w:ascii="宋体" w:eastAsia="宋体" w:hAnsi="宋体" w:cs="宋体"/>
                <w:b w:val="0"/>
                <w:i w:val="0"/>
                <w:color w:val="000000"/>
                <w:sz w:val="14"/>
              </w:rPr>
              <w:t xml:space="preserve">53.49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单位：辽宁省沈阳市浑南区财政事务服务中心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金额</w:t>
            </w:r>
          </w:p>
        </w:tc>
        <w:tc>
          <w:tcPr>
            <w:tcW w:w="238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合计</w:t>
            </w:r>
          </w:p>
        </w:tc>
        <w:tc>
          <w:tcPr>
            <w:tcW w:w="1100" w:type="dxa"/>
            <w:vMerge w:val="restart"/>
            <w:tcBorders/>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tcBorders/>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tcBorders/>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584.46</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413.53</w:t>
            </w:r>
          </w:p>
        </w:tc>
        <w:tc>
          <w:tcPr>
            <w:tcW w:w="1100" w:type="dxa"/>
            <w:tcBorders/>
            <w:vAlign w:val="center"/>
          </w:tcPr>
          <w:p>
            <w:pPr>
              <w:jc w:val="right"/>
            </w:pPr>
            <w:r>
              <w:rPr>
                <w:rFonts w:ascii="宋体" w:eastAsia="宋体" w:hAnsi="宋体" w:cs="宋体"/>
                <w:b w:val="0"/>
                <w:i w:val="0"/>
                <w:color w:val="000000"/>
                <w:sz w:val="14"/>
              </w:rPr>
              <w:t xml:space="preserve">413.53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77.45</w:t>
            </w:r>
          </w:p>
        </w:tc>
        <w:tc>
          <w:tcPr>
            <w:tcW w:w="1100" w:type="dxa"/>
            <w:tcBorders/>
            <w:vAlign w:val="center"/>
          </w:tcPr>
          <w:p>
            <w:pPr>
              <w:jc w:val="right"/>
            </w:pPr>
            <w:r>
              <w:rPr>
                <w:rFonts w:ascii="宋体" w:eastAsia="宋体" w:hAnsi="宋体" w:cs="宋体"/>
                <w:b w:val="0"/>
                <w:i w:val="0"/>
                <w:color w:val="000000"/>
                <w:sz w:val="14"/>
              </w:rPr>
              <w:t xml:space="preserve">77.45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20.00</w:t>
            </w:r>
          </w:p>
        </w:tc>
        <w:tc>
          <w:tcPr>
            <w:tcW w:w="1100" w:type="dxa"/>
            <w:tcBorders/>
            <w:vAlign w:val="center"/>
          </w:tcPr>
          <w:p>
            <w:pPr>
              <w:jc w:val="right"/>
            </w:pPr>
            <w:r>
              <w:rPr>
                <w:rFonts w:ascii="宋体" w:eastAsia="宋体" w:hAnsi="宋体" w:cs="宋体"/>
                <w:b w:val="0"/>
                <w:i w:val="0"/>
                <w:color w:val="000000"/>
                <w:sz w:val="14"/>
              </w:rPr>
              <w:t xml:space="preserve">20.00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20.00</w:t>
            </w:r>
          </w:p>
        </w:tc>
        <w:tc>
          <w:tcPr>
            <w:tcW w:w="1100" w:type="dxa"/>
            <w:tcBorders/>
            <w:vAlign w:val="center"/>
          </w:tcPr>
          <w:p>
            <w:pPr>
              <w:jc w:val="right"/>
            </w:pPr>
            <w:r>
              <w:rPr>
                <w:rFonts w:ascii="宋体" w:eastAsia="宋体" w:hAnsi="宋体" w:cs="宋体"/>
                <w:b w:val="0"/>
                <w:i w:val="0"/>
                <w:color w:val="000000"/>
                <w:sz w:val="14"/>
              </w:rPr>
              <w:t xml:space="preserve">20.00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53.49</w:t>
            </w:r>
          </w:p>
        </w:tc>
        <w:tc>
          <w:tcPr>
            <w:tcW w:w="1100" w:type="dxa"/>
            <w:tcBorders/>
            <w:vAlign w:val="center"/>
          </w:tcPr>
          <w:p>
            <w:pPr>
              <w:jc w:val="right"/>
            </w:pPr>
            <w:r>
              <w:rPr>
                <w:rFonts w:ascii="宋体" w:eastAsia="宋体" w:hAnsi="宋体" w:cs="宋体"/>
                <w:b w:val="0"/>
                <w:i w:val="0"/>
                <w:color w:val="000000"/>
                <w:sz w:val="14"/>
              </w:rPr>
              <w:t xml:space="preserve">53.49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584.46</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584.46</w:t>
            </w:r>
          </w:p>
        </w:tc>
        <w:tc>
          <w:tcPr>
            <w:tcW w:w="1100" w:type="dxa"/>
            <w:tcBorders/>
            <w:vAlign w:val="center"/>
          </w:tcPr>
          <w:p>
            <w:pPr>
              <w:jc w:val="right"/>
            </w:pPr>
            <w:r>
              <w:rPr>
                <w:rFonts w:ascii="宋体" w:eastAsia="宋体" w:hAnsi="宋体" w:cs="宋体"/>
                <w:b w:val="0"/>
                <w:i w:val="0"/>
                <w:color w:val="000000"/>
                <w:sz w:val="14"/>
              </w:rPr>
              <w:t xml:space="preserve">584.46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584.46</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584.46</w:t>
            </w:r>
          </w:p>
        </w:tc>
        <w:tc>
          <w:tcPr>
            <w:tcW w:w="1100" w:type="dxa"/>
            <w:tcBorders/>
            <w:vAlign w:val="center"/>
          </w:tcPr>
          <w:p>
            <w:pPr>
              <w:jc w:val="right"/>
            </w:pPr>
            <w:r>
              <w:rPr>
                <w:rFonts w:ascii="宋体" w:eastAsia="宋体" w:hAnsi="宋体" w:cs="宋体"/>
                <w:b w:val="0"/>
                <w:i w:val="0"/>
                <w:color w:val="000000"/>
                <w:sz w:val="14"/>
              </w:rPr>
              <w:t xml:space="preserve">584.46</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单位：辽宁省沈阳市浑南区财政事务服务中心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tcBorders/>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tcBorders/>
            <w:vAlign w:val="center"/>
          </w:tcPr>
          <w:p>
            <w:pPr>
              <w:jc w:val="center"/>
            </w:pPr>
            <w:r>
              <w:rPr>
                <w:rFonts w:ascii="宋体" w:eastAsia="宋体" w:hAnsi="宋体" w:cs="宋体"/>
                <w:b w:val="0"/>
                <w:i w:val="0"/>
                <w:color w:val="000000"/>
                <w:sz w:val="18"/>
              </w:rPr>
              <w:t xml:space="preserve">科目名称</w:t>
            </w:r>
          </w:p>
        </w:tc>
        <w:tc>
          <w:tcPr>
            <w:tcW w:w="1780" w:type="dxa"/>
            <w:vMerge w:val="restart"/>
            <w:tcBorders/>
            <w:vAlign w:val="center"/>
          </w:tcPr>
          <w:p>
            <w:pPr>
              <w:jc w:val="center"/>
            </w:pPr>
            <w:r>
              <w:rPr>
                <w:rFonts w:ascii="宋体" w:eastAsia="宋体" w:hAnsi="宋体" w:cs="宋体"/>
                <w:b w:val="0"/>
                <w:i w:val="0"/>
                <w:color w:val="000000"/>
                <w:sz w:val="18"/>
              </w:rPr>
              <w:t xml:space="preserve">小计</w:t>
            </w:r>
          </w:p>
        </w:tc>
        <w:tc>
          <w:tcPr>
            <w:tcW w:w="1780" w:type="dxa"/>
            <w:vMerge w:val="restart"/>
            <w:tcBorders/>
            <w:vAlign w:val="center"/>
          </w:tcPr>
          <w:p>
            <w:pPr>
              <w:jc w:val="center"/>
            </w:pPr>
            <w:r>
              <w:rPr>
                <w:rFonts w:ascii="宋体" w:eastAsia="宋体" w:hAnsi="宋体" w:cs="宋体"/>
                <w:b w:val="0"/>
                <w:i w:val="0"/>
                <w:color w:val="000000"/>
                <w:sz w:val="18"/>
              </w:rPr>
              <w:t xml:space="preserve">基本支出</w:t>
            </w:r>
          </w:p>
        </w:tc>
        <w:tc>
          <w:tcPr>
            <w:tcW w:w="1772" w:type="dxa"/>
            <w:vMerge w:val="restart"/>
            <w:tcBorders/>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584.46</w:t>
            </w:r>
          </w:p>
        </w:tc>
        <w:tc>
          <w:tcPr>
            <w:tcW w:w="1780" w:type="dxa"/>
            <w:tcBorders/>
            <w:vAlign w:val="center"/>
          </w:tcPr>
          <w:p>
            <w:pPr>
              <w:jc w:val="right"/>
            </w:pPr>
            <w:r>
              <w:rPr>
                <w:rFonts w:ascii="宋体" w:eastAsia="宋体" w:hAnsi="宋体" w:cs="宋体"/>
                <w:b/>
                <w:i w:val="0"/>
                <w:color w:val="000000"/>
                <w:sz w:val="18"/>
              </w:rPr>
              <w:t xml:space="preserve">539.91</w:t>
            </w:r>
          </w:p>
        </w:tc>
        <w:tc>
          <w:tcPr>
            <w:tcW w:w="1772" w:type="dxa"/>
            <w:tcBorders/>
            <w:vAlign w:val="center"/>
          </w:tcPr>
          <w:p>
            <w:pPr>
              <w:jc w:val="right"/>
            </w:pPr>
            <w:r>
              <w:rPr>
                <w:rFonts w:ascii="宋体" w:eastAsia="宋体" w:hAnsi="宋体" w:cs="宋体"/>
                <w:b/>
                <w:i w:val="0"/>
                <w:color w:val="000000"/>
                <w:sz w:val="18"/>
              </w:rPr>
              <w:t xml:space="preserve">44.55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413.53</w:t>
            </w:r>
          </w:p>
        </w:tc>
        <w:tc>
          <w:tcPr>
            <w:tcW w:w="1780" w:type="dxa"/>
            <w:tcBorders/>
            <w:vAlign w:val="center"/>
          </w:tcPr>
          <w:p>
            <w:pPr>
              <w:jc w:val="right"/>
            </w:pPr>
            <w:r>
              <w:rPr>
                <w:rFonts w:ascii="宋体" w:eastAsia="宋体" w:hAnsi="宋体" w:cs="宋体"/>
                <w:b w:val="0"/>
                <w:i w:val="0"/>
                <w:color w:val="000000"/>
                <w:sz w:val="18"/>
              </w:rPr>
              <w:t xml:space="preserve">388.98</w:t>
            </w:r>
          </w:p>
        </w:tc>
        <w:tc>
          <w:tcPr>
            <w:tcW w:w="1772" w:type="dxa"/>
            <w:tcBorders/>
            <w:vAlign w:val="center"/>
          </w:tcPr>
          <w:p>
            <w:pPr>
              <w:jc w:val="right"/>
            </w:pPr>
            <w:r>
              <w:rPr>
                <w:rFonts w:ascii="宋体" w:eastAsia="宋体" w:hAnsi="宋体" w:cs="宋体"/>
                <w:b w:val="0"/>
                <w:i w:val="0"/>
                <w:color w:val="000000"/>
                <w:sz w:val="18"/>
              </w:rPr>
              <w:t xml:space="preserve">24.55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w:t>
            </w:r>
          </w:p>
        </w:tc>
        <w:tc>
          <w:tcPr>
            <w:tcW w:w="4300" w:type="dxa"/>
            <w:tcBorders/>
            <w:vAlign w:val="center"/>
          </w:tcPr>
          <w:p>
            <w:pPr>
              <w:jc w:val="left"/>
            </w:pPr>
            <w:r>
              <w:rPr>
                <w:rFonts w:ascii="宋体" w:eastAsia="宋体" w:hAnsi="宋体" w:cs="宋体"/>
                <w:b w:val="0"/>
                <w:i w:val="0"/>
                <w:color w:val="000000"/>
                <w:sz w:val="18"/>
              </w:rPr>
              <w:t xml:space="preserve">财政事务</w:t>
            </w:r>
          </w:p>
        </w:tc>
        <w:tc>
          <w:tcPr>
            <w:tcW w:w="1780" w:type="dxa"/>
            <w:tcBorders/>
            <w:vAlign w:val="center"/>
          </w:tcPr>
          <w:p>
            <w:pPr>
              <w:jc w:val="right"/>
            </w:pPr>
            <w:r>
              <w:rPr>
                <w:rFonts w:ascii="宋体" w:eastAsia="宋体" w:hAnsi="宋体" w:cs="宋体"/>
                <w:b w:val="0"/>
                <w:i w:val="0"/>
                <w:color w:val="000000"/>
                <w:sz w:val="18"/>
              </w:rPr>
              <w:t xml:space="preserve">413.53</w:t>
            </w:r>
          </w:p>
        </w:tc>
        <w:tc>
          <w:tcPr>
            <w:tcW w:w="1780" w:type="dxa"/>
            <w:tcBorders/>
            <w:vAlign w:val="center"/>
          </w:tcPr>
          <w:p>
            <w:pPr>
              <w:jc w:val="right"/>
            </w:pPr>
            <w:r>
              <w:rPr>
                <w:rFonts w:ascii="宋体" w:eastAsia="宋体" w:hAnsi="宋体" w:cs="宋体"/>
                <w:b w:val="0"/>
                <w:i w:val="0"/>
                <w:color w:val="000000"/>
                <w:sz w:val="18"/>
              </w:rPr>
              <w:t xml:space="preserve">388.98</w:t>
            </w:r>
          </w:p>
        </w:tc>
        <w:tc>
          <w:tcPr>
            <w:tcW w:w="1772" w:type="dxa"/>
            <w:tcBorders/>
            <w:vAlign w:val="center"/>
          </w:tcPr>
          <w:p>
            <w:pPr>
              <w:jc w:val="right"/>
            </w:pPr>
            <w:r>
              <w:rPr>
                <w:rFonts w:ascii="宋体" w:eastAsia="宋体" w:hAnsi="宋体" w:cs="宋体"/>
                <w:b w:val="0"/>
                <w:i w:val="0"/>
                <w:color w:val="000000"/>
                <w:sz w:val="18"/>
              </w:rPr>
              <w:t xml:space="preserve">24.55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388.98</w:t>
            </w:r>
          </w:p>
        </w:tc>
        <w:tc>
          <w:tcPr>
            <w:tcW w:w="1780" w:type="dxa"/>
            <w:tcBorders/>
            <w:vAlign w:val="center"/>
          </w:tcPr>
          <w:p>
            <w:pPr>
              <w:jc w:val="right"/>
            </w:pPr>
            <w:r>
              <w:rPr>
                <w:rFonts w:ascii="宋体" w:eastAsia="宋体" w:hAnsi="宋体" w:cs="宋体"/>
                <w:b w:val="0"/>
                <w:i w:val="0"/>
                <w:color w:val="000000"/>
                <w:sz w:val="18"/>
              </w:rPr>
              <w:t xml:space="preserve">388.98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2010699</w:t>
            </w:r>
          </w:p>
        </w:tc>
        <w:tc>
          <w:tcPr>
            <w:tcW w:w="4300" w:type="dxa"/>
            <w:tcBorders/>
            <w:vAlign w:val="center"/>
          </w:tcPr>
          <w:p>
            <w:pPr>
              <w:jc w:val="left"/>
            </w:pPr>
            <w:r>
              <w:rPr>
                <w:rFonts w:ascii="宋体" w:eastAsia="宋体" w:hAnsi="宋体" w:cs="宋体"/>
                <w:b w:val="0"/>
                <w:i w:val="0"/>
                <w:color w:val="000000"/>
                <w:sz w:val="18"/>
              </w:rPr>
              <w:t xml:space="preserve">其他财政事务支出</w:t>
            </w:r>
          </w:p>
        </w:tc>
        <w:tc>
          <w:tcPr>
            <w:tcW w:w="1780" w:type="dxa"/>
            <w:tcBorders/>
            <w:vAlign w:val="center"/>
          </w:tcPr>
          <w:p>
            <w:pPr>
              <w:jc w:val="right"/>
            </w:pPr>
            <w:r>
              <w:rPr>
                <w:rFonts w:ascii="宋体" w:eastAsia="宋体" w:hAnsi="宋体" w:cs="宋体"/>
                <w:b w:val="0"/>
                <w:i w:val="0"/>
                <w:color w:val="000000"/>
                <w:sz w:val="18"/>
              </w:rPr>
              <w:t xml:space="preserve">24.55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24.55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77.45</w:t>
            </w:r>
          </w:p>
        </w:tc>
        <w:tc>
          <w:tcPr>
            <w:tcW w:w="1780" w:type="dxa"/>
            <w:tcBorders/>
            <w:vAlign w:val="center"/>
          </w:tcPr>
          <w:p>
            <w:pPr>
              <w:jc w:val="right"/>
            </w:pPr>
            <w:r>
              <w:rPr>
                <w:rFonts w:ascii="宋体" w:eastAsia="宋体" w:hAnsi="宋体" w:cs="宋体"/>
                <w:b w:val="0"/>
                <w:i w:val="0"/>
                <w:color w:val="000000"/>
                <w:sz w:val="18"/>
              </w:rPr>
              <w:t xml:space="preserve">77.45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77.45</w:t>
            </w:r>
          </w:p>
        </w:tc>
        <w:tc>
          <w:tcPr>
            <w:tcW w:w="1780" w:type="dxa"/>
            <w:tcBorders/>
            <w:vAlign w:val="center"/>
          </w:tcPr>
          <w:p>
            <w:pPr>
              <w:jc w:val="right"/>
            </w:pPr>
            <w:r>
              <w:rPr>
                <w:rFonts w:ascii="宋体" w:eastAsia="宋体" w:hAnsi="宋体" w:cs="宋体"/>
                <w:b w:val="0"/>
                <w:i w:val="0"/>
                <w:color w:val="000000"/>
                <w:sz w:val="18"/>
              </w:rPr>
              <w:t xml:space="preserve">77.45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3.64</w:t>
            </w:r>
          </w:p>
        </w:tc>
        <w:tc>
          <w:tcPr>
            <w:tcW w:w="1780" w:type="dxa"/>
            <w:tcBorders/>
            <w:vAlign w:val="center"/>
          </w:tcPr>
          <w:p>
            <w:pPr>
              <w:jc w:val="right"/>
            </w:pPr>
            <w:r>
              <w:rPr>
                <w:rFonts w:ascii="宋体" w:eastAsia="宋体" w:hAnsi="宋体" w:cs="宋体"/>
                <w:b w:val="0"/>
                <w:i w:val="0"/>
                <w:color w:val="000000"/>
                <w:sz w:val="18"/>
              </w:rPr>
              <w:t xml:space="preserve">3.64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50.49</w:t>
            </w:r>
          </w:p>
        </w:tc>
        <w:tc>
          <w:tcPr>
            <w:tcW w:w="1780" w:type="dxa"/>
            <w:tcBorders/>
            <w:vAlign w:val="center"/>
          </w:tcPr>
          <w:p>
            <w:pPr>
              <w:jc w:val="right"/>
            </w:pPr>
            <w:r>
              <w:rPr>
                <w:rFonts w:ascii="宋体" w:eastAsia="宋体" w:hAnsi="宋体" w:cs="宋体"/>
                <w:b w:val="0"/>
                <w:i w:val="0"/>
                <w:color w:val="000000"/>
                <w:sz w:val="18"/>
              </w:rPr>
              <w:t xml:space="preserve">50.49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23.32</w:t>
            </w:r>
          </w:p>
        </w:tc>
        <w:tc>
          <w:tcPr>
            <w:tcW w:w="1780" w:type="dxa"/>
            <w:tcBorders/>
            <w:vAlign w:val="center"/>
          </w:tcPr>
          <w:p>
            <w:pPr>
              <w:jc w:val="right"/>
            </w:pPr>
            <w:r>
              <w:rPr>
                <w:rFonts w:ascii="宋体" w:eastAsia="宋体" w:hAnsi="宋体" w:cs="宋体"/>
                <w:b w:val="0"/>
                <w:i w:val="0"/>
                <w:color w:val="000000"/>
                <w:sz w:val="18"/>
              </w:rPr>
              <w:t xml:space="preserve">23.32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20.00</w:t>
            </w:r>
          </w:p>
        </w:tc>
        <w:tc>
          <w:tcPr>
            <w:tcW w:w="1780" w:type="dxa"/>
            <w:tcBorders/>
            <w:vAlign w:val="center"/>
          </w:tcPr>
          <w:p>
            <w:pPr>
              <w:jc w:val="right"/>
            </w:pPr>
            <w:r>
              <w:rPr>
                <w:rFonts w:ascii="宋体" w:eastAsia="宋体" w:hAnsi="宋体" w:cs="宋体"/>
                <w:b w:val="0"/>
                <w:i w:val="0"/>
                <w:color w:val="000000"/>
                <w:sz w:val="18"/>
              </w:rPr>
              <w:t xml:space="preserve">20.00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20.00</w:t>
            </w:r>
          </w:p>
        </w:tc>
        <w:tc>
          <w:tcPr>
            <w:tcW w:w="1780" w:type="dxa"/>
            <w:tcBorders/>
            <w:vAlign w:val="center"/>
          </w:tcPr>
          <w:p>
            <w:pPr>
              <w:jc w:val="right"/>
            </w:pPr>
            <w:r>
              <w:rPr>
                <w:rFonts w:ascii="宋体" w:eastAsia="宋体" w:hAnsi="宋体" w:cs="宋体"/>
                <w:b w:val="0"/>
                <w:i w:val="0"/>
                <w:color w:val="000000"/>
                <w:sz w:val="18"/>
              </w:rPr>
              <w:t xml:space="preserve">20.00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20.00</w:t>
            </w:r>
          </w:p>
        </w:tc>
        <w:tc>
          <w:tcPr>
            <w:tcW w:w="1780" w:type="dxa"/>
            <w:tcBorders/>
            <w:vAlign w:val="center"/>
          </w:tcPr>
          <w:p>
            <w:pPr>
              <w:jc w:val="right"/>
            </w:pPr>
            <w:r>
              <w:rPr>
                <w:rFonts w:ascii="宋体" w:eastAsia="宋体" w:hAnsi="宋体" w:cs="宋体"/>
                <w:b w:val="0"/>
                <w:i w:val="0"/>
                <w:color w:val="000000"/>
                <w:sz w:val="18"/>
              </w:rPr>
              <w:t xml:space="preserve">20.00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20.00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w:t>
            </w:r>
          </w:p>
        </w:tc>
        <w:tc>
          <w:tcPr>
            <w:tcW w:w="4300" w:type="dxa"/>
            <w:tcBorders/>
            <w:vAlign w:val="center"/>
          </w:tcPr>
          <w:p>
            <w:pPr>
              <w:jc w:val="left"/>
            </w:pPr>
            <w:r>
              <w:rPr>
                <w:rFonts w:ascii="宋体" w:eastAsia="宋体" w:hAnsi="宋体" w:cs="宋体"/>
                <w:b w:val="0"/>
                <w:i w:val="0"/>
                <w:color w:val="000000"/>
                <w:sz w:val="18"/>
              </w:rPr>
              <w:t xml:space="preserve">城乡社区公共设施</w:t>
            </w:r>
          </w:p>
        </w:tc>
        <w:tc>
          <w:tcPr>
            <w:tcW w:w="1780" w:type="dxa"/>
            <w:tcBorders/>
            <w:vAlign w:val="center"/>
          </w:tcPr>
          <w:p>
            <w:pPr>
              <w:jc w:val="right"/>
            </w:pPr>
            <w:r>
              <w:rPr>
                <w:rFonts w:ascii="宋体" w:eastAsia="宋体" w:hAnsi="宋体" w:cs="宋体"/>
                <w:b w:val="0"/>
                <w:i w:val="0"/>
                <w:color w:val="000000"/>
                <w:sz w:val="18"/>
              </w:rPr>
              <w:t xml:space="preserve">20.00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2120399</w:t>
            </w:r>
          </w:p>
        </w:tc>
        <w:tc>
          <w:tcPr>
            <w:tcW w:w="4300" w:type="dxa"/>
            <w:tcBorders/>
            <w:vAlign w:val="center"/>
          </w:tcPr>
          <w:p>
            <w:pPr>
              <w:jc w:val="left"/>
            </w:pPr>
            <w:r>
              <w:rPr>
                <w:rFonts w:ascii="宋体" w:eastAsia="宋体" w:hAnsi="宋体" w:cs="宋体"/>
                <w:b w:val="0"/>
                <w:i w:val="0"/>
                <w:color w:val="000000"/>
                <w:sz w:val="18"/>
              </w:rPr>
              <w:t xml:space="preserve">其他城乡社区公共设施支出</w:t>
            </w:r>
          </w:p>
        </w:tc>
        <w:tc>
          <w:tcPr>
            <w:tcW w:w="1780" w:type="dxa"/>
            <w:tcBorders/>
            <w:vAlign w:val="center"/>
          </w:tcPr>
          <w:p>
            <w:pPr>
              <w:jc w:val="right"/>
            </w:pPr>
            <w:r>
              <w:rPr>
                <w:rFonts w:ascii="宋体" w:eastAsia="宋体" w:hAnsi="宋体" w:cs="宋体"/>
                <w:b w:val="0"/>
                <w:i w:val="0"/>
                <w:color w:val="000000"/>
                <w:sz w:val="18"/>
              </w:rPr>
              <w:t xml:space="preserve">20.00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53.49</w:t>
            </w:r>
          </w:p>
        </w:tc>
        <w:tc>
          <w:tcPr>
            <w:tcW w:w="1780" w:type="dxa"/>
            <w:tcBorders/>
            <w:vAlign w:val="center"/>
          </w:tcPr>
          <w:p>
            <w:pPr>
              <w:jc w:val="right"/>
            </w:pPr>
            <w:r>
              <w:rPr>
                <w:rFonts w:ascii="宋体" w:eastAsia="宋体" w:hAnsi="宋体" w:cs="宋体"/>
                <w:b w:val="0"/>
                <w:i w:val="0"/>
                <w:color w:val="000000"/>
                <w:sz w:val="18"/>
              </w:rPr>
              <w:t xml:space="preserve">53.49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53.49</w:t>
            </w:r>
          </w:p>
        </w:tc>
        <w:tc>
          <w:tcPr>
            <w:tcW w:w="1780" w:type="dxa"/>
            <w:tcBorders/>
            <w:vAlign w:val="center"/>
          </w:tcPr>
          <w:p>
            <w:pPr>
              <w:jc w:val="right"/>
            </w:pPr>
            <w:r>
              <w:rPr>
                <w:rFonts w:ascii="宋体" w:eastAsia="宋体" w:hAnsi="宋体" w:cs="宋体"/>
                <w:b w:val="0"/>
                <w:i w:val="0"/>
                <w:color w:val="000000"/>
                <w:sz w:val="18"/>
              </w:rPr>
              <w:t xml:space="preserve">53.49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53.49</w:t>
            </w:r>
          </w:p>
        </w:tc>
        <w:tc>
          <w:tcPr>
            <w:tcW w:w="1780" w:type="dxa"/>
            <w:tcBorders/>
            <w:vAlign w:val="center"/>
          </w:tcPr>
          <w:p>
            <w:pPr>
              <w:jc w:val="right"/>
            </w:pPr>
            <w:r>
              <w:rPr>
                <w:rFonts w:ascii="宋体" w:eastAsia="宋体" w:hAnsi="宋体" w:cs="宋体"/>
                <w:b w:val="0"/>
                <w:i w:val="0"/>
                <w:color w:val="000000"/>
                <w:sz w:val="18"/>
              </w:rPr>
              <w:t xml:space="preserve">53.49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单位：辽宁省沈阳市浑南区财政事务服务中心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00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1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12" w:type="dxa"/>
            <w:vMerge w:val="restart"/>
            <w:tcBorders/>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509.58</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25.44</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146.25</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5.19</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6.59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12.91</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10.64</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183.69</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50.49</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23.32</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16.63</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20.00</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2.21</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0.82</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53.49</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4.90</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3.64</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1.26</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2.70</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0.10</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514.48</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25.44</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单位：辽宁省沈阳市浑南区财政事务服务中心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tcBorders/>
            <w:vAlign w:val="center"/>
          </w:tcPr>
          <w:p>
            <w:pPr>
              <w:jc w:val="center"/>
            </w:pPr>
            <w:r>
              <w:rPr>
                <w:rFonts w:ascii="宋体" w:eastAsia="宋体" w:hAnsi="宋体" w:cs="宋体"/>
                <w:b w:val="0"/>
                <w:i w:val="0"/>
                <w:color w:val="000000"/>
                <w:sz w:val="23"/>
              </w:rPr>
              <w:t xml:space="preserve">合    计</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单位：辽宁省沈阳市浑南区财政事务服务中心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tcBorders/>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tcBorders/>
            <w:vAlign w:val="center"/>
          </w:tcPr>
          <w:p>
            <w:pPr>
              <w:jc w:val="center"/>
            </w:pPr>
            <w:r>
              <w:rPr>
                <w:rFonts w:ascii="宋体" w:eastAsia="宋体" w:hAnsi="宋体" w:cs="宋体"/>
                <w:b w:val="0"/>
                <w:i w:val="0"/>
                <w:color w:val="000000"/>
                <w:sz w:val="15"/>
              </w:rPr>
              <w:t xml:space="preserve">科目名称</w:t>
            </w:r>
          </w:p>
        </w:tc>
        <w:tc>
          <w:tcPr>
            <w:tcW w:w="1040" w:type="dxa"/>
            <w:vMerge/>
            <w:tcBorders/>
            <w:vAlign w:val="center"/>
          </w:tcPr>
          <w:p>
            <w:pPr/>
          </w:p>
        </w:tc>
        <w:tc>
          <w:tcPr>
            <w:tcW w:w="1040" w:type="dxa"/>
            <w:vMerge/>
            <w:tcBorders/>
            <w:vAlign w:val="center"/>
          </w:tcPr>
          <w:p>
            <w:pPr/>
          </w:p>
        </w:tc>
        <w:tc>
          <w:tcPr>
            <w:tcW w:w="1040" w:type="dxa"/>
            <w:vMerge w:val="restart"/>
            <w:tcBorders/>
            <w:vAlign w:val="center"/>
          </w:tcPr>
          <w:p>
            <w:pPr>
              <w:jc w:val="center"/>
            </w:pPr>
            <w:r>
              <w:rPr>
                <w:rFonts w:ascii="宋体" w:eastAsia="宋体" w:hAnsi="宋体" w:cs="宋体"/>
                <w:b w:val="0"/>
                <w:i w:val="0"/>
                <w:color w:val="000000"/>
                <w:sz w:val="15"/>
              </w:rPr>
              <w:t xml:space="preserve">小计</w:t>
            </w:r>
          </w:p>
        </w:tc>
        <w:tc>
          <w:tcPr>
            <w:tcW w:w="1040" w:type="dxa"/>
            <w:vMerge w:val="restart"/>
            <w:tcBorders/>
            <w:vAlign w:val="center"/>
          </w:tcPr>
          <w:p>
            <w:pPr>
              <w:jc w:val="center"/>
            </w:pPr>
            <w:r>
              <w:rPr>
                <w:rFonts w:ascii="宋体" w:eastAsia="宋体" w:hAnsi="宋体" w:cs="宋体"/>
                <w:b w:val="0"/>
                <w:i w:val="0"/>
                <w:color w:val="000000"/>
                <w:sz w:val="15"/>
              </w:rPr>
              <w:t xml:space="preserve">基本支出</w:t>
            </w:r>
          </w:p>
        </w:tc>
        <w:tc>
          <w:tcPr>
            <w:tcW w:w="1040" w:type="dxa"/>
            <w:vMerge w:val="restart"/>
            <w:tcBorders/>
            <w:vAlign w:val="center"/>
          </w:tcPr>
          <w:p>
            <w:pPr>
              <w:jc w:val="center"/>
            </w:pPr>
            <w:r>
              <w:rPr>
                <w:rFonts w:ascii="宋体" w:eastAsia="宋体" w:hAnsi="宋体" w:cs="宋体"/>
                <w:b w:val="0"/>
                <w:i w:val="0"/>
                <w:color w:val="000000"/>
                <w:sz w:val="15"/>
              </w:rPr>
              <w:t xml:space="preserve">项目支出</w:t>
            </w: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单位：辽宁省沈阳市浑南区财政事务服务中心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tcBorders/>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tcBorders/>
            <w:vAlign w:val="center"/>
          </w:tcPr>
          <w:p>
            <w:pPr>
              <w:jc w:val="center"/>
            </w:pPr>
            <w:r>
              <w:rPr>
                <w:rFonts w:ascii="宋体" w:eastAsia="宋体" w:hAnsi="宋体" w:cs="宋体"/>
                <w:b w:val="0"/>
                <w:i w:val="0"/>
                <w:color w:val="000000"/>
                <w:sz w:val="20"/>
              </w:rPr>
              <w:t xml:space="preserve">科目名称</w:t>
            </w:r>
          </w:p>
        </w:tc>
        <w:tc>
          <w:tcPr>
            <w:tcW w:w="1580" w:type="dxa"/>
            <w:vMerge w:val="restart"/>
            <w:tcBorders/>
            <w:vAlign w:val="center"/>
          </w:tcPr>
          <w:p>
            <w:pPr>
              <w:jc w:val="center"/>
            </w:pPr>
            <w:r>
              <w:rPr>
                <w:rFonts w:ascii="宋体" w:eastAsia="宋体" w:hAnsi="宋体" w:cs="宋体"/>
                <w:b w:val="0"/>
                <w:i w:val="0"/>
                <w:color w:val="000000"/>
                <w:sz w:val="20"/>
              </w:rPr>
              <w:t xml:space="preserve">合计</w:t>
            </w:r>
          </w:p>
        </w:tc>
        <w:tc>
          <w:tcPr>
            <w:tcW w:w="1580" w:type="dxa"/>
            <w:vMerge w:val="restart"/>
            <w:tcBorders/>
            <w:vAlign w:val="center"/>
          </w:tcPr>
          <w:p>
            <w:pPr>
              <w:jc w:val="center"/>
            </w:pPr>
            <w:r>
              <w:rPr>
                <w:rFonts w:ascii="宋体" w:eastAsia="宋体" w:hAnsi="宋体" w:cs="宋体"/>
                <w:b w:val="0"/>
                <w:i w:val="0"/>
                <w:color w:val="000000"/>
                <w:sz w:val="20"/>
              </w:rPr>
              <w:t xml:space="preserve">基本支出</w:t>
            </w:r>
          </w:p>
        </w:tc>
        <w:tc>
          <w:tcPr>
            <w:tcW w:w="1592" w:type="dxa"/>
            <w:vMerge w:val="restart"/>
            <w:tcBorders/>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0" w:space="720.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财税事务管理专项业务经费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档案工作经费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对现有档案室进行升级改造，以适用于现有档案存放。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对现有档案室进行升级改造，以适用于现有档案存放。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设备更新改造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个（台、套、件、辆）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设备、设施改造数量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台</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档案管理规范化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管理规范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改造验收通过率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改造工程按期完工率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维修改造成本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档案管理规范化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管理规范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档案管理制度健全性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工程造价审核费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825.14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31.24238311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74.38%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21.19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21.19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项目专业人员占比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8.43760984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按照全区统一安排,严格按标准及时缴纳残疾人就业保障金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按照全区统一安排,严格按标准及时缴纳残疾人就业保障金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历史遗留问题生活补助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领取生活补助的人数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领取生活补助的人数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软件服务费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25.58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31.39093041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外聘劳务经费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61.75%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15.57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聘用人员完成率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17.17507881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017002沈阳市浑南区财政事务服务中心-210112000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575.9</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575.9</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16.00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390.59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390.58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123.89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123.88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按照预算要求严格执行各项指标</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按照预算要求严格执行各项指标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党的建设指标考核工作完成率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平台及网络设备无障碍运行情况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正常运行</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政府直属部门职工总体满意度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基本建立</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人才培养机制健全性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基本健全</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fldChar w:fldCharType="end"/>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