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color w:val="FF0000"/>
          <w:sz w:val="52"/>
          <w:szCs w:val="52"/>
          <w:lang w:eastAsia="zh-CN"/>
        </w:rPr>
      </w:pPr>
      <w:r>
        <w:rPr>
          <w:rFonts w:ascii="宋体" w:hAnsi="宋体"/>
          <w:b/>
          <w:sz w:val="52"/>
          <w:szCs w:val="52"/>
        </w:rPr>
        <w:t>沈阳市浑南区档案馆（沈阳市浑南区人民政府地方志办公室）2022决算</w:t>
      </w:r>
      <w:r>
        <w:rPr>
          <w:rFonts w:hint="eastAsia" w:ascii="宋体" w:hAnsi="宋体"/>
          <w:b/>
          <w:sz w:val="52"/>
          <w:szCs w:val="52"/>
          <w:lang w:eastAsia="zh-CN"/>
        </w:rPr>
        <w:t>公开</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第一部分    部门概况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2022年度决算情况说明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default" w:ascii="黑体" w:hAnsi="黑体" w:eastAsia="黑体"/>
          <w:sz w:val="32"/>
          <w:szCs w:val="32"/>
        </w:rPr>
      </w:pPr>
      <w:r>
        <w:rPr>
          <w:rFonts w:ascii="黑体" w:hAnsi="黑体" w:eastAsia="黑体"/>
          <w:sz w:val="32"/>
          <w:szCs w:val="32"/>
        </w:rPr>
        <w:t>第四部分    2022年度决算报表</w:t>
      </w:r>
    </w:p>
    <w:p>
      <w:pPr>
        <w:spacing w:line="540" w:lineRule="exact"/>
        <w:rPr>
          <w:rFonts w:hint="default" w:ascii="仿宋_GB2312" w:hAnsi="黑体" w:eastAsia="仿宋_GB2312"/>
          <w:sz w:val="32"/>
          <w:szCs w:val="32"/>
        </w:rPr>
      </w:pPr>
      <w:r>
        <w:rPr>
          <w:rFonts w:ascii="仿宋_GB2312" w:eastAsia="仿宋_GB2312"/>
          <w:sz w:val="32"/>
          <w:szCs w:val="32"/>
        </w:rPr>
        <w:t>一、</w:t>
      </w:r>
      <w:r>
        <w:rPr>
          <w:rFonts w:ascii="仿宋_GB2312" w:hAnsi="仿宋" w:eastAsia="仿宋_GB2312"/>
          <w:sz w:val="32"/>
          <w:szCs w:val="32"/>
        </w:rPr>
        <w:t>收入支出决算总表</w:t>
      </w:r>
    </w:p>
    <w:p>
      <w:pPr>
        <w:spacing w:line="540" w:lineRule="exact"/>
        <w:rPr>
          <w:rFonts w:hint="default" w:ascii="仿宋_GB2312" w:eastAsia="仿宋_GB2312"/>
          <w:sz w:val="32"/>
          <w:szCs w:val="32"/>
        </w:rPr>
      </w:pPr>
      <w:r>
        <w:rPr>
          <w:rFonts w:ascii="仿宋_GB2312" w:eastAsia="仿宋_GB2312"/>
          <w:sz w:val="32"/>
          <w:szCs w:val="32"/>
        </w:rPr>
        <w:t>二、收入决算表</w:t>
      </w:r>
    </w:p>
    <w:p>
      <w:pPr>
        <w:spacing w:line="540" w:lineRule="exact"/>
        <w:rPr>
          <w:rFonts w:hint="default" w:ascii="仿宋_GB2312" w:eastAsia="仿宋_GB2312"/>
          <w:sz w:val="32"/>
          <w:szCs w:val="32"/>
        </w:rPr>
      </w:pPr>
      <w:r>
        <w:rPr>
          <w:rFonts w:ascii="仿宋_GB2312" w:eastAsia="仿宋_GB2312"/>
          <w:sz w:val="32"/>
          <w:szCs w:val="32"/>
        </w:rPr>
        <w:t>三、支出决算表</w:t>
      </w:r>
    </w:p>
    <w:p>
      <w:pPr>
        <w:spacing w:line="540" w:lineRule="exact"/>
        <w:rPr>
          <w:rFonts w:hint="default" w:ascii="仿宋_GB2312" w:hAnsi="黑体" w:eastAsia="仿宋_GB2312"/>
          <w:sz w:val="32"/>
          <w:szCs w:val="32"/>
        </w:rPr>
      </w:pPr>
      <w:r>
        <w:rPr>
          <w:rFonts w:ascii="仿宋_GB2312" w:eastAsia="仿宋_GB2312"/>
          <w:sz w:val="32"/>
          <w:szCs w:val="32"/>
        </w:rPr>
        <w:t>四、</w:t>
      </w:r>
      <w:r>
        <w:rPr>
          <w:rFonts w:ascii="仿宋_GB2312" w:hAnsi="仿宋" w:eastAsia="仿宋_GB2312"/>
          <w:sz w:val="32"/>
          <w:szCs w:val="32"/>
        </w:rPr>
        <w:t>财政拨款收入支出决算表</w:t>
      </w:r>
    </w:p>
    <w:p>
      <w:pPr>
        <w:spacing w:line="540" w:lineRule="exact"/>
        <w:rPr>
          <w:rFonts w:hint="default" w:ascii="仿宋_GB2312" w:eastAsia="仿宋_GB2312"/>
          <w:sz w:val="32"/>
          <w:szCs w:val="32"/>
        </w:rPr>
      </w:pPr>
      <w:r>
        <w:rPr>
          <w:rFonts w:ascii="仿宋_GB2312" w:eastAsia="仿宋_GB2312"/>
          <w:sz w:val="32"/>
          <w:szCs w:val="32"/>
        </w:rPr>
        <w:t>五、一般公共预算财政拨款支出决算表</w:t>
      </w:r>
    </w:p>
    <w:p>
      <w:pPr>
        <w:spacing w:line="540" w:lineRule="exact"/>
        <w:rPr>
          <w:rFonts w:hint="default" w:ascii="仿宋_GB2312" w:eastAsia="仿宋_GB2312"/>
          <w:sz w:val="32"/>
          <w:szCs w:val="32"/>
        </w:rPr>
      </w:pPr>
      <w:r>
        <w:rPr>
          <w:rFonts w:ascii="仿宋_GB2312" w:eastAsia="仿宋_GB2312"/>
          <w:sz w:val="32"/>
          <w:szCs w:val="32"/>
        </w:rPr>
        <w:t>六、一般公共预算财政拨款基本支出决算表</w:t>
      </w:r>
    </w:p>
    <w:p>
      <w:pPr>
        <w:spacing w:line="540" w:lineRule="exact"/>
        <w:rPr>
          <w:rFonts w:hint="default" w:ascii="仿宋_GB2312" w:eastAsia="仿宋_GB2312"/>
          <w:sz w:val="32"/>
          <w:szCs w:val="32"/>
        </w:rPr>
      </w:pPr>
      <w:r>
        <w:rPr>
          <w:rFonts w:ascii="仿宋_GB2312" w:eastAsia="仿宋_GB2312"/>
          <w:sz w:val="32"/>
          <w:szCs w:val="32"/>
        </w:rPr>
        <w:t>七、一般公共预算财政拨款“三公”经费支出决算表</w:t>
      </w:r>
    </w:p>
    <w:p>
      <w:pPr>
        <w:spacing w:line="540" w:lineRule="exact"/>
        <w:ind w:left="640" w:hanging="640" w:hangingChars="200"/>
        <w:rPr>
          <w:rFonts w:hint="default" w:ascii="仿宋_GB2312" w:eastAsia="仿宋_GB2312"/>
          <w:sz w:val="32"/>
          <w:szCs w:val="32"/>
        </w:rPr>
      </w:pPr>
      <w:r>
        <w:rPr>
          <w:rFonts w:ascii="仿宋_GB2312" w:eastAsia="仿宋_GB2312"/>
          <w:sz w:val="32"/>
          <w:szCs w:val="32"/>
        </w:rPr>
        <w:t>八、政府性基金预算财政拨款收入支出决算表</w:t>
      </w:r>
    </w:p>
    <w:p>
      <w:pPr>
        <w:spacing w:line="540" w:lineRule="exact"/>
        <w:rPr>
          <w:rFonts w:hint="default" w:ascii="仿宋_GB2312" w:eastAsia="仿宋_GB2312"/>
          <w:sz w:val="32"/>
          <w:szCs w:val="32"/>
        </w:rPr>
      </w:pPr>
      <w:r>
        <w:rPr>
          <w:rFonts w:ascii="仿宋_GB2312" w:eastAsia="仿宋_GB2312"/>
          <w:sz w:val="32"/>
          <w:szCs w:val="32"/>
        </w:rPr>
        <w:t>九、国有资本经营预算财政拨款支出决算表</w:t>
      </w:r>
    </w:p>
    <w:p>
      <w:pPr>
        <w:spacing w:line="540" w:lineRule="exact"/>
        <w:rPr>
          <w:rFonts w:hint="default" w:ascii="黑体" w:hAnsi="黑体" w:eastAsia="黑体"/>
          <w:b/>
          <w:sz w:val="44"/>
          <w:szCs w:val="44"/>
          <w:u w:val="single"/>
        </w:rPr>
      </w:pPr>
      <w:r>
        <w:rPr>
          <w:rFonts w:ascii="黑体" w:hAnsi="黑体" w:eastAsia="黑体"/>
          <w:sz w:val="32"/>
          <w:szCs w:val="32"/>
        </w:rPr>
        <w:t>第五部分    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第一部分沈阳市浑南区档案馆（沈阳市浑南区人民政府地方志办公室）概况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widowControl/>
        <w:spacing w:line="600" w:lineRule="exact"/>
        <w:ind w:firstLine="640" w:firstLineChars="200"/>
        <w:jc w:val="left"/>
        <w:rPr>
          <w:rFonts w:hint="default" w:ascii="仿宋_GB2312" w:hAnsi="宋体" w:eastAsia="仿宋_GB2312" w:cs="宋体"/>
          <w:color w:val="000000"/>
          <w:kern w:val="0"/>
          <w:sz w:val="32"/>
          <w:szCs w:val="32"/>
        </w:rPr>
      </w:pPr>
      <w:r>
        <w:rPr>
          <w:rFonts w:ascii="仿宋_GB2312" w:hAnsi="宋体" w:eastAsia="仿宋_GB2312" w:cs="宋体"/>
          <w:color w:val="000000"/>
          <w:kern w:val="0"/>
          <w:sz w:val="32"/>
          <w:szCs w:val="32"/>
        </w:rPr>
        <w:t>（一）接收档案馆保管范围内对国家和社会有保存价值的档案资料；征集与浑南有关的档案资料。</w:t>
      </w:r>
    </w:p>
    <w:p>
      <w:pPr>
        <w:widowControl/>
        <w:spacing w:line="600" w:lineRule="exact"/>
        <w:ind w:firstLine="640" w:firstLineChars="200"/>
        <w:jc w:val="left"/>
        <w:rPr>
          <w:rFonts w:hint="default" w:ascii="仿宋_GB2312" w:hAnsi="宋体" w:eastAsia="仿宋_GB2312" w:cs="宋体"/>
          <w:color w:val="000000"/>
          <w:kern w:val="0"/>
          <w:sz w:val="32"/>
          <w:szCs w:val="32"/>
        </w:rPr>
      </w:pPr>
      <w:r>
        <w:rPr>
          <w:rFonts w:ascii="仿宋_GB2312" w:hAnsi="宋体" w:eastAsia="仿宋_GB2312" w:cs="宋体"/>
          <w:color w:val="000000"/>
          <w:kern w:val="0"/>
          <w:sz w:val="32"/>
          <w:szCs w:val="32"/>
        </w:rPr>
        <w:t>（二）对所保存的档案资料严格按照规定规范整理和安全保管。</w:t>
      </w:r>
    </w:p>
    <w:p>
      <w:pPr>
        <w:widowControl/>
        <w:spacing w:line="600" w:lineRule="exact"/>
        <w:ind w:firstLine="640" w:firstLineChars="200"/>
        <w:jc w:val="left"/>
        <w:rPr>
          <w:rFonts w:hint="default" w:ascii="仿宋_GB2312" w:hAnsi="宋体" w:eastAsia="仿宋_GB2312" w:cs="宋体"/>
          <w:color w:val="000000"/>
          <w:kern w:val="0"/>
          <w:sz w:val="32"/>
          <w:szCs w:val="32"/>
        </w:rPr>
      </w:pPr>
      <w:r>
        <w:rPr>
          <w:rFonts w:ascii="仿宋_GB2312" w:hAnsi="宋体" w:eastAsia="仿宋_GB2312" w:cs="宋体"/>
          <w:color w:val="000000"/>
          <w:kern w:val="0"/>
          <w:sz w:val="32"/>
          <w:szCs w:val="32"/>
        </w:rPr>
        <w:t>（三）采取各种形式开发档案资源，为浑南区中心工作、社会利用档案资料提供服务。</w:t>
      </w:r>
    </w:p>
    <w:p>
      <w:pPr>
        <w:widowControl/>
        <w:spacing w:line="600" w:lineRule="exact"/>
        <w:ind w:firstLine="640" w:firstLineChars="200"/>
        <w:jc w:val="left"/>
        <w:rPr>
          <w:rFonts w:hint="default" w:ascii="仿宋_GB2312" w:hAnsi="宋体" w:eastAsia="仿宋_GB2312" w:cs="宋体"/>
          <w:color w:val="000000"/>
          <w:kern w:val="0"/>
          <w:sz w:val="32"/>
          <w:szCs w:val="32"/>
        </w:rPr>
      </w:pPr>
      <w:r>
        <w:rPr>
          <w:rFonts w:ascii="仿宋_GB2312" w:hAnsi="宋体" w:eastAsia="仿宋_GB2312" w:cs="宋体"/>
          <w:color w:val="000000"/>
          <w:kern w:val="0"/>
          <w:sz w:val="32"/>
          <w:szCs w:val="32"/>
        </w:rPr>
        <w:t>（四）推进档案馆工作的科学化管理和信息化建设，做好档案资料编研出版工作。</w:t>
      </w:r>
    </w:p>
    <w:p>
      <w:pPr>
        <w:widowControl/>
        <w:spacing w:line="600" w:lineRule="exact"/>
        <w:ind w:firstLine="640" w:firstLineChars="200"/>
        <w:jc w:val="left"/>
        <w:rPr>
          <w:rFonts w:hint="default" w:ascii="仿宋_GB2312" w:hAnsi="宋体" w:eastAsia="仿宋_GB2312" w:cs="宋体"/>
          <w:color w:val="000000"/>
          <w:kern w:val="0"/>
          <w:sz w:val="32"/>
          <w:szCs w:val="32"/>
        </w:rPr>
      </w:pPr>
      <w:r>
        <w:rPr>
          <w:rFonts w:ascii="仿宋_GB2312" w:hAnsi="宋体" w:eastAsia="仿宋_GB2312" w:cs="宋体"/>
          <w:color w:val="000000"/>
          <w:kern w:val="0"/>
          <w:sz w:val="32"/>
          <w:szCs w:val="32"/>
        </w:rPr>
        <w:t>（五）搜集保存地方志文献、资料，记述全区大事记，组织编纂地方志书、地方年鉴。</w:t>
      </w:r>
    </w:p>
    <w:p>
      <w:pPr>
        <w:widowControl/>
        <w:spacing w:line="600" w:lineRule="exact"/>
        <w:ind w:firstLine="640" w:firstLineChars="200"/>
        <w:jc w:val="left"/>
        <w:rPr>
          <w:rFonts w:hint="default" w:ascii="仿宋_GB2312" w:hAnsi="宋体" w:eastAsia="仿宋_GB2312" w:cs="宋体"/>
          <w:color w:val="000000"/>
          <w:kern w:val="0"/>
          <w:sz w:val="32"/>
          <w:szCs w:val="32"/>
        </w:rPr>
      </w:pPr>
      <w:r>
        <w:rPr>
          <w:rFonts w:ascii="仿宋_GB2312" w:hAnsi="宋体" w:eastAsia="仿宋_GB2312" w:cs="宋体"/>
          <w:color w:val="000000"/>
          <w:kern w:val="0"/>
          <w:sz w:val="32"/>
          <w:szCs w:val="32"/>
        </w:rPr>
        <w:t>（六）开展方志服务工作，积极开拓社会用志途径。</w:t>
      </w:r>
    </w:p>
    <w:p>
      <w:pPr>
        <w:widowControl/>
        <w:spacing w:line="600" w:lineRule="exact"/>
        <w:ind w:firstLine="640" w:firstLineChars="200"/>
        <w:jc w:val="left"/>
        <w:rPr>
          <w:rFonts w:hint="default" w:ascii="仿宋_GB2312" w:hAnsi="宋体" w:eastAsia="仿宋_GB2312" w:cs="宋体"/>
          <w:color w:val="000000"/>
          <w:kern w:val="0"/>
          <w:sz w:val="32"/>
          <w:szCs w:val="32"/>
        </w:rPr>
      </w:pPr>
      <w:r>
        <w:rPr>
          <w:rFonts w:ascii="仿宋_GB2312" w:hAnsi="宋体" w:eastAsia="仿宋_GB2312" w:cs="宋体"/>
          <w:color w:val="000000"/>
          <w:kern w:val="0"/>
          <w:sz w:val="32"/>
          <w:szCs w:val="32"/>
        </w:rPr>
        <w:t>（七）积极宣传人民代表大会制度，认真记录人大履行法定职权情况，总结人大工作中的经验和成果。</w:t>
      </w:r>
    </w:p>
    <w:p>
      <w:pPr>
        <w:widowControl/>
        <w:spacing w:line="600" w:lineRule="exact"/>
        <w:ind w:firstLine="640" w:firstLineChars="200"/>
        <w:jc w:val="left"/>
        <w:rPr>
          <w:rFonts w:hint="default" w:ascii="仿宋_GB2312" w:hAnsi="宋体" w:eastAsia="仿宋_GB2312" w:cs="宋体"/>
          <w:color w:val="000000"/>
          <w:kern w:val="0"/>
          <w:sz w:val="32"/>
          <w:szCs w:val="32"/>
        </w:rPr>
      </w:pPr>
      <w:r>
        <w:rPr>
          <w:rFonts w:ascii="仿宋_GB2312" w:hAnsi="宋体" w:eastAsia="仿宋_GB2312" w:cs="宋体"/>
          <w:color w:val="000000"/>
          <w:kern w:val="0"/>
          <w:sz w:val="32"/>
          <w:szCs w:val="32"/>
        </w:rPr>
        <w:t>（八）维护区机关内外网，对电子公文传输系统进行技术支持和视频会议系统进行管理等。</w:t>
      </w:r>
    </w:p>
    <w:p>
      <w:pPr>
        <w:widowControl/>
        <w:spacing w:line="600" w:lineRule="exact"/>
        <w:ind w:firstLine="640" w:firstLineChars="200"/>
        <w:jc w:val="left"/>
        <w:rPr>
          <w:rFonts w:hint="default" w:ascii="仿宋_GB2312" w:hAnsi="宋体" w:eastAsia="仿宋_GB2312" w:cs="宋体"/>
          <w:color w:val="000000"/>
          <w:kern w:val="0"/>
          <w:sz w:val="32"/>
          <w:szCs w:val="32"/>
        </w:rPr>
      </w:pPr>
      <w:r>
        <w:rPr>
          <w:rFonts w:ascii="仿宋_GB2312" w:hAnsi="宋体" w:eastAsia="仿宋_GB2312" w:cs="宋体"/>
          <w:color w:val="000000"/>
          <w:kern w:val="0"/>
          <w:sz w:val="32"/>
          <w:szCs w:val="32"/>
        </w:rPr>
        <w:t>（九）完成区委、区政府交办的其他工作。</w:t>
      </w: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640"/>
        <w:rPr>
          <w:rFonts w:hint="default" w:ascii="仿宋_GB2312" w:eastAsia="仿宋_GB2312"/>
          <w:sz w:val="32"/>
        </w:rPr>
      </w:pPr>
      <w:r>
        <w:rPr>
          <w:rFonts w:ascii="仿宋_GB2312" w:eastAsia="仿宋_GB2312"/>
          <w:sz w:val="32"/>
        </w:rPr>
        <w:t>纳入本单位2022年决算编制范围的是浑南区档案馆本级，本单位无下设机构。</w:t>
      </w:r>
    </w:p>
    <w:p>
      <w:pPr>
        <w:pStyle w:val="6"/>
        <w:spacing w:line="560" w:lineRule="exact"/>
        <w:ind w:firstLine="640"/>
        <w:rPr>
          <w:rFonts w:hint="default" w:ascii="仿宋_GB2312" w:eastAsia="仿宋_GB2312"/>
          <w:sz w:val="32"/>
        </w:rPr>
      </w:pPr>
    </w:p>
    <w:p>
      <w:pPr>
        <w:pStyle w:val="6"/>
        <w:spacing w:line="560" w:lineRule="exact"/>
        <w:jc w:val="center"/>
        <w:rPr>
          <w:rFonts w:hint="default"/>
          <w:b/>
          <w:sz w:val="36"/>
        </w:rPr>
      </w:pPr>
      <w:r>
        <w:rPr>
          <w:b/>
          <w:sz w:val="36"/>
        </w:rPr>
        <w:t>第二部分 沈阳市浑南区档案馆（沈阳市浑南区人民政府地方志办公室）2022年决算情况说明</w:t>
      </w:r>
    </w:p>
    <w:p>
      <w:pPr>
        <w:pStyle w:val="6"/>
        <w:spacing w:line="560" w:lineRule="exact"/>
        <w:jc w:val="center"/>
        <w:rPr>
          <w:rFonts w:hint="default" w:ascii="黑体" w:eastAsia="黑体"/>
          <w:sz w:val="32"/>
        </w:rPr>
      </w:pPr>
    </w:p>
    <w:p>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default" w:ascii="楷体_GB2312" w:eastAsia="楷体_GB2312"/>
          <w:b/>
          <w:sz w:val="32"/>
        </w:rPr>
        <w:t>540.76</w:t>
      </w:r>
      <w:r>
        <w:rPr>
          <w:rFonts w:ascii="楷体_GB2312" w:eastAsia="楷体_GB2312"/>
          <w:b/>
          <w:sz w:val="32"/>
        </w:rPr>
        <w:t>万元，包括：</w:t>
      </w:r>
      <w:r>
        <w:rPr>
          <w:rFonts w:hint="default" w:ascii="楷体_GB2312" w:eastAsia="楷体_GB2312"/>
          <w:b/>
          <w:sz w:val="32"/>
        </w:rPr>
        <w:t xml:space="preserve"> </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default" w:ascii="楷体_GB2312" w:eastAsia="楷体_GB2312"/>
          <w:b/>
          <w:sz w:val="32"/>
        </w:rPr>
        <w:t>540.76</w:t>
      </w:r>
      <w:r>
        <w:rPr>
          <w:rFonts w:ascii="仿宋_GB2312" w:eastAsia="仿宋_GB2312"/>
          <w:sz w:val="32"/>
        </w:rPr>
        <w:t>万元，占收入总计的100%。其中：一般公共预算财政拨款收入</w:t>
      </w:r>
      <w:r>
        <w:rPr>
          <w:rFonts w:hint="default" w:ascii="楷体_GB2312" w:eastAsia="楷体_GB2312"/>
          <w:b/>
          <w:sz w:val="32"/>
        </w:rPr>
        <w:t>540.76</w:t>
      </w:r>
      <w:r>
        <w:rPr>
          <w:rFonts w:ascii="仿宋_GB2312" w:eastAsia="仿宋_GB2312"/>
          <w:sz w:val="32"/>
        </w:rPr>
        <w:t>万元，政府性基金收入0万元，国有资本经营预算财政拨款收入0万元。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.上年结转和结余0万元，占收入总计的0%。没有形成该笔资金。</w:t>
      </w:r>
    </w:p>
    <w:p>
      <w:pPr>
        <w:pStyle w:val="6"/>
        <w:spacing w:line="560" w:lineRule="exact"/>
        <w:ind w:firstLine="660"/>
        <w:rPr>
          <w:rFonts w:hint="default" w:ascii="仿宋_GB2312" w:eastAsia="仿宋_GB2312"/>
          <w:sz w:val="32"/>
        </w:rPr>
      </w:pPr>
      <w:r>
        <w:rPr>
          <w:rFonts w:ascii="仿宋_GB2312" w:eastAsia="仿宋_GB2312"/>
          <w:sz w:val="32"/>
        </w:rPr>
        <w:t>与上年相比，今年收入减少331.31万元，降低38%，主要原因：一般公共预算财政拨款收入减少。</w:t>
      </w:r>
    </w:p>
    <w:p>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default" w:ascii="楷体_GB2312" w:eastAsia="楷体_GB2312"/>
          <w:b/>
          <w:sz w:val="32"/>
        </w:rPr>
        <w:t>540.76</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 xml:space="preserve"> 1.基本支出443.80万元，占支出总计的82.07%。主要是为保障机构正常运转、完成日常工作任务而发生的各项支出，其中：工资福利支出403.53万元，对个人和家庭的补助支出14.64万元，商品和服务支出25.34万元，资本性支出0.29万元。</w:t>
      </w:r>
    </w:p>
    <w:p>
      <w:pPr>
        <w:pStyle w:val="6"/>
        <w:spacing w:line="560" w:lineRule="exact"/>
        <w:ind w:firstLine="660"/>
        <w:rPr>
          <w:rFonts w:hint="default" w:ascii="仿宋_GB2312" w:eastAsia="仿宋_GB2312"/>
          <w:sz w:val="32"/>
        </w:rPr>
      </w:pPr>
      <w:r>
        <w:rPr>
          <w:rFonts w:ascii="仿宋_GB2312" w:eastAsia="仿宋_GB2312"/>
          <w:sz w:val="32"/>
        </w:rPr>
        <w:t>2.项目支出96.96万元，占支出总计的17.93%。主要包括档案日常维护费、档案打号录入、信访事务等业务支出。</w:t>
      </w:r>
    </w:p>
    <w:p>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与上年相比，今年支出减少331.31万元，降低38%，主要原因：</w:t>
      </w:r>
      <w:r>
        <w:rPr>
          <w:rFonts w:ascii="黑体" w:eastAsia="黑体"/>
          <w:sz w:val="32"/>
        </w:rPr>
        <w:t>是</w:t>
      </w:r>
      <w:r>
        <w:rPr>
          <w:rFonts w:ascii="仿宋_GB2312" w:eastAsia="仿宋_GB2312"/>
          <w:sz w:val="32"/>
        </w:rPr>
        <w:t>项目支出降低。</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（三）年末结转和结余0万元</w:t>
      </w:r>
    </w:p>
    <w:p>
      <w:pPr>
        <w:pStyle w:val="6"/>
        <w:spacing w:line="560" w:lineRule="exact"/>
        <w:ind w:firstLine="660"/>
        <w:rPr>
          <w:rFonts w:hint="default" w:ascii="仿宋_GB2312" w:eastAsia="仿宋_GB2312"/>
          <w:sz w:val="32"/>
        </w:rPr>
      </w:pPr>
      <w:r>
        <w:rPr>
          <w:rFonts w:ascii="仿宋_GB2312" w:eastAsia="仿宋_GB2312"/>
          <w:sz w:val="32"/>
        </w:rPr>
        <w:t>与上年持平。</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2022年度财政拨款支出540.76万元，其中：基本支出443.80万元，项目支出96.96万元。与上年相比，财政拨款支出减少331.31万元，降低38%，主要原因：</w:t>
      </w:r>
      <w:r>
        <w:rPr>
          <w:rFonts w:ascii="黑体" w:eastAsia="黑体"/>
          <w:sz w:val="32"/>
        </w:rPr>
        <w:t>是</w:t>
      </w:r>
      <w:r>
        <w:rPr>
          <w:rFonts w:ascii="仿宋_GB2312" w:eastAsia="仿宋_GB2312"/>
          <w:sz w:val="32"/>
        </w:rPr>
        <w:t>项目支出降低。与年初预算相比，2022年度财政拨款支出完成年初预算的81.13%，其中：基本支出完成年初预算的98.4%，项目支出完成年初预算的45%。</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2022年度一般公共预算财政拨款支出540.76万元，按支出功能分类科目分，包括：一般公共服务支出434.57万元，占80.36%；社会保障和就业支出</w:t>
      </w:r>
      <w:r>
        <w:rPr>
          <w:rFonts w:hint="default" w:ascii="仿宋_GB2312" w:hAnsi="宋体" w:eastAsia="仿宋_GB2312"/>
          <w:sz w:val="32"/>
          <w:szCs w:val="32"/>
        </w:rPr>
        <w:t>48.24</w:t>
      </w:r>
      <w:r>
        <w:rPr>
          <w:rFonts w:ascii="仿宋_GB2312" w:hAnsi="宋体" w:eastAsia="仿宋_GB2312"/>
          <w:sz w:val="32"/>
          <w:szCs w:val="32"/>
        </w:rPr>
        <w:t>万元，占8.92%；卫生健康支出13.94万元，占2.58%；住房保障支出44万元，占8.14%。</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1.一般公共服务支出434.57万元，具体包括：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（1）一般公共服务支出（类）档案事务（款）档案馆（项）12.01万元，主要是档案电子数字信息化等支出，完成年初预算的7.41%，决算数小于年初预算数的原因主要是因疫情影响合同延期。</w:t>
      </w:r>
    </w:p>
    <w:p>
      <w:pPr>
        <w:pStyle w:val="6"/>
        <w:spacing w:line="560" w:lineRule="atLeast"/>
        <w:ind w:firstLine="660"/>
        <w:rPr>
          <w:rFonts w:hint="default" w:ascii="仿宋_GB2312" w:eastAsia="仿宋_GB2312"/>
          <w:sz w:val="32"/>
          <w:szCs w:val="32"/>
        </w:rPr>
      </w:pPr>
      <w:r>
        <w:rPr>
          <w:rFonts w:ascii="仿宋_GB2312" w:eastAsia="仿宋_GB2312"/>
          <w:sz w:val="32"/>
          <w:szCs w:val="32"/>
        </w:rPr>
        <w:t>（2）一般公共服务支出（类）党委办公厅（室）及相关机构事务（款）事业运行（项）231.73万元，主要用于工资、办公费、水电费、取暖费等支出，完成年初预算的114.67%，决算数大于预算数的原因主要人员增加。</w:t>
      </w:r>
    </w:p>
    <w:p>
      <w:pPr>
        <w:pStyle w:val="6"/>
        <w:spacing w:line="560" w:lineRule="atLeast"/>
        <w:ind w:firstLine="640" w:firstLineChars="200"/>
        <w:rPr>
          <w:rFonts w:hint="default" w:ascii="仿宋_GB2312" w:eastAsia="仿宋_GB2312"/>
          <w:sz w:val="32"/>
          <w:szCs w:val="32"/>
        </w:rPr>
      </w:pPr>
      <w:r>
        <w:rPr>
          <w:rFonts w:ascii="仿宋_GB2312" w:eastAsia="仿宋_GB2312"/>
          <w:sz w:val="32"/>
          <w:szCs w:val="32"/>
        </w:rPr>
        <w:t>（3）一般公共服务支出（类）党委办公厅（室）及相关机构事务（款）其他党委办公厅（室）及相关机构事务支出（项）111.16万元，主要用于办公费、人员费等支出，完成年初预算的60%，决算数小于年初预算数的原因主要是按实际发生支出。</w:t>
      </w:r>
    </w:p>
    <w:p>
      <w:pPr>
        <w:pStyle w:val="6"/>
        <w:spacing w:line="560" w:lineRule="atLeast"/>
        <w:ind w:firstLine="640" w:firstLineChars="200"/>
        <w:rPr>
          <w:rFonts w:hint="default" w:ascii="仿宋_GB2312" w:eastAsia="仿宋_GB2312"/>
          <w:sz w:val="32"/>
          <w:szCs w:val="32"/>
        </w:rPr>
      </w:pPr>
      <w:r>
        <w:rPr>
          <w:rFonts w:ascii="仿宋_GB2312" w:eastAsia="仿宋_GB2312"/>
          <w:sz w:val="32"/>
          <w:szCs w:val="32"/>
        </w:rPr>
        <w:t>（4）一般公共服务支出（类）信访事务（项）79.67万元，用于信访维稳支出，我单位部门预算中没有安排，从区信访维稳专项资金中列支。</w:t>
      </w:r>
    </w:p>
    <w:p>
      <w:pPr>
        <w:pStyle w:val="6"/>
        <w:spacing w:line="560" w:lineRule="atLeast"/>
        <w:ind w:firstLine="660"/>
        <w:rPr>
          <w:rFonts w:hint="default" w:ascii="仿宋_GB2312" w:eastAsia="仿宋_GB2312"/>
          <w:sz w:val="32"/>
          <w:szCs w:val="32"/>
        </w:rPr>
      </w:pPr>
      <w:r>
        <w:rPr>
          <w:rFonts w:ascii="仿宋_GB2312" w:eastAsia="仿宋_GB2312"/>
          <w:sz w:val="32"/>
          <w:szCs w:val="32"/>
        </w:rPr>
        <w:t>2. 社会保障和就业支出48.24万元，具体包括：</w:t>
      </w:r>
    </w:p>
    <w:p>
      <w:pPr>
        <w:pStyle w:val="6"/>
        <w:spacing w:line="560" w:lineRule="atLeast"/>
        <w:ind w:firstLine="660"/>
        <w:rPr>
          <w:rFonts w:hint="default" w:ascii="仿宋_GB2312" w:eastAsia="仿宋_GB2312"/>
          <w:sz w:val="32"/>
          <w:szCs w:val="32"/>
        </w:rPr>
      </w:pPr>
      <w:r>
        <w:rPr>
          <w:rFonts w:ascii="仿宋_GB2312" w:eastAsia="仿宋_GB2312"/>
          <w:sz w:val="32"/>
          <w:szCs w:val="32"/>
        </w:rPr>
        <w:t>（1）社会保障和就业支出（类）行政事业单位养老支出（款）事业单位离退休（项）14.66万元，主要用于事业单位开支的离退休经费，完成年初预算的108%，决算数大于年初预算数原因是人员工资增长。</w:t>
      </w:r>
    </w:p>
    <w:p>
      <w:pPr>
        <w:pStyle w:val="6"/>
        <w:spacing w:line="560" w:lineRule="atLeast"/>
        <w:ind w:firstLine="660"/>
        <w:rPr>
          <w:rFonts w:hint="default" w:ascii="仿宋_GB2312" w:eastAsia="仿宋_GB2312"/>
          <w:sz w:val="32"/>
          <w:szCs w:val="32"/>
        </w:rPr>
      </w:pPr>
      <w:r>
        <w:rPr>
          <w:rFonts w:ascii="仿宋_GB2312" w:eastAsia="仿宋_GB2312"/>
          <w:sz w:val="32"/>
          <w:szCs w:val="32"/>
        </w:rPr>
        <w:t>（2）社会保障和就业支出（类）行政事业单位养老支出（款）机关事业单位基本养老保险缴费（项）33.56万元，主要是机关事业单位实施养老保险制度由单位缴纳的基本养老保险费支出，完成年初预算的133%，决算数大于年初预算数原因是人员变动按实际发生支出。</w:t>
      </w:r>
    </w:p>
    <w:p>
      <w:pPr>
        <w:pStyle w:val="6"/>
        <w:spacing w:line="560" w:lineRule="atLeast"/>
        <w:ind w:firstLine="660"/>
        <w:rPr>
          <w:rFonts w:hint="default" w:ascii="仿宋_GB2312" w:eastAsia="仿宋_GB2312"/>
          <w:sz w:val="32"/>
          <w:szCs w:val="32"/>
        </w:rPr>
      </w:pPr>
      <w:r>
        <w:rPr>
          <w:rFonts w:ascii="仿宋_GB2312" w:eastAsia="仿宋_GB2312"/>
          <w:sz w:val="32"/>
          <w:szCs w:val="32"/>
        </w:rPr>
        <w:t>（3）社会保障和就业支出（类）行政事业单位养老支出（款）机关事业单位职业年金缴费支出（项）0.02万元，主要是机关事业单位实施养老保险制度由单位缴纳的基本职业年金支出，完成年初预算的0.1%，决算数小于年初预算数原因是按实际发生支出。</w:t>
      </w:r>
    </w:p>
    <w:p>
      <w:pPr>
        <w:pStyle w:val="6"/>
        <w:spacing w:line="560" w:lineRule="atLeast"/>
        <w:ind w:firstLine="660"/>
        <w:rPr>
          <w:rFonts w:hint="default" w:ascii="仿宋_GB2312" w:eastAsia="仿宋_GB2312"/>
          <w:sz w:val="32"/>
          <w:szCs w:val="32"/>
        </w:rPr>
      </w:pPr>
      <w:r>
        <w:rPr>
          <w:rFonts w:ascii="仿宋_GB2312" w:eastAsia="仿宋_GB2312"/>
          <w:sz w:val="32"/>
          <w:szCs w:val="32"/>
        </w:rPr>
        <w:t>3.卫生健康支出13.94万元，具体包括：</w:t>
      </w:r>
    </w:p>
    <w:p>
      <w:pPr>
        <w:pStyle w:val="6"/>
        <w:spacing w:line="560" w:lineRule="atLeast"/>
        <w:ind w:firstLine="660"/>
        <w:rPr>
          <w:rFonts w:hint="default" w:ascii="仿宋_GB2312" w:eastAsia="仿宋_GB2312"/>
          <w:sz w:val="32"/>
          <w:szCs w:val="32"/>
        </w:rPr>
      </w:pPr>
      <w:r>
        <w:rPr>
          <w:rFonts w:ascii="仿宋_GB2312" w:eastAsia="仿宋_GB2312"/>
          <w:sz w:val="32"/>
          <w:szCs w:val="32"/>
        </w:rPr>
        <w:t>（1）卫生健康支出（类）行政事业单位医疗（款）事业单位医疗（项）12.86万元，主要用于事业单位基本医疗保险缴费支出，完成年初预算的95%，决算数小于年初预算数原因是人员变动按实际发生支出。</w:t>
      </w:r>
    </w:p>
    <w:p>
      <w:pPr>
        <w:pStyle w:val="6"/>
        <w:spacing w:line="560" w:lineRule="atLeast"/>
        <w:ind w:firstLine="640" w:firstLineChars="200"/>
        <w:rPr>
          <w:rFonts w:hint="default" w:ascii="仿宋_GB2312" w:eastAsia="仿宋_GB2312"/>
          <w:sz w:val="32"/>
          <w:szCs w:val="32"/>
        </w:rPr>
      </w:pPr>
      <w:r>
        <w:rPr>
          <w:rFonts w:ascii="仿宋_GB2312" w:eastAsia="仿宋_GB2312"/>
          <w:sz w:val="32"/>
          <w:szCs w:val="32"/>
        </w:rPr>
        <w:t>（2）卫生健康支出（类）行政事业单位医疗（款）其他行政事业单位医疗支出（项）1.09万元，主要用于行政事业单位医疗方面的支出，完成年初预算的100%。</w:t>
      </w:r>
    </w:p>
    <w:p>
      <w:pPr>
        <w:pStyle w:val="6"/>
        <w:spacing w:line="560" w:lineRule="atLeast"/>
        <w:ind w:firstLine="640" w:firstLineChars="200"/>
        <w:rPr>
          <w:rFonts w:hint="default" w:ascii="仿宋_GB2312" w:eastAsia="仿宋_GB2312"/>
          <w:sz w:val="32"/>
          <w:szCs w:val="32"/>
        </w:rPr>
      </w:pPr>
      <w:r>
        <w:rPr>
          <w:rFonts w:ascii="仿宋_GB2312" w:eastAsia="仿宋_GB2312"/>
          <w:sz w:val="32"/>
          <w:szCs w:val="32"/>
        </w:rPr>
        <w:t>4.住房保障支出44万元，具体包括：</w:t>
      </w:r>
    </w:p>
    <w:p>
      <w:pPr>
        <w:pStyle w:val="6"/>
        <w:spacing w:line="560" w:lineRule="atLeast"/>
        <w:ind w:firstLine="660"/>
        <w:rPr>
          <w:rFonts w:hint="default" w:ascii="仿宋_GB2312" w:eastAsia="仿宋_GB2312"/>
          <w:sz w:val="32"/>
          <w:szCs w:val="32"/>
        </w:rPr>
      </w:pPr>
      <w:r>
        <w:rPr>
          <w:rFonts w:ascii="仿宋_GB2312" w:eastAsia="仿宋_GB2312"/>
          <w:sz w:val="32"/>
          <w:szCs w:val="32"/>
        </w:rPr>
        <w:t>（1）住房保障支出（类）住房改革支出（款）住房公积金（项）44万元，主要用于工作人员住房公积金缴纳支出，完成年初预算的90.4%，决算数小于年初预算的原因是人员变动按实际发生支出。</w:t>
      </w:r>
    </w:p>
    <w:p>
      <w:pPr>
        <w:spacing w:line="540" w:lineRule="exact"/>
        <w:ind w:firstLine="643" w:firstLineChars="200"/>
        <w:outlineLvl w:val="2"/>
        <w:rPr>
          <w:rFonts w:hint="default" w:ascii="楷体_GB2312" w:hAnsi="宋体" w:eastAsia="楷体_GB2312"/>
          <w:b/>
          <w:sz w:val="32"/>
          <w:szCs w:val="32"/>
        </w:rPr>
      </w:pPr>
      <w:r>
        <w:rPr>
          <w:rFonts w:ascii="楷体_GB2312" w:hAnsi="宋体" w:eastAsia="楷体_GB2312"/>
          <w:b/>
          <w:sz w:val="32"/>
          <w:szCs w:val="32"/>
        </w:rPr>
        <w:t>（三）政府性基金预算财政拨款支出情况。</w:t>
      </w:r>
    </w:p>
    <w:p>
      <w:pPr>
        <w:spacing w:line="540" w:lineRule="exact"/>
        <w:ind w:firstLine="640" w:firstLineChars="200"/>
        <w:outlineLvl w:val="2"/>
        <w:rPr>
          <w:rFonts w:hint="default" w:ascii="仿宋_GB2312" w:hAnsi="宋体" w:eastAsia="仿宋_GB2312"/>
          <w:sz w:val="32"/>
          <w:szCs w:val="32"/>
        </w:rPr>
      </w:pPr>
      <w:r>
        <w:rPr>
          <w:rFonts w:ascii="仿宋_GB2312" w:hAnsi="宋体" w:eastAsia="仿宋_GB2312"/>
          <w:sz w:val="32"/>
          <w:szCs w:val="32"/>
        </w:rPr>
        <w:t>本年未发生此项资金。</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年因公出国（境）费比上年减少0万元，下降0%，主要是无出国任务。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2022年度一般公共预算财政拨款基本支出443.8万元，其中：人员经费418.17万元，主要包括基本工资、津贴补贴、奖金、其他社会保障缴费、机关事业单位基本养老保险缴费、其他工资福利支出、离休费、退休费、抚恤金、生活补助、奖励金、住房公积金、采暖补贴、其他对个人和家庭补助的支出；日常公用经费25.63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2022年机关运行经费支出0万元，与上年持平，主要原因是浑南区档案馆属于事业单位，无机关运行经费。</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2022年政府采购支出总额2.28万元，其中：政府采购货物支出0万元，政府采购工程支出0万元，政府采购服务支出2.28万元。授予中小企业合同金额2.28万元，占政府采购支出总额的0%，其中：授予小微企业合同金额0万元，占政府采购支出总额的0%；货物采购授予中小企业合同金额占货物支出金额的0%；工程采购授予中小企业合同金额占工程支出金额的0%；服务采购授予中小企业合同金额占服务支出金额的100%。</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2022年12月31日，共有车辆0辆，其中：副省级以上领导干部用车0辆，主要领导干部用车0辆，机要通讯用车0辆，应急保障用车0辆，执法执勤用车0辆，特种专业技术用车0辆，离退休干部用车0辆，其他用车0辆；单位价值50万元以上通用设备1台（套），单价100万元以上专用设备0台（套）。</w:t>
      </w:r>
    </w:p>
    <w:p>
      <w:pPr>
        <w:widowControl/>
        <w:spacing w:line="540" w:lineRule="exact"/>
        <w:ind w:firstLine="643" w:firstLineChars="200"/>
        <w:jc w:val="left"/>
        <w:rPr>
          <w:rFonts w:hint="default"/>
          <w:b/>
          <w:color w:val="FF0000"/>
        </w:rPr>
      </w:pPr>
      <w:r>
        <w:rPr>
          <w:rFonts w:ascii="楷体_GB2312" w:eastAsia="楷体_GB2312"/>
          <w:b/>
          <w:sz w:val="32"/>
        </w:rPr>
        <w:t>（四）预算绩效管理工作开展情况。</w:t>
      </w:r>
    </w:p>
    <w:p>
      <w:pPr>
        <w:widowControl/>
        <w:spacing w:line="520" w:lineRule="exact"/>
        <w:ind w:firstLine="643" w:firstLineChars="200"/>
        <w:jc w:val="left"/>
        <w:rPr>
          <w:rFonts w:hint="default" w:ascii="仿宋_GB2312" w:hAnsi="仿宋_GB2312" w:eastAsia="仿宋_GB2312" w:cs="仿宋_GB2312"/>
        </w:rPr>
      </w:pPr>
      <w:r>
        <w:rPr>
          <w:rFonts w:ascii="仿宋_GB2312" w:hAnsi="仿宋_GB2312" w:eastAsia="仿宋_GB2312" w:cs="仿宋_GB2312"/>
          <w:b/>
          <w:sz w:val="32"/>
          <w:szCs w:val="32"/>
        </w:rPr>
        <w:t>1.绩效评价工作开展情况。</w:t>
      </w:r>
    </w:p>
    <w:p>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根据预算</w:t>
      </w:r>
      <w:r>
        <w:rPr>
          <w:rFonts w:hAnsi="宋体" w:eastAsia="仿宋_GB2312" w:cs="仿宋_GB2312"/>
          <w:sz w:val="32"/>
          <w:szCs w:val="32"/>
        </w:rPr>
        <w:t>绩效</w:t>
      </w:r>
      <w:r>
        <w:rPr>
          <w:rFonts w:ascii="仿宋_GB2312" w:hAnsi="宋体" w:eastAsia="仿宋_GB2312" w:cs="仿宋_GB2312"/>
          <w:sz w:val="32"/>
          <w:szCs w:val="32"/>
        </w:rPr>
        <w:t>管理要求，本部门组织对</w:t>
      </w:r>
      <w:r>
        <w:rPr>
          <w:rFonts w:ascii="仿宋_GB2312" w:hAnsi="宋体" w:eastAsia="仿宋_GB2312" w:cs="宋体"/>
          <w:sz w:val="32"/>
          <w:szCs w:val="32"/>
        </w:rPr>
        <w:t>2022</w:t>
      </w:r>
      <w:r>
        <w:rPr>
          <w:rFonts w:ascii="仿宋_GB2312" w:hAnsi="宋体" w:eastAsia="仿宋_GB2312" w:cs="仿宋_GB2312"/>
          <w:sz w:val="32"/>
          <w:szCs w:val="32"/>
        </w:rPr>
        <w:t>年度预算项目支出全面开展绩效自评，共涉及预算支出项目12个（其中：一般公共预算项目12个，政府性基金预算项目0个，国有资本经营预算项目0个），涉及资金540.76万元（其中：一般公共预算资金540.76万元，政府性基金预算资金0万元，国有资本经营预算资金0万元），自评覆盖率（开展绩效自评的项目数</w:t>
      </w:r>
      <w:r>
        <w:rPr>
          <w:rFonts w:ascii="仿宋_GB2312" w:hAnsi="宋体" w:eastAsia="仿宋_GB2312" w:cs="宋体"/>
          <w:sz w:val="32"/>
          <w:szCs w:val="32"/>
        </w:rPr>
        <w:t>/年初批复绩效目标的项目数*100%）达到</w:t>
      </w:r>
      <w:r>
        <w:rPr>
          <w:rFonts w:ascii="仿宋_GB2312" w:hAnsi="宋体" w:eastAsia="仿宋_GB2312" w:cs="仿宋_GB2312"/>
          <w:sz w:val="32"/>
          <w:szCs w:val="32"/>
        </w:rPr>
        <w:t>100</w:t>
      </w:r>
      <w:r>
        <w:rPr>
          <w:rFonts w:ascii="仿宋_GB2312" w:hAnsi="宋体" w:eastAsia="仿宋_GB2312" w:cs="宋体"/>
          <w:sz w:val="32"/>
          <w:szCs w:val="32"/>
        </w:rPr>
        <w:t>%</w:t>
      </w:r>
      <w:r>
        <w:rPr>
          <w:rFonts w:ascii="仿宋_GB2312" w:hAnsi="宋体" w:eastAsia="仿宋_GB2312" w:cs="仿宋_GB2312"/>
          <w:sz w:val="32"/>
          <w:szCs w:val="32"/>
        </w:rPr>
        <w:t>。</w:t>
      </w:r>
    </w:p>
    <w:p>
      <w:pPr>
        <w:widowControl/>
        <w:spacing w:line="520" w:lineRule="exact"/>
        <w:ind w:firstLine="640" w:firstLineChars="200"/>
        <w:jc w:val="left"/>
        <w:rPr>
          <w:rFonts w:hint="default"/>
        </w:rPr>
      </w:pPr>
      <w:r>
        <w:rPr>
          <w:rFonts w:hAnsi="宋体" w:eastAsia="仿宋_GB2312" w:cs="仿宋_GB2312"/>
          <w:sz w:val="32"/>
          <w:szCs w:val="32"/>
        </w:rPr>
        <w:t>组织对</w:t>
      </w:r>
      <w:r>
        <w:rPr>
          <w:rFonts w:hint="eastAsia" w:ascii="仿宋_GB2312" w:hAnsi="宋体" w:eastAsia="仿宋_GB2312" w:cs="仿宋_GB2312"/>
          <w:sz w:val="32"/>
          <w:szCs w:val="32"/>
          <w:lang w:eastAsia="zh-CN"/>
        </w:rPr>
        <w:t>本部门</w:t>
      </w:r>
      <w:r>
        <w:rPr>
          <w:rFonts w:hAnsi="宋体" w:eastAsia="仿宋_GB2312" w:cs="仿宋_GB2312"/>
          <w:sz w:val="32"/>
          <w:szCs w:val="32"/>
        </w:rPr>
        <w:t>开展整体绩效自评，涉及资金</w:t>
      </w:r>
      <w:r>
        <w:rPr>
          <w:rFonts w:ascii="仿宋_GB2312" w:hAnsi="宋体" w:eastAsia="仿宋_GB2312" w:cs="仿宋_GB2312"/>
          <w:sz w:val="32"/>
          <w:szCs w:val="32"/>
        </w:rPr>
        <w:t>540.76</w:t>
      </w:r>
      <w:r>
        <w:rPr>
          <w:rFonts w:hAnsi="宋体" w:eastAsia="仿宋_GB2312" w:cs="仿宋_GB2312"/>
          <w:sz w:val="32"/>
          <w:szCs w:val="32"/>
        </w:rPr>
        <w:t>万元。《部门（单位）整体绩效自评表》见附件。</w:t>
      </w:r>
    </w:p>
    <w:p>
      <w:pPr>
        <w:widowControl/>
        <w:spacing w:line="520" w:lineRule="exact"/>
        <w:ind w:firstLine="640" w:firstLineChars="200"/>
        <w:jc w:val="left"/>
        <w:rPr>
          <w:rFonts w:hint="default" w:hAnsi="宋体" w:eastAsia="仿宋_GB2312" w:cs="仿宋_GB2312"/>
          <w:sz w:val="32"/>
          <w:szCs w:val="32"/>
        </w:rPr>
      </w:pPr>
      <w:r>
        <w:rPr>
          <w:rFonts w:hAnsi="宋体" w:eastAsia="仿宋_GB2312" w:cs="仿宋_GB2312"/>
          <w:sz w:val="32"/>
          <w:szCs w:val="32"/>
        </w:rPr>
        <w:t>2022年我部门不涉及特定目标绩效</w:t>
      </w:r>
      <w:bookmarkStart w:id="0" w:name="_GoBack"/>
      <w:bookmarkEnd w:id="0"/>
      <w:r>
        <w:rPr>
          <w:rFonts w:hAnsi="宋体" w:eastAsia="仿宋_GB2312" w:cs="仿宋_GB2312"/>
          <w:sz w:val="32"/>
          <w:szCs w:val="32"/>
        </w:rPr>
        <w:t>评价。</w:t>
      </w:r>
    </w:p>
    <w:p>
      <w:pPr>
        <w:widowControl/>
        <w:spacing w:line="520" w:lineRule="exact"/>
        <w:ind w:firstLine="643" w:firstLineChars="200"/>
        <w:jc w:val="left"/>
        <w:rPr>
          <w:rFonts w:hint="default" w:ascii="仿宋_GB2312" w:hAnsi="宋体" w:eastAsia="仿宋_GB2312" w:cs="仿宋_GB2312"/>
          <w:b/>
          <w:bCs/>
          <w:sz w:val="32"/>
          <w:szCs w:val="32"/>
        </w:rPr>
      </w:pPr>
      <w:r>
        <w:rPr>
          <w:rFonts w:ascii="仿宋_GB2312" w:hAnsi="宋体" w:eastAsia="仿宋_GB2312" w:cs="仿宋_GB2312"/>
          <w:b/>
          <w:bCs/>
          <w:sz w:val="32"/>
          <w:szCs w:val="32"/>
        </w:rPr>
        <w:t>2.项目绩效自评结果。</w:t>
      </w:r>
    </w:p>
    <w:p>
      <w:pPr>
        <w:widowControl/>
        <w:spacing w:line="520" w:lineRule="exact"/>
        <w:ind w:firstLine="640" w:firstLineChars="200"/>
        <w:jc w:val="left"/>
        <w:rPr>
          <w:rFonts w:hint="default" w:hAnsi="宋体" w:eastAsia="仿宋_GB2312" w:cs="仿宋_GB2312"/>
          <w:sz w:val="32"/>
          <w:szCs w:val="32"/>
        </w:rPr>
      </w:pPr>
      <w:r>
        <w:rPr>
          <w:rFonts w:hAnsi="宋体" w:eastAsia="仿宋_GB2312" w:cs="仿宋_GB2312"/>
          <w:sz w:val="32"/>
          <w:szCs w:val="32"/>
        </w:rPr>
        <w:t>2022年我部门不涉及特定目标绩效评价。</w:t>
      </w:r>
    </w:p>
    <w:p>
      <w:pPr>
        <w:widowControl/>
        <w:spacing w:line="520" w:lineRule="exact"/>
        <w:ind w:firstLine="643" w:firstLineChars="200"/>
        <w:jc w:val="left"/>
        <w:rPr>
          <w:rFonts w:ascii="仿宋_GB2312" w:hAnsi="宋体" w:eastAsia="仿宋_GB2312" w:cs="仿宋_GB2312"/>
          <w:b/>
          <w:bCs/>
          <w:sz w:val="32"/>
          <w:szCs w:val="32"/>
        </w:rPr>
      </w:pPr>
      <w:r>
        <w:rPr>
          <w:rFonts w:ascii="仿宋_GB2312" w:hAnsi="宋体" w:eastAsia="仿宋_GB2312" w:cs="仿宋_GB2312"/>
          <w:b/>
          <w:bCs/>
          <w:sz w:val="32"/>
          <w:szCs w:val="32"/>
        </w:rPr>
        <w:t>3.部门评价结果。</w:t>
      </w:r>
    </w:p>
    <w:p>
      <w:pPr>
        <w:widowControl/>
        <w:jc w:val="left"/>
        <w:rPr>
          <w:rFonts w:hAnsi="宋体" w:eastAsia="仿宋_GB2312" w:cs="仿宋_GB2312"/>
          <w:sz w:val="32"/>
          <w:szCs w:val="32"/>
        </w:rPr>
      </w:pPr>
      <w:r>
        <w:rPr>
          <w:rFonts w:hAnsi="宋体" w:eastAsia="仿宋_GB2312" w:cs="仿宋_GB2312"/>
          <w:sz w:val="32"/>
          <w:szCs w:val="32"/>
        </w:rPr>
        <w:t xml:space="preserve">   该部门预算较好，强调预算管理的过程管理，认真组织实施。</w:t>
      </w:r>
    </w:p>
    <w:p>
      <w:pPr>
        <w:widowControl/>
        <w:spacing w:line="520" w:lineRule="exact"/>
        <w:ind w:firstLine="643" w:firstLineChars="200"/>
        <w:jc w:val="left"/>
        <w:rPr>
          <w:rFonts w:hint="default"/>
          <w:sz w:val="32"/>
          <w:szCs w:val="32"/>
        </w:rPr>
      </w:pPr>
      <w:r>
        <w:rPr>
          <w:rFonts w:ascii="仿宋_GB2312" w:hAnsi="宋体" w:eastAsia="仿宋_GB2312" w:cs="仿宋_GB2312"/>
          <w:b/>
          <w:bCs/>
          <w:sz w:val="32"/>
          <w:szCs w:val="32"/>
        </w:rPr>
        <w:t>4.财政评价结果。</w:t>
      </w:r>
    </w:p>
    <w:p>
      <w:pPr>
        <w:widowControl/>
        <w:jc w:val="left"/>
        <w:rPr>
          <w:rFonts w:hAnsi="宋体" w:eastAsia="仿宋_GB2312" w:cs="仿宋_GB2312"/>
          <w:sz w:val="32"/>
          <w:szCs w:val="32"/>
        </w:rPr>
      </w:pPr>
      <w:r>
        <w:rPr>
          <w:rFonts w:hAnsi="宋体" w:eastAsia="仿宋_GB2312" w:cs="仿宋_GB2312"/>
          <w:sz w:val="32"/>
          <w:szCs w:val="32"/>
        </w:rPr>
        <w:t xml:space="preserve">  该部门预算较好，根据工作需要，做好下年度预算编制工作，发挥财政资金更大效益</w:t>
      </w: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3" w:type="default"/>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b/>
          <w:sz w:val="52"/>
          <w:szCs w:val="52"/>
        </w:rPr>
      </w:pPr>
      <w:r>
        <w:rPr>
          <w:rFonts w:ascii="仿宋_GB2312" w:hAnsi="仿宋_GB2312" w:eastAsia="仿宋_GB2312" w:cs="仿宋_GB2312"/>
          <w:b/>
          <w:sz w:val="52"/>
          <w:szCs w:val="52"/>
        </w:rPr>
        <w:t>第四部分</w:t>
      </w:r>
      <w:r>
        <w:rPr>
          <w:b/>
          <w:sz w:val="52"/>
          <w:szCs w:val="52"/>
        </w:rPr>
        <w:t>沈阳市浑南区档案馆（沈阳市浑南区人民政府</w:t>
      </w:r>
    </w:p>
    <w:p>
      <w:pPr>
        <w:pStyle w:val="6"/>
        <w:spacing w:line="560" w:lineRule="atLeast"/>
        <w:jc w:val="center"/>
        <w:rPr>
          <w:rFonts w:hint="default"/>
          <w:b/>
          <w:sz w:val="36"/>
        </w:rPr>
      </w:pPr>
      <w:r>
        <w:rPr>
          <w:b/>
          <w:sz w:val="52"/>
          <w:szCs w:val="52"/>
        </w:rPr>
        <w:t>地方志办公室）</w:t>
      </w:r>
      <w:r>
        <w:rPr>
          <w:rFonts w:ascii="仿宋_GB2312" w:hAnsi="仿宋_GB2312" w:eastAsia="仿宋_GB2312" w:cs="仿宋_GB2312"/>
          <w:b/>
          <w:sz w:val="52"/>
          <w:szCs w:val="52"/>
        </w:rPr>
        <w:t>2022年度决算表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numPr>
          <w:ilvl w:val="0"/>
          <w:numId w:val="1"/>
        </w:numPr>
        <w:jc w:val="center"/>
        <w:rPr>
          <w:rFonts w:hint="default" w:ascii="宋体" w:hAnsi="宋体"/>
          <w:b/>
          <w:sz w:val="52"/>
          <w:szCs w:val="52"/>
        </w:rPr>
      </w:pPr>
      <w:r>
        <w:rPr>
          <w:rFonts w:ascii="宋体" w:hAnsi="宋体"/>
          <w:b/>
          <w:sz w:val="52"/>
          <w:szCs w:val="52"/>
        </w:rPr>
        <w:t>附件</w:t>
      </w: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QwNTI5OTU5YTU2NGY4YzQwYWJiNTY3YmJiNmQ5OTEifQ=="/>
  </w:docVars>
  <w:rsids>
    <w:rsidRoot w:val="1C635C29"/>
    <w:rsid w:val="000003B5"/>
    <w:rsid w:val="00060165"/>
    <w:rsid w:val="000B596F"/>
    <w:rsid w:val="00100607"/>
    <w:rsid w:val="001648D5"/>
    <w:rsid w:val="001D0B4A"/>
    <w:rsid w:val="00213A9D"/>
    <w:rsid w:val="00234413"/>
    <w:rsid w:val="00285967"/>
    <w:rsid w:val="00320394"/>
    <w:rsid w:val="00342E31"/>
    <w:rsid w:val="0038444A"/>
    <w:rsid w:val="00385B5B"/>
    <w:rsid w:val="00387684"/>
    <w:rsid w:val="003B4D7F"/>
    <w:rsid w:val="0044142C"/>
    <w:rsid w:val="00485722"/>
    <w:rsid w:val="004B0A90"/>
    <w:rsid w:val="00505889"/>
    <w:rsid w:val="005812D3"/>
    <w:rsid w:val="005814A4"/>
    <w:rsid w:val="00590A8D"/>
    <w:rsid w:val="00594403"/>
    <w:rsid w:val="005A3F85"/>
    <w:rsid w:val="005C4DCE"/>
    <w:rsid w:val="00670B69"/>
    <w:rsid w:val="00695577"/>
    <w:rsid w:val="00753B9D"/>
    <w:rsid w:val="00756329"/>
    <w:rsid w:val="007B4052"/>
    <w:rsid w:val="007B5E1B"/>
    <w:rsid w:val="007C1134"/>
    <w:rsid w:val="007F77B9"/>
    <w:rsid w:val="008040A1"/>
    <w:rsid w:val="00804D92"/>
    <w:rsid w:val="0082276E"/>
    <w:rsid w:val="00852B6C"/>
    <w:rsid w:val="0086581E"/>
    <w:rsid w:val="008C19DA"/>
    <w:rsid w:val="00954778"/>
    <w:rsid w:val="009620D0"/>
    <w:rsid w:val="009D13E5"/>
    <w:rsid w:val="00A06C2C"/>
    <w:rsid w:val="00A113A9"/>
    <w:rsid w:val="00A17144"/>
    <w:rsid w:val="00A472D1"/>
    <w:rsid w:val="00A5357A"/>
    <w:rsid w:val="00A57A14"/>
    <w:rsid w:val="00A92D51"/>
    <w:rsid w:val="00AC11F7"/>
    <w:rsid w:val="00B31C48"/>
    <w:rsid w:val="00B54181"/>
    <w:rsid w:val="00BC09C4"/>
    <w:rsid w:val="00BF100B"/>
    <w:rsid w:val="00C17418"/>
    <w:rsid w:val="00C53B29"/>
    <w:rsid w:val="00C72DF4"/>
    <w:rsid w:val="00C72F29"/>
    <w:rsid w:val="00C8543E"/>
    <w:rsid w:val="00C86BE0"/>
    <w:rsid w:val="00D24C5A"/>
    <w:rsid w:val="00DA003F"/>
    <w:rsid w:val="00DB1557"/>
    <w:rsid w:val="00DC3915"/>
    <w:rsid w:val="00DC45C9"/>
    <w:rsid w:val="00E40885"/>
    <w:rsid w:val="00E41864"/>
    <w:rsid w:val="00E4305D"/>
    <w:rsid w:val="00EF06FA"/>
    <w:rsid w:val="00EF196E"/>
    <w:rsid w:val="00F16B2B"/>
    <w:rsid w:val="00F67249"/>
    <w:rsid w:val="00F71566"/>
    <w:rsid w:val="00F724E9"/>
    <w:rsid w:val="01622E76"/>
    <w:rsid w:val="082C6248"/>
    <w:rsid w:val="09C4782E"/>
    <w:rsid w:val="0ECB7368"/>
    <w:rsid w:val="0FD91C07"/>
    <w:rsid w:val="11612EA5"/>
    <w:rsid w:val="12CC5588"/>
    <w:rsid w:val="131E2240"/>
    <w:rsid w:val="150E1F15"/>
    <w:rsid w:val="1B9703C5"/>
    <w:rsid w:val="1C635C29"/>
    <w:rsid w:val="1C6537BA"/>
    <w:rsid w:val="286C4199"/>
    <w:rsid w:val="28977847"/>
    <w:rsid w:val="2A3D2189"/>
    <w:rsid w:val="2E4F6256"/>
    <w:rsid w:val="34FF7D5D"/>
    <w:rsid w:val="36230505"/>
    <w:rsid w:val="3BA207ED"/>
    <w:rsid w:val="43ED4466"/>
    <w:rsid w:val="46CA2860"/>
    <w:rsid w:val="474C6DD1"/>
    <w:rsid w:val="54F6469B"/>
    <w:rsid w:val="59C52B8D"/>
    <w:rsid w:val="5AE973A2"/>
    <w:rsid w:val="5B697371"/>
    <w:rsid w:val="67277FC8"/>
    <w:rsid w:val="673C6F2C"/>
    <w:rsid w:val="6DA15E5C"/>
    <w:rsid w:val="6FE5071F"/>
    <w:rsid w:val="70C70595"/>
    <w:rsid w:val="724179B2"/>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4974</Words>
  <Characters>5367</Characters>
  <Lines>39</Lines>
  <Paragraphs>11</Paragraphs>
  <TotalTime>8</TotalTime>
  <ScaleCrop>false</ScaleCrop>
  <LinksUpToDate>false</LinksUpToDate>
  <CharactersWithSpaces>5402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2023-09-06T07:57:00Z</cp:lastPrinted>
  <dcterms:modified xsi:type="dcterms:W3CDTF">2023-09-08T08:29:39Z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