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辽宁省沈阳市浑南区档案馆</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辽宁省沈阳市浑南区档案馆</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辽宁省沈阳市浑南区档案馆</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辽宁省沈阳市浑南区档案馆</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辽宁省沈阳市浑南区档案馆</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辽宁省沈阳市浑南区档案馆概况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（一）接收档案馆保管范围内对国家和社会有保存价值的档案资料；征集与浑南有关的档案资料。</w:t>
        <w:br/>
        <w:t xml:space="preserve">    （二）对所保存的档案资料严格按照规定规范整理和安全保管。</w:t>
        <w:br/>
        <w:t xml:space="preserve">    （三）采取各种形式开发档案资源，为浑南区中心工作、社会利用档案资料提供服务。</w:t>
        <w:br/>
        <w:t xml:space="preserve">    （四）推进档案馆工作的科学化管理和信息化建设，做好档案资料编研出版工作。</w:t>
        <w:br/>
        <w:t xml:space="preserve">    （五）负责区规划展示馆的综合管理工作。</w:t>
        <w:br/>
        <w:t xml:space="preserve">    （六）完成区委及区委办公室交办的其他任务。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辽宁省沈阳市浑南区档案馆</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浑南区档案馆本级，本单位无下设机构。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232.12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232.12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232.12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减少289.60万元，降低55.51%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232.12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158.16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68.14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工资福利支出130.51万元；商品和服务支出8.90万元；对个人和家庭的补助18.75万元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73.95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31.86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主要包括水费、取暖费、委托业务费等业务支出。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减少289.60万元，降低55.51%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2024年有人员调出，基本支出降低</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无年末结转和结余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232.12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158.16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73.95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减少289.60万元，降低55.51%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2024年有人员调出，基本支出降低</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81.34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123.05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47.16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2024年度一般公共预算财政拨款支出232.12万元。按支出功能分类科目分，包括：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1.一般公共服务支出180.87万元，具体包括：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事业运行（项）106.92万元,主要是工资、办公费等支出，完成年初预算的43.52%，决算数与年初预算数存在差异的主要原因是因单位性质变更，部分事业运行支出调整为其他党委办公厅（室）及相关机构事务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其他党委办公厅（室）及相关机构事务支出（项）73.95万元,主要是水费、取暖费、委托业务费等支出，完成年初预算的0.00%，决算数与年初预算数存在差异的主要原因是因单位性质变更，部分事业运行支出调整为其他党委办公厅（室）及相关机构事务支出，年初预算中无其他党委办公厅（室）及相关机构事务项目，无法进行比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2.社会保障和就业支出36.84万元，具体包括：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18.70万元,主要是机关事业单位开资的离退休经费等支出，完成年初预算的100.27%，决算数与年初预算数存在差异的主要原因是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9.32万元,主要是机关事业单位基本养老保险缴费等支出，完成年初预算的100.43%，决算数与年初预算数存在差异的主要原因是人员变动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8.82万元,主要是职业年金缴费等支出，完成年初预算的0.00%，决算数与年初预算数存在差异的主要原因是年初预算中无机关事业单位职业年金缴费支出项目，无法进行比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（1）卫生健康支出（类）行政事业单位医疗（款）事业单位医疗（项）3.73万元,主要是职工基本医疗保险缴费等支出，完成年初预算的94.91%，决算数与年初预算数存在差异的主要原因是人员变动按实际发生支出。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4.住房保障支出10.67万元，具体包括：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（1）住房保障支出（类）住房改革支出（款）住房公积金（项）10.67万元,主要是职工住房公积金缴纳等支出，完成年初预算的89.74%，决算数与年初预算数存在差异的主要原因是人员变动按实际发生支出。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158.16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149.26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8.90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73.85万元。其中，一般公共预算资金73.85万元，占资金总额的100.00%；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4个。通过部门绩效评价发现的主要问题及原因：2024年为节约财政资金使用，减少了业务工作经费、维修(护)费等支出，已要求相关科室按照业务情况，对今后预算编制进行改进。</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科室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232.12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180.87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36.85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10.67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232.12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232.12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232.12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232.12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232.12</w:t>
            </w:r>
          </w:p>
        </w:tc>
        <w:tc>
          <w:tcPr>
            <w:tcW w:w="960" w:type="dxa"/>
            <w:tcBorders/>
            <w:vAlign w:val="center"/>
          </w:tcPr>
          <w:p>
            <w:pPr>
              <w:jc w:val="right"/>
            </w:pPr>
            <w:r>
              <w:rPr>
                <w:rFonts w:ascii="宋体" w:eastAsia="宋体" w:hAnsi="宋体" w:cs="宋体"/>
                <w:b/>
                <w:i w:val="0"/>
                <w:color w:val="000000"/>
                <w:sz w:val="13"/>
              </w:rPr>
              <w:t xml:space="preserve">232.12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180.87</w:t>
            </w:r>
          </w:p>
        </w:tc>
        <w:tc>
          <w:tcPr>
            <w:tcW w:w="960" w:type="dxa"/>
            <w:tcBorders/>
            <w:vAlign w:val="center"/>
          </w:tcPr>
          <w:p>
            <w:pPr>
              <w:jc w:val="right"/>
            </w:pPr>
            <w:r>
              <w:rPr>
                <w:rFonts w:ascii="宋体" w:eastAsia="宋体" w:hAnsi="宋体" w:cs="宋体"/>
                <w:b w:val="0"/>
                <w:i w:val="0"/>
                <w:color w:val="000000"/>
                <w:sz w:val="13"/>
              </w:rPr>
              <w:t xml:space="preserve">180.87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180.87</w:t>
            </w:r>
          </w:p>
        </w:tc>
        <w:tc>
          <w:tcPr>
            <w:tcW w:w="960" w:type="dxa"/>
            <w:tcBorders/>
            <w:vAlign w:val="center"/>
          </w:tcPr>
          <w:p>
            <w:pPr>
              <w:jc w:val="right"/>
            </w:pPr>
            <w:r>
              <w:rPr>
                <w:rFonts w:ascii="宋体" w:eastAsia="宋体" w:hAnsi="宋体" w:cs="宋体"/>
                <w:b w:val="0"/>
                <w:i w:val="0"/>
                <w:color w:val="000000"/>
                <w:sz w:val="13"/>
              </w:rPr>
              <w:t xml:space="preserve">180.87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106.92</w:t>
            </w:r>
          </w:p>
        </w:tc>
        <w:tc>
          <w:tcPr>
            <w:tcW w:w="960" w:type="dxa"/>
            <w:tcBorders/>
            <w:vAlign w:val="center"/>
          </w:tcPr>
          <w:p>
            <w:pPr>
              <w:jc w:val="right"/>
            </w:pPr>
            <w:r>
              <w:rPr>
                <w:rFonts w:ascii="宋体" w:eastAsia="宋体" w:hAnsi="宋体" w:cs="宋体"/>
                <w:b w:val="0"/>
                <w:i w:val="0"/>
                <w:color w:val="000000"/>
                <w:sz w:val="13"/>
              </w:rPr>
              <w:t xml:space="preserve">106.92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2013199</w:t>
            </w:r>
          </w:p>
        </w:tc>
        <w:tc>
          <w:tcPr>
            <w:tcW w:w="3200" w:type="dxa"/>
            <w:tcBorders/>
            <w:vAlign w:val="center"/>
          </w:tcPr>
          <w:p>
            <w:pPr>
              <w:jc w:val="left"/>
            </w:pPr>
            <w:r>
              <w:rPr>
                <w:rFonts w:ascii="宋体" w:eastAsia="宋体" w:hAnsi="宋体" w:cs="宋体"/>
                <w:b w:val="0"/>
                <w:i w:val="0"/>
                <w:color w:val="000000"/>
                <w:sz w:val="13"/>
              </w:rPr>
              <w:t xml:space="preserve">其他党委办公厅（室）及相关机构事务支出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73.95</w:t>
            </w:r>
          </w:p>
        </w:tc>
        <w:tc>
          <w:tcPr>
            <w:tcW w:w="960" w:type="dxa"/>
            <w:tcBorders/>
            <w:vAlign w:val="center"/>
          </w:tcPr>
          <w:p>
            <w:pPr>
              <w:jc w:val="right"/>
            </w:pPr>
            <w:r>
              <w:rPr>
                <w:rFonts w:ascii="宋体" w:eastAsia="宋体" w:hAnsi="宋体" w:cs="宋体"/>
                <w:b w:val="0"/>
                <w:i w:val="0"/>
                <w:color w:val="000000"/>
                <w:sz w:val="13"/>
              </w:rPr>
              <w:t xml:space="preserve">73.95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36.84</w:t>
            </w:r>
          </w:p>
        </w:tc>
        <w:tc>
          <w:tcPr>
            <w:tcW w:w="960" w:type="dxa"/>
            <w:tcBorders/>
            <w:vAlign w:val="center"/>
          </w:tcPr>
          <w:p>
            <w:pPr>
              <w:jc w:val="right"/>
            </w:pPr>
            <w:r>
              <w:rPr>
                <w:rFonts w:ascii="宋体" w:eastAsia="宋体" w:hAnsi="宋体" w:cs="宋体"/>
                <w:b w:val="0"/>
                <w:i w:val="0"/>
                <w:color w:val="000000"/>
                <w:sz w:val="13"/>
              </w:rPr>
              <w:t xml:space="preserve">36.84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36.84</w:t>
            </w:r>
          </w:p>
        </w:tc>
        <w:tc>
          <w:tcPr>
            <w:tcW w:w="960" w:type="dxa"/>
            <w:tcBorders/>
            <w:vAlign w:val="center"/>
          </w:tcPr>
          <w:p>
            <w:pPr>
              <w:jc w:val="right"/>
            </w:pPr>
            <w:r>
              <w:rPr>
                <w:rFonts w:ascii="宋体" w:eastAsia="宋体" w:hAnsi="宋体" w:cs="宋体"/>
                <w:b w:val="0"/>
                <w:i w:val="0"/>
                <w:color w:val="000000"/>
                <w:sz w:val="13"/>
              </w:rPr>
              <w:t xml:space="preserve">36.84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18.70</w:t>
            </w:r>
          </w:p>
        </w:tc>
        <w:tc>
          <w:tcPr>
            <w:tcW w:w="960" w:type="dxa"/>
            <w:tcBorders/>
            <w:vAlign w:val="center"/>
          </w:tcPr>
          <w:p>
            <w:pPr>
              <w:jc w:val="right"/>
            </w:pPr>
            <w:r>
              <w:rPr>
                <w:rFonts w:ascii="宋体" w:eastAsia="宋体" w:hAnsi="宋体" w:cs="宋体"/>
                <w:b w:val="0"/>
                <w:i w:val="0"/>
                <w:color w:val="000000"/>
                <w:sz w:val="13"/>
              </w:rPr>
              <w:t xml:space="preserve">18.70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jc w:val="right"/>
            </w:pPr>
            <w:r>
              <w:rPr>
                <w:rFonts w:ascii="宋体" w:eastAsia="宋体" w:hAnsi="宋体" w:cs="宋体"/>
                <w:b w:val="0"/>
                <w:i w:val="0"/>
                <w:color w:val="000000"/>
                <w:sz w:val="13"/>
              </w:rPr>
              <w:t xml:space="preserve">9.32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8.82</w:t>
            </w:r>
          </w:p>
        </w:tc>
        <w:tc>
          <w:tcPr>
            <w:tcW w:w="960" w:type="dxa"/>
            <w:tcBorders/>
            <w:vAlign w:val="center"/>
          </w:tcPr>
          <w:p>
            <w:pPr>
              <w:jc w:val="right"/>
            </w:pPr>
            <w:r>
              <w:rPr>
                <w:rFonts w:ascii="宋体" w:eastAsia="宋体" w:hAnsi="宋体" w:cs="宋体"/>
                <w:b w:val="0"/>
                <w:i w:val="0"/>
                <w:color w:val="000000"/>
                <w:sz w:val="13"/>
              </w:rPr>
              <w:t xml:space="preserve">8.82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jc w:val="right"/>
            </w:pPr>
            <w:r>
              <w:rPr>
                <w:rFonts w:ascii="宋体" w:eastAsia="宋体" w:hAnsi="宋体" w:cs="宋体"/>
                <w:b w:val="0"/>
                <w:i w:val="0"/>
                <w:color w:val="000000"/>
                <w:sz w:val="13"/>
              </w:rPr>
              <w:t xml:space="preserve">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jc w:val="right"/>
            </w:pPr>
            <w:r>
              <w:rPr>
                <w:rFonts w:ascii="宋体" w:eastAsia="宋体" w:hAnsi="宋体" w:cs="宋体"/>
                <w:b w:val="0"/>
                <w:i w:val="0"/>
                <w:color w:val="000000"/>
                <w:sz w:val="13"/>
              </w:rPr>
              <w:t xml:space="preserve">10.67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232.12</w:t>
            </w:r>
          </w:p>
        </w:tc>
        <w:tc>
          <w:tcPr>
            <w:tcW w:w="1060" w:type="dxa"/>
            <w:tcBorders/>
            <w:vAlign w:val="center"/>
          </w:tcPr>
          <w:p>
            <w:pPr>
              <w:jc w:val="right"/>
            </w:pPr>
            <w:r>
              <w:rPr>
                <w:rFonts w:ascii="宋体" w:eastAsia="宋体" w:hAnsi="宋体" w:cs="宋体"/>
                <w:b/>
                <w:i w:val="0"/>
                <w:color w:val="000000"/>
                <w:sz w:val="14"/>
              </w:rPr>
              <w:t xml:space="preserve">158.16</w:t>
            </w:r>
          </w:p>
        </w:tc>
        <w:tc>
          <w:tcPr>
            <w:tcW w:w="1060" w:type="dxa"/>
            <w:tcBorders/>
            <w:vAlign w:val="center"/>
          </w:tcPr>
          <w:p>
            <w:pPr>
              <w:jc w:val="right"/>
            </w:pPr>
            <w:r>
              <w:rPr>
                <w:rFonts w:ascii="宋体" w:eastAsia="宋体" w:hAnsi="宋体" w:cs="宋体"/>
                <w:b/>
                <w:i w:val="0"/>
                <w:color w:val="000000"/>
                <w:sz w:val="14"/>
              </w:rPr>
              <w:t xml:space="preserve">73.95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180.87</w:t>
            </w:r>
          </w:p>
        </w:tc>
        <w:tc>
          <w:tcPr>
            <w:tcW w:w="1060" w:type="dxa"/>
            <w:tcBorders/>
            <w:vAlign w:val="center"/>
          </w:tcPr>
          <w:p>
            <w:pPr>
              <w:jc w:val="right"/>
            </w:pPr>
            <w:r>
              <w:rPr>
                <w:rFonts w:ascii="宋体" w:eastAsia="宋体" w:hAnsi="宋体" w:cs="宋体"/>
                <w:b w:val="0"/>
                <w:i w:val="0"/>
                <w:color w:val="000000"/>
                <w:sz w:val="14"/>
              </w:rPr>
              <w:t xml:space="preserve">106.92</w:t>
            </w:r>
          </w:p>
        </w:tc>
        <w:tc>
          <w:tcPr>
            <w:tcW w:w="1060" w:type="dxa"/>
            <w:tcBorders/>
            <w:vAlign w:val="center"/>
          </w:tcPr>
          <w:p>
            <w:pPr>
              <w:jc w:val="right"/>
            </w:pPr>
            <w:r>
              <w:rPr>
                <w:rFonts w:ascii="宋体" w:eastAsia="宋体" w:hAnsi="宋体" w:cs="宋体"/>
                <w:b w:val="0"/>
                <w:i w:val="0"/>
                <w:color w:val="000000"/>
                <w:sz w:val="14"/>
              </w:rPr>
              <w:t xml:space="preserve">73.95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180.87</w:t>
            </w:r>
          </w:p>
        </w:tc>
        <w:tc>
          <w:tcPr>
            <w:tcW w:w="1060" w:type="dxa"/>
            <w:tcBorders/>
            <w:vAlign w:val="center"/>
          </w:tcPr>
          <w:p>
            <w:pPr>
              <w:jc w:val="right"/>
            </w:pPr>
            <w:r>
              <w:rPr>
                <w:rFonts w:ascii="宋体" w:eastAsia="宋体" w:hAnsi="宋体" w:cs="宋体"/>
                <w:b w:val="0"/>
                <w:i w:val="0"/>
                <w:color w:val="000000"/>
                <w:sz w:val="14"/>
              </w:rPr>
              <w:t xml:space="preserve">106.92</w:t>
            </w:r>
          </w:p>
        </w:tc>
        <w:tc>
          <w:tcPr>
            <w:tcW w:w="1060" w:type="dxa"/>
            <w:tcBorders/>
            <w:vAlign w:val="center"/>
          </w:tcPr>
          <w:p>
            <w:pPr>
              <w:jc w:val="right"/>
            </w:pPr>
            <w:r>
              <w:rPr>
                <w:rFonts w:ascii="宋体" w:eastAsia="宋体" w:hAnsi="宋体" w:cs="宋体"/>
                <w:b w:val="0"/>
                <w:i w:val="0"/>
                <w:color w:val="000000"/>
                <w:sz w:val="14"/>
              </w:rPr>
              <w:t xml:space="preserve">73.95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106.92</w:t>
            </w:r>
          </w:p>
        </w:tc>
        <w:tc>
          <w:tcPr>
            <w:tcW w:w="1060" w:type="dxa"/>
            <w:tcBorders/>
            <w:vAlign w:val="center"/>
          </w:tcPr>
          <w:p>
            <w:pPr>
              <w:jc w:val="right"/>
            </w:pPr>
            <w:r>
              <w:rPr>
                <w:rFonts w:ascii="宋体" w:eastAsia="宋体" w:hAnsi="宋体" w:cs="宋体"/>
                <w:b w:val="0"/>
                <w:i w:val="0"/>
                <w:color w:val="000000"/>
                <w:sz w:val="14"/>
              </w:rPr>
              <w:t xml:space="preserve">106.92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2013199</w:t>
            </w:r>
          </w:p>
        </w:tc>
        <w:tc>
          <w:tcPr>
            <w:tcW w:w="3440" w:type="dxa"/>
            <w:tcBorders/>
            <w:vAlign w:val="center"/>
          </w:tcPr>
          <w:p>
            <w:pPr>
              <w:jc w:val="left"/>
            </w:pPr>
            <w:r>
              <w:rPr>
                <w:rFonts w:ascii="宋体" w:eastAsia="宋体" w:hAnsi="宋体" w:cs="宋体"/>
                <w:b w:val="0"/>
                <w:i w:val="0"/>
                <w:color w:val="000000"/>
                <w:sz w:val="14"/>
              </w:rPr>
              <w:t xml:space="preserve">其他党委办公厅（室）及相关机构事务支出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73.95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36.84</w:t>
            </w:r>
          </w:p>
        </w:tc>
        <w:tc>
          <w:tcPr>
            <w:tcW w:w="1060" w:type="dxa"/>
            <w:tcBorders/>
            <w:vAlign w:val="center"/>
          </w:tcPr>
          <w:p>
            <w:pPr>
              <w:jc w:val="right"/>
            </w:pPr>
            <w:r>
              <w:rPr>
                <w:rFonts w:ascii="宋体" w:eastAsia="宋体" w:hAnsi="宋体" w:cs="宋体"/>
                <w:b w:val="0"/>
                <w:i w:val="0"/>
                <w:color w:val="000000"/>
                <w:sz w:val="14"/>
              </w:rPr>
              <w:t xml:space="preserve">36.84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36.84</w:t>
            </w:r>
          </w:p>
        </w:tc>
        <w:tc>
          <w:tcPr>
            <w:tcW w:w="1060" w:type="dxa"/>
            <w:tcBorders/>
            <w:vAlign w:val="center"/>
          </w:tcPr>
          <w:p>
            <w:pPr>
              <w:jc w:val="right"/>
            </w:pPr>
            <w:r>
              <w:rPr>
                <w:rFonts w:ascii="宋体" w:eastAsia="宋体" w:hAnsi="宋体" w:cs="宋体"/>
                <w:b w:val="0"/>
                <w:i w:val="0"/>
                <w:color w:val="000000"/>
                <w:sz w:val="14"/>
              </w:rPr>
              <w:t xml:space="preserve">36.84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18.70</w:t>
            </w:r>
          </w:p>
        </w:tc>
        <w:tc>
          <w:tcPr>
            <w:tcW w:w="1060" w:type="dxa"/>
            <w:tcBorders/>
            <w:vAlign w:val="center"/>
          </w:tcPr>
          <w:p>
            <w:pPr>
              <w:jc w:val="right"/>
            </w:pPr>
            <w:r>
              <w:rPr>
                <w:rFonts w:ascii="宋体" w:eastAsia="宋体" w:hAnsi="宋体" w:cs="宋体"/>
                <w:b w:val="0"/>
                <w:i w:val="0"/>
                <w:color w:val="000000"/>
                <w:sz w:val="14"/>
              </w:rPr>
              <w:t xml:space="preserve">18.70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jc w:val="right"/>
            </w:pPr>
            <w:r>
              <w:rPr>
                <w:rFonts w:ascii="宋体" w:eastAsia="宋体" w:hAnsi="宋体" w:cs="宋体"/>
                <w:b w:val="0"/>
                <w:i w:val="0"/>
                <w:color w:val="000000"/>
                <w:sz w:val="14"/>
              </w:rPr>
              <w:t xml:space="preserve">9.32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8.82</w:t>
            </w:r>
          </w:p>
        </w:tc>
        <w:tc>
          <w:tcPr>
            <w:tcW w:w="1060" w:type="dxa"/>
            <w:tcBorders/>
            <w:vAlign w:val="center"/>
          </w:tcPr>
          <w:p>
            <w:pPr>
              <w:jc w:val="right"/>
            </w:pPr>
            <w:r>
              <w:rPr>
                <w:rFonts w:ascii="宋体" w:eastAsia="宋体" w:hAnsi="宋体" w:cs="宋体"/>
                <w:b w:val="0"/>
                <w:i w:val="0"/>
                <w:color w:val="000000"/>
                <w:sz w:val="14"/>
              </w:rPr>
              <w:t xml:space="preserve">8.82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jc w:val="right"/>
            </w:pPr>
            <w:r>
              <w:rPr>
                <w:rFonts w:ascii="宋体" w:eastAsia="宋体" w:hAnsi="宋体" w:cs="宋体"/>
                <w:b w:val="0"/>
                <w:i w:val="0"/>
                <w:color w:val="000000"/>
                <w:sz w:val="14"/>
              </w:rPr>
              <w:t xml:space="preserve">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jc w:val="right"/>
            </w:pPr>
            <w:r>
              <w:rPr>
                <w:rFonts w:ascii="宋体" w:eastAsia="宋体" w:hAnsi="宋体" w:cs="宋体"/>
                <w:b w:val="0"/>
                <w:i w:val="0"/>
                <w:color w:val="000000"/>
                <w:sz w:val="14"/>
              </w:rPr>
              <w:t xml:space="preserve">10.67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180.87</w:t>
            </w:r>
          </w:p>
        </w:tc>
        <w:tc>
          <w:tcPr>
            <w:tcW w:w="1100" w:type="dxa"/>
            <w:tcBorders/>
            <w:vAlign w:val="center"/>
          </w:tcPr>
          <w:p>
            <w:pPr>
              <w:jc w:val="right"/>
            </w:pPr>
            <w:r>
              <w:rPr>
                <w:rFonts w:ascii="宋体" w:eastAsia="宋体" w:hAnsi="宋体" w:cs="宋体"/>
                <w:b w:val="0"/>
                <w:i w:val="0"/>
                <w:color w:val="000000"/>
                <w:sz w:val="14"/>
              </w:rPr>
              <w:t xml:space="preserve">180.87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36.85</w:t>
            </w:r>
          </w:p>
        </w:tc>
        <w:tc>
          <w:tcPr>
            <w:tcW w:w="1100" w:type="dxa"/>
            <w:tcBorders/>
            <w:vAlign w:val="center"/>
          </w:tcPr>
          <w:p>
            <w:pPr>
              <w:jc w:val="right"/>
            </w:pPr>
            <w:r>
              <w:rPr>
                <w:rFonts w:ascii="宋体" w:eastAsia="宋体" w:hAnsi="宋体" w:cs="宋体"/>
                <w:b w:val="0"/>
                <w:i w:val="0"/>
                <w:color w:val="000000"/>
                <w:sz w:val="14"/>
              </w:rPr>
              <w:t xml:space="preserve">36.85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3.73</w:t>
            </w:r>
          </w:p>
        </w:tc>
        <w:tc>
          <w:tcPr>
            <w:tcW w:w="1100" w:type="dxa"/>
            <w:tcBorders/>
            <w:vAlign w:val="center"/>
          </w:tcPr>
          <w:p>
            <w:pPr>
              <w:jc w:val="right"/>
            </w:pPr>
            <w:r>
              <w:rPr>
                <w:rFonts w:ascii="宋体" w:eastAsia="宋体" w:hAnsi="宋体" w:cs="宋体"/>
                <w:b w:val="0"/>
                <w:i w:val="0"/>
                <w:color w:val="000000"/>
                <w:sz w:val="14"/>
              </w:rPr>
              <w:t xml:space="preserve">3.73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10.67</w:t>
            </w:r>
          </w:p>
        </w:tc>
        <w:tc>
          <w:tcPr>
            <w:tcW w:w="1100" w:type="dxa"/>
            <w:tcBorders/>
            <w:vAlign w:val="center"/>
          </w:tcPr>
          <w:p>
            <w:pPr>
              <w:jc w:val="right"/>
            </w:pPr>
            <w:r>
              <w:rPr>
                <w:rFonts w:ascii="宋体" w:eastAsia="宋体" w:hAnsi="宋体" w:cs="宋体"/>
                <w:b w:val="0"/>
                <w:i w:val="0"/>
                <w:color w:val="000000"/>
                <w:sz w:val="14"/>
              </w:rPr>
              <w:t xml:space="preserve">10.67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1100" w:type="dxa"/>
            <w:tcBorders/>
            <w:vAlign w:val="center"/>
          </w:tcPr>
          <w:p>
            <w:pPr>
              <w:jc w:val="right"/>
            </w:pPr>
            <w:r>
              <w:rPr>
                <w:rFonts w:ascii="宋体" w:eastAsia="宋体" w:hAnsi="宋体" w:cs="宋体"/>
                <w:b w:val="0"/>
                <w:i w:val="0"/>
                <w:color w:val="000000"/>
                <w:sz w:val="14"/>
              </w:rPr>
              <w:t xml:space="preserve">232.12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232.12</w:t>
            </w:r>
          </w:p>
        </w:tc>
        <w:tc>
          <w:tcPr>
            <w:tcW w:w="1780" w:type="dxa"/>
            <w:tcBorders/>
            <w:vAlign w:val="center"/>
          </w:tcPr>
          <w:p>
            <w:pPr>
              <w:jc w:val="right"/>
            </w:pPr>
            <w:r>
              <w:rPr>
                <w:rFonts w:ascii="宋体" w:eastAsia="宋体" w:hAnsi="宋体" w:cs="宋体"/>
                <w:b/>
                <w:i w:val="0"/>
                <w:color w:val="000000"/>
                <w:sz w:val="18"/>
              </w:rPr>
              <w:t xml:space="preserve">158.16</w:t>
            </w:r>
          </w:p>
        </w:tc>
        <w:tc>
          <w:tcPr>
            <w:tcW w:w="1772" w:type="dxa"/>
            <w:tcBorders/>
            <w:vAlign w:val="center"/>
          </w:tcPr>
          <w:p>
            <w:pPr>
              <w:jc w:val="right"/>
            </w:pPr>
            <w:r>
              <w:rPr>
                <w:rFonts w:ascii="宋体" w:eastAsia="宋体" w:hAnsi="宋体" w:cs="宋体"/>
                <w:b/>
                <w:i w:val="0"/>
                <w:color w:val="000000"/>
                <w:sz w:val="18"/>
              </w:rPr>
              <w:t xml:space="preserve">73.95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180.87</w:t>
            </w:r>
          </w:p>
        </w:tc>
        <w:tc>
          <w:tcPr>
            <w:tcW w:w="1780" w:type="dxa"/>
            <w:tcBorders/>
            <w:vAlign w:val="center"/>
          </w:tcPr>
          <w:p>
            <w:pPr>
              <w:jc w:val="right"/>
            </w:pPr>
            <w:r>
              <w:rPr>
                <w:rFonts w:ascii="宋体" w:eastAsia="宋体" w:hAnsi="宋体" w:cs="宋体"/>
                <w:b w:val="0"/>
                <w:i w:val="0"/>
                <w:color w:val="000000"/>
                <w:sz w:val="18"/>
              </w:rPr>
              <w:t xml:space="preserve">106.92</w:t>
            </w:r>
          </w:p>
        </w:tc>
        <w:tc>
          <w:tcPr>
            <w:tcW w:w="1772" w:type="dxa"/>
            <w:tcBorders/>
            <w:vAlign w:val="center"/>
          </w:tcPr>
          <w:p>
            <w:pPr>
              <w:jc w:val="right"/>
            </w:pPr>
            <w:r>
              <w:rPr>
                <w:rFonts w:ascii="宋体" w:eastAsia="宋体" w:hAnsi="宋体" w:cs="宋体"/>
                <w:b w:val="0"/>
                <w:i w:val="0"/>
                <w:color w:val="000000"/>
                <w:sz w:val="18"/>
              </w:rPr>
              <w:t xml:space="preserve">73.95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180.87</w:t>
            </w:r>
          </w:p>
        </w:tc>
        <w:tc>
          <w:tcPr>
            <w:tcW w:w="1780" w:type="dxa"/>
            <w:tcBorders/>
            <w:vAlign w:val="center"/>
          </w:tcPr>
          <w:p>
            <w:pPr>
              <w:jc w:val="right"/>
            </w:pPr>
            <w:r>
              <w:rPr>
                <w:rFonts w:ascii="宋体" w:eastAsia="宋体" w:hAnsi="宋体" w:cs="宋体"/>
                <w:b w:val="0"/>
                <w:i w:val="0"/>
                <w:color w:val="000000"/>
                <w:sz w:val="18"/>
              </w:rPr>
              <w:t xml:space="preserve">106.92</w:t>
            </w:r>
          </w:p>
        </w:tc>
        <w:tc>
          <w:tcPr>
            <w:tcW w:w="1772" w:type="dxa"/>
            <w:tcBorders/>
            <w:vAlign w:val="center"/>
          </w:tcPr>
          <w:p>
            <w:pPr>
              <w:jc w:val="right"/>
            </w:pPr>
            <w:r>
              <w:rPr>
                <w:rFonts w:ascii="宋体" w:eastAsia="宋体" w:hAnsi="宋体" w:cs="宋体"/>
                <w:b w:val="0"/>
                <w:i w:val="0"/>
                <w:color w:val="000000"/>
                <w:sz w:val="18"/>
              </w:rPr>
              <w:t xml:space="preserve">73.95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106.92</w:t>
            </w:r>
          </w:p>
        </w:tc>
        <w:tc>
          <w:tcPr>
            <w:tcW w:w="1780" w:type="dxa"/>
            <w:tcBorders/>
            <w:vAlign w:val="center"/>
          </w:tcPr>
          <w:p>
            <w:pPr>
              <w:jc w:val="right"/>
            </w:pPr>
            <w:r>
              <w:rPr>
                <w:rFonts w:ascii="宋体" w:eastAsia="宋体" w:hAnsi="宋体" w:cs="宋体"/>
                <w:b w:val="0"/>
                <w:i w:val="0"/>
                <w:color w:val="000000"/>
                <w:sz w:val="18"/>
              </w:rPr>
              <w:t xml:space="preserve">106.92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2013199</w:t>
            </w:r>
          </w:p>
        </w:tc>
        <w:tc>
          <w:tcPr>
            <w:tcW w:w="4300" w:type="dxa"/>
            <w:tcBorders/>
            <w:vAlign w:val="center"/>
          </w:tcPr>
          <w:p>
            <w:pPr>
              <w:jc w:val="left"/>
            </w:pPr>
            <w:r>
              <w:rPr>
                <w:rFonts w:ascii="宋体" w:eastAsia="宋体" w:hAnsi="宋体" w:cs="宋体"/>
                <w:b w:val="0"/>
                <w:i w:val="0"/>
                <w:color w:val="000000"/>
                <w:sz w:val="18"/>
              </w:rPr>
              <w:t xml:space="preserve">其他党委办公厅（室）及相关机构事务支出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73.95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36.84</w:t>
            </w:r>
          </w:p>
        </w:tc>
        <w:tc>
          <w:tcPr>
            <w:tcW w:w="1780" w:type="dxa"/>
            <w:tcBorders/>
            <w:vAlign w:val="center"/>
          </w:tcPr>
          <w:p>
            <w:pPr>
              <w:jc w:val="right"/>
            </w:pPr>
            <w:r>
              <w:rPr>
                <w:rFonts w:ascii="宋体" w:eastAsia="宋体" w:hAnsi="宋体" w:cs="宋体"/>
                <w:b w:val="0"/>
                <w:i w:val="0"/>
                <w:color w:val="000000"/>
                <w:sz w:val="18"/>
              </w:rPr>
              <w:t xml:space="preserve">36.84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36.84</w:t>
            </w:r>
          </w:p>
        </w:tc>
        <w:tc>
          <w:tcPr>
            <w:tcW w:w="1780" w:type="dxa"/>
            <w:tcBorders/>
            <w:vAlign w:val="center"/>
          </w:tcPr>
          <w:p>
            <w:pPr>
              <w:jc w:val="right"/>
            </w:pPr>
            <w:r>
              <w:rPr>
                <w:rFonts w:ascii="宋体" w:eastAsia="宋体" w:hAnsi="宋体" w:cs="宋体"/>
                <w:b w:val="0"/>
                <w:i w:val="0"/>
                <w:color w:val="000000"/>
                <w:sz w:val="18"/>
              </w:rPr>
              <w:t xml:space="preserve">36.84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18.70</w:t>
            </w:r>
          </w:p>
        </w:tc>
        <w:tc>
          <w:tcPr>
            <w:tcW w:w="1780" w:type="dxa"/>
            <w:tcBorders/>
            <w:vAlign w:val="center"/>
          </w:tcPr>
          <w:p>
            <w:pPr>
              <w:jc w:val="right"/>
            </w:pPr>
            <w:r>
              <w:rPr>
                <w:rFonts w:ascii="宋体" w:eastAsia="宋体" w:hAnsi="宋体" w:cs="宋体"/>
                <w:b w:val="0"/>
                <w:i w:val="0"/>
                <w:color w:val="000000"/>
                <w:sz w:val="18"/>
              </w:rPr>
              <w:t xml:space="preserve">18.70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9.32</w:t>
            </w:r>
          </w:p>
        </w:tc>
        <w:tc>
          <w:tcPr>
            <w:tcW w:w="1780" w:type="dxa"/>
            <w:tcBorders/>
            <w:vAlign w:val="center"/>
          </w:tcPr>
          <w:p>
            <w:pPr>
              <w:jc w:val="right"/>
            </w:pPr>
            <w:r>
              <w:rPr>
                <w:rFonts w:ascii="宋体" w:eastAsia="宋体" w:hAnsi="宋体" w:cs="宋体"/>
                <w:b w:val="0"/>
                <w:i w:val="0"/>
                <w:color w:val="000000"/>
                <w:sz w:val="18"/>
              </w:rPr>
              <w:t xml:space="preserve">9.32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8.82</w:t>
            </w:r>
          </w:p>
        </w:tc>
        <w:tc>
          <w:tcPr>
            <w:tcW w:w="1780" w:type="dxa"/>
            <w:tcBorders/>
            <w:vAlign w:val="center"/>
          </w:tcPr>
          <w:p>
            <w:pPr>
              <w:jc w:val="right"/>
            </w:pPr>
            <w:r>
              <w:rPr>
                <w:rFonts w:ascii="宋体" w:eastAsia="宋体" w:hAnsi="宋体" w:cs="宋体"/>
                <w:b w:val="0"/>
                <w:i w:val="0"/>
                <w:color w:val="000000"/>
                <w:sz w:val="18"/>
              </w:rPr>
              <w:t xml:space="preserve">8.82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80" w:type="dxa"/>
            <w:tcBorders/>
            <w:vAlign w:val="center"/>
          </w:tcPr>
          <w:p>
            <w:pPr>
              <w:jc w:val="right"/>
            </w:pPr>
            <w:r>
              <w:rPr>
                <w:rFonts w:ascii="宋体" w:eastAsia="宋体" w:hAnsi="宋体" w:cs="宋体"/>
                <w:b w:val="0"/>
                <w:i w:val="0"/>
                <w:color w:val="000000"/>
                <w:sz w:val="18"/>
              </w:rPr>
              <w:t xml:space="preserve">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80" w:type="dxa"/>
            <w:tcBorders/>
            <w:vAlign w:val="center"/>
          </w:tcPr>
          <w:p>
            <w:pPr>
              <w:jc w:val="right"/>
            </w:pPr>
            <w:r>
              <w:rPr>
                <w:rFonts w:ascii="宋体" w:eastAsia="宋体" w:hAnsi="宋体" w:cs="宋体"/>
                <w:b w:val="0"/>
                <w:i w:val="0"/>
                <w:color w:val="000000"/>
                <w:sz w:val="18"/>
              </w:rPr>
              <w:t xml:space="preserve">10.67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130.51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8.90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25.60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0.79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1.54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51.28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9.32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8.82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4.41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3.73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10.67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18.75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17.17</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0.45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3.25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149.26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8.90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单位：辽宁省沈阳市浑南区档案馆</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馆藏档案23万卷档案保护工作，定期投放防虫药干燥剂，档案库房、档案定期清洁，档案密集架及档案设备维修、维护，预估费用8万元。2.档案技术用房服务器更新维护，磁盘扩容数据存储，预估2万元。3.为来馆查档人员提供免费复印材料，优化营商环境，档案利用耗材、设备维护维修等，预估费用2万元。4.档案业务推广、学习培训费，预估1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2024年已申请拨付密集架维修经费12280元及档案保护经费4763.2元，财政未拨付。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购置、更新基础科普设施数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经费保障:档案馆2024年未设置购置、更新基础科普设施预算，因此2024年无该项经费支出。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经费保障:档案馆2024年未设置购置、更新基础科普设施预算，因此没有该项经费支出，在之后年度的预算填报中，将根据实际情况，调整该项预算。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下达项目数量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公用房公共设施水电消防保洁配件材料购置和维护合格率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按时完成数字档案加工工作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经费保障:2024年已申请拨付密集架维修经费12280元及档案保护经费4763.2元，财政未拨付，2024年该项经费无支出。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经费保障:2024年已申请拨付密集架维修经费12280元及档案保护经费4763.2元，财政未拨付，2024年该项经费无支出。在之后年度中根据实际情况对该项预算做出调整。</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采购节约资金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经费保障:科学合理编制预算，加强预算执行的计划与管理，规范财政资金管理，提高资金拨付效率。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社会公众满意度明显提高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其他:因存档业务范围的原因，部分类型的档案未存放于本单位，导致未能查询到部分来访人员所需档案。</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其他:因存档业务范围的原因，部分类型的档案未存放于本单位，导致未能查询到部分来访人员所需档案。</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在岗雇员4名，2024年全年需要伙食费：21600元；办公费：15016元；采暖费：6240元。工会经费：5168元；党员活动费：100元/人×2人=200元。小计：48224元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档案馆原有雇员4名，2024年有2名雇员调走，2024年档案馆剩余在岗雇员2名，雇员经费全年完成情况：1-8月伙食费9000元；办公费3073元；采暖费3120元；工会经费3600元；党员活动费0元。共计18793元。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经费保障:已按照财政要求及时完成财政资金审批流程，上报雇员经费请款件，财政已拨付工会经费、采暖补贴、1-8月雇员伙食费及1-6月办公经费，其余经费未拨付。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经费保障:已按照财政要求及时完成财政资金审批流程，上报雇员经费请款件，财政已拨付工会经费、采暖补贴、1-8月雇员伙食费及1-6月办公经费，其余经费未拨付。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29.12127193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已按要求缴纳残疾人就业保障金。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2024预算编制依据，2024年全年需要伙食费：0.54万元；办公费：0.38万元.共计：0.92万元.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2024年1月初我单位1名派遣人员离职，2024年全年我单位无在岗派遣人员，因此该项目经费无支出。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展示馆维修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完成规划馆的日常维护，保证给参馆人员提供优质服务。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全年展示馆维修支出合计689148.29元，其中：水费10547.25元；规划展示馆讲解员服务费476801.04元；水井疏通费1800元；规划展示馆采暖费200000元。另有已请款财政未拨付费用包括：展示馆剩余采暖费280280.32元；灭火器换粉打压1200元；2023-2024年度换热电费40876.5元；水泵房及食堂空调维修8359元；宣传展示屏维修4750元；2023-2024年度消防维保尾款11000元；2024-2025年度消防维保10500元。共计356965.82元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印刷旅游宣传品数量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其他:2024年未将印刷旅游宣传品经费列入展示馆维修项目预算中，因此未印刷旅游宣传品。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其他:2024年未将印刷旅游宣传品经费列入展示馆维修项目预算中，因此未印刷旅游宣传品。在之后年度中根据实际情况调整该项目预算。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项目质量完成达标率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对经济发展的促进作用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服务地方经济能力情况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公共数字文化服务覆盖率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参观群众人次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其他:规划展示馆参观分淡季旺季，展示馆地处偏僻，旺季参观人数多，淡季、冬季参观人数少。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15.73832087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001002沈阳市浑南区档案馆-210112000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今年努力工作完成任务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2024年档案馆基本支出公用经费5.65万元。基本支出人员经费152.51万元。</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2024年我单位有新增在职人员2名及在职人员有职务晋升，工资变动情况。新增基层岗1名，追加伙食费。</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人员保障:科学合理编制预算，加强预算执行的计划与管理，规范财政资金管理，提高资金拨付效率。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85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档案馆无举报移送立案情况，该项三级指标选取有误。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其他:档案馆无举报移送立案情况，该项三级指标选取有误，今后加强绩效指标管理。</w:t>
            </w:r>
          </w:p>
        </w:tc>
      </w:tr>
      <w:tr>
        <w:trPr>
          <w:trHeight w:hRule="exact" w:val="185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外贸进出口总值增长率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本单位无外贸进出口工作，该项三级指标选取有误。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其他:本单位无外贸进出口工作，该项三级指标选取有误，今后将加强绩效指标管理。</w:t>
            </w:r>
          </w:p>
        </w:tc>
      </w:tr>
      <w:tr>
        <w:trPr>
          <w:trHeight w:hRule="exact" w:val="1621"/>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本单位未开展此项活动，该三级指标选取有误。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其他:本单位未开展此项活动，该三级指标选取有误，今后会加强本单位绩效指标管理。</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8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民族宗教事务法制化进程</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本单位未开展此项活动或工作，该项三级指标选取有误。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其他:本单位未开展此项活动或工作，该项三级指标选取有误。今后将加强对本单位的绩效管理工作。</w:t>
            </w: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98.75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