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辽宁省沈阳市浑南区交通运输事务服务中心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辽宁省沈阳市浑南区交通运输事务服务中心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辽宁省沈阳市浑南区交通运输事务服务中心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辽宁省沈阳市浑南区交通运输事务服务中心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辽宁省沈阳市浑南区交通运输事务服务中心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辽宁省沈阳市浑南区交通运输事务服务中心概况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（一）贯彻执行国家及省、市、区交通行业方面的方针政策，为全区交通公路行业发展提供相关服务保障；落实国省干和“四好农村路”建设相关精神，提升公路建养管运服务水平。</w:t>
        <w:br/>
        <w:t xml:space="preserve">    （二）为交通行政管理部门履行行政职责提供基础性、服务</w:t>
        <w:br/>
        <w:t xml:space="preserve">    性保障工作。</w:t>
        <w:br/>
        <w:t xml:space="preserve">    （三）负责编制、上报全区交通公路养护投资年度预算、计</w:t>
        <w:br/>
        <w:t xml:space="preserve">    划草案，并为交通公路发展规划和年度预算、计划编制数据</w:t>
        <w:br/>
        <w:t xml:space="preserve">    信息。</w:t>
        <w:br/>
        <w:t xml:space="preserve">    （四）负责全区公路养护建设等方面的服务工作;负责县以</w:t>
        <w:br/>
        <w:t xml:space="preserve">    上公路日常养护工作；负责县以上公路防汛工作。</w:t>
        <w:br/>
        <w:t xml:space="preserve">    （五）负责全区公路桥涵基础数据统计工作。负责县以上公</w:t>
        <w:br/>
        <w:t xml:space="preserve">    路桥涵的日常养护。</w:t>
        <w:br/>
        <w:t xml:space="preserve">    （六）负责交通系统信息收集、数据整理、科技研发、推广</w:t>
        <w:br/>
        <w:t xml:space="preserve">    和应用信息系统运行管理及维护工作;负责交通系统业务培训等相关工作。 </w:t>
        <w:br/>
        <w:t xml:space="preserve">    （七）负责监督、指导轨道交通安全生产工作。</w:t>
        <w:br/>
        <w:t xml:space="preserve">    （八）负责本单位党组织建设、群团和人才队伍建设工作。</w:t>
        <w:br/>
        <w:t xml:space="preserve">    （九）完成区委、区政府及区交通运输局交办的其他任务。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辽宁省沈阳市浑南区交通运输事务服务中心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沈阳市浑南区交通运输事务服务中心本级，本单位无下设机构。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2114.45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1981.07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93.69</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1981.07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33.37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1.58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主要是上级财政补助等收入。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4.73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主要是上级财政补助收入结转等。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减少559.46万元，降低20.92%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预算项目减少，财政拨款减少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1981.07</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1390.10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70.17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工资福利支出1069.00万元；商品和服务支出58.43万元；对个人和家庭的补助260.29万元；资本性支出2.39万元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590.97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29.83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主要包括一线临时工工资，交通运输专项等业务支出。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减少567.91万元，降低22.28%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一是职工退休人员经费减少；二是项目减少，支出减少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133.37</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主要是上级财政补助收入等原因形成的结余。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增加8.46万元，增长6.77%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上级财政收入增加，暂未支付</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1981.07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1390.10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590.97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减少567.91万元，降低22.28%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一是职工退休人员经费减少；二是项目减少，支出减少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80.47</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89.82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64.64</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2024年度一般公共预算财政拨款支出1981.07万元。按支出功能分类科目分，包括：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1.社会保障和就业支出209.03万元，具体包括：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71.97万元,主要是退休人员采暖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0.00万元,主要是养老保险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0.00万元,主要是职业年金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（4）社会保障和就业支出（类）抚恤（款）死亡抚恤（项）125.97万元,主要是退休死亡人员等支出，完成年初预算的100%，决算数与年初预算数存在差异的主要原因是追加预算，按实际情况支付。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（5）社会保障和就业支出（类）抚恤（款）伤残抚恤（项）11.09万元,主要是伤残人员补助等支出，完成年初预算的100%，决算数与年初预算数存在差异的主要原因是按实际情况支付。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2.卫生健康支出0.97万元，具体包括：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0.93万元,主要是医疗保险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其他行政事业单位医疗支出（项）0.04万元,主要是医疗保险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3.交通运输支出1771.07万元，具体包括：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交通运输支出（类）公路水路运输（款）公路养护（项）849.77万元,主要是在职人员工资费用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交通运输支出（类）公路水路运输（款）其他公路水路运输支出（项）921.30万元,主要是交通运输专项、临时工费用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（1）住房保障支出（类）住房改革支出（款）住房公积金（项）0.00万元,主要是住房公积金等支出，完成年初预算的100%，决算数与年初预算数存在差异的主要原因是完全按照预算执行，决算数与预算数无差异。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无相关费用支出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无相关费用支出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无相关费用支出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无相关费用支出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无相关费用支出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无相关费用支出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无相关费用支出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1390.11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1329.29</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60.82</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无相关费用支出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50.00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10.00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40.00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顺利完成，运转正常。</w:t>
        <w:br/>
        <w:t xml:space="preserve">2.项目绩效自评情况及结果。</w:t>
        <w:br/>
        <w:t xml:space="preserve">顺利完成，运转正常。</w:t>
        <w:br/>
        <w:t xml:space="preserve">3.部门重点评价情况及结果。</w:t>
        <w:br/>
        <w:t xml:space="preserve">顺利完成，运转正常。</w:t>
        <w:br/>
        <w:t xml:space="preserve">4.财政重点评价情况及结果。</w:t>
        <w:br/>
        <w:t xml:space="preserve">上述项目总体执行情况符合预期，资金使用规范有效，绩效评价效果较好，资金使用效率进一步提升。对此，我们完全接受财政部门的评价意见高度重视评价中发现的问题并及时整改。</w:t>
        <w:br/>
        <w:t xml:space="preserve">5.其他。</w:t>
        <w:br/>
        <w:t xml:space="preserve">无其他评价。</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16.交通运输支出（类）公路水路运输（款）公路养护（项）：反映公路养护支出。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1,981.07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33.37</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209.03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0.97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jc w:val="right"/>
            </w:pPr>
            <w:r>
              <w:rPr>
                <w:rFonts w:ascii="宋体" w:eastAsia="宋体" w:hAnsi="宋体" w:cs="宋体"/>
                <w:b w:val="0"/>
                <w:i w:val="0"/>
                <w:color w:val="000000"/>
                <w:sz w:val="16"/>
              </w:rPr>
              <w:t xml:space="preserve">1,771.07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2,014.45</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1,981.07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100.00</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133.37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2,114.45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2,114.45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2,014.45</w:t>
            </w:r>
          </w:p>
        </w:tc>
        <w:tc>
          <w:tcPr>
            <w:tcW w:w="960" w:type="dxa"/>
            <w:tcBorders/>
            <w:vAlign w:val="center"/>
          </w:tcPr>
          <w:p>
            <w:pPr>
              <w:jc w:val="right"/>
            </w:pPr>
            <w:r>
              <w:rPr>
                <w:rFonts w:ascii="宋体" w:eastAsia="宋体" w:hAnsi="宋体" w:cs="宋体"/>
                <w:b/>
                <w:i w:val="0"/>
                <w:color w:val="000000"/>
                <w:sz w:val="13"/>
              </w:rPr>
              <w:t xml:space="preserve">1,981.07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33.37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209.03</w:t>
            </w:r>
          </w:p>
        </w:tc>
        <w:tc>
          <w:tcPr>
            <w:tcW w:w="960" w:type="dxa"/>
            <w:tcBorders/>
            <w:vAlign w:val="center"/>
          </w:tcPr>
          <w:p>
            <w:pPr>
              <w:jc w:val="right"/>
            </w:pPr>
            <w:r>
              <w:rPr>
                <w:rFonts w:ascii="宋体" w:eastAsia="宋体" w:hAnsi="宋体" w:cs="宋体"/>
                <w:b w:val="0"/>
                <w:i w:val="0"/>
                <w:color w:val="000000"/>
                <w:sz w:val="13"/>
              </w:rPr>
              <w:t xml:space="preserve">209.03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71.97</w:t>
            </w:r>
          </w:p>
        </w:tc>
        <w:tc>
          <w:tcPr>
            <w:tcW w:w="960" w:type="dxa"/>
            <w:tcBorders/>
            <w:vAlign w:val="center"/>
          </w:tcPr>
          <w:p>
            <w:pPr>
              <w:jc w:val="right"/>
            </w:pPr>
            <w:r>
              <w:rPr>
                <w:rFonts w:ascii="宋体" w:eastAsia="宋体" w:hAnsi="宋体" w:cs="宋体"/>
                <w:b w:val="0"/>
                <w:i w:val="0"/>
                <w:color w:val="000000"/>
                <w:sz w:val="13"/>
              </w:rPr>
              <w:t xml:space="preserve">71.97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71.97</w:t>
            </w:r>
          </w:p>
        </w:tc>
        <w:tc>
          <w:tcPr>
            <w:tcW w:w="960" w:type="dxa"/>
            <w:tcBorders/>
            <w:vAlign w:val="center"/>
          </w:tcPr>
          <w:p>
            <w:pPr>
              <w:jc w:val="right"/>
            </w:pPr>
            <w:r>
              <w:rPr>
                <w:rFonts w:ascii="宋体" w:eastAsia="宋体" w:hAnsi="宋体" w:cs="宋体"/>
                <w:b w:val="0"/>
                <w:i w:val="0"/>
                <w:color w:val="000000"/>
                <w:sz w:val="13"/>
              </w:rPr>
              <w:t xml:space="preserve">71.97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137.06</w:t>
            </w:r>
          </w:p>
        </w:tc>
        <w:tc>
          <w:tcPr>
            <w:tcW w:w="960" w:type="dxa"/>
            <w:tcBorders/>
            <w:vAlign w:val="center"/>
          </w:tcPr>
          <w:p>
            <w:pPr>
              <w:jc w:val="right"/>
            </w:pPr>
            <w:r>
              <w:rPr>
                <w:rFonts w:ascii="宋体" w:eastAsia="宋体" w:hAnsi="宋体" w:cs="宋体"/>
                <w:b w:val="0"/>
                <w:i w:val="0"/>
                <w:color w:val="000000"/>
                <w:sz w:val="13"/>
              </w:rPr>
              <w:t xml:space="preserve">137.06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125.97</w:t>
            </w:r>
          </w:p>
        </w:tc>
        <w:tc>
          <w:tcPr>
            <w:tcW w:w="960" w:type="dxa"/>
            <w:tcBorders/>
            <w:vAlign w:val="center"/>
          </w:tcPr>
          <w:p>
            <w:pPr>
              <w:jc w:val="right"/>
            </w:pPr>
            <w:r>
              <w:rPr>
                <w:rFonts w:ascii="宋体" w:eastAsia="宋体" w:hAnsi="宋体" w:cs="宋体"/>
                <w:b w:val="0"/>
                <w:i w:val="0"/>
                <w:color w:val="000000"/>
                <w:sz w:val="13"/>
              </w:rPr>
              <w:t xml:space="preserve">125.97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11.09</w:t>
            </w:r>
          </w:p>
        </w:tc>
        <w:tc>
          <w:tcPr>
            <w:tcW w:w="960" w:type="dxa"/>
            <w:tcBorders/>
            <w:vAlign w:val="center"/>
          </w:tcPr>
          <w:p>
            <w:pPr>
              <w:jc w:val="right"/>
            </w:pPr>
            <w:r>
              <w:rPr>
                <w:rFonts w:ascii="宋体" w:eastAsia="宋体" w:hAnsi="宋体" w:cs="宋体"/>
                <w:b w:val="0"/>
                <w:i w:val="0"/>
                <w:color w:val="000000"/>
                <w:sz w:val="13"/>
              </w:rPr>
              <w:t xml:space="preserve">11.09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0.97</w:t>
            </w:r>
          </w:p>
        </w:tc>
        <w:tc>
          <w:tcPr>
            <w:tcW w:w="960" w:type="dxa"/>
            <w:tcBorders/>
            <w:vAlign w:val="center"/>
          </w:tcPr>
          <w:p>
            <w:pPr>
              <w:jc w:val="right"/>
            </w:pPr>
            <w:r>
              <w:rPr>
                <w:rFonts w:ascii="宋体" w:eastAsia="宋体" w:hAnsi="宋体" w:cs="宋体"/>
                <w:b w:val="0"/>
                <w:i w:val="0"/>
                <w:color w:val="000000"/>
                <w:sz w:val="13"/>
              </w:rPr>
              <w:t xml:space="preserve">0.97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0.97</w:t>
            </w:r>
          </w:p>
        </w:tc>
        <w:tc>
          <w:tcPr>
            <w:tcW w:w="960" w:type="dxa"/>
            <w:tcBorders/>
            <w:vAlign w:val="center"/>
          </w:tcPr>
          <w:p>
            <w:pPr>
              <w:jc w:val="right"/>
            </w:pPr>
            <w:r>
              <w:rPr>
                <w:rFonts w:ascii="宋体" w:eastAsia="宋体" w:hAnsi="宋体" w:cs="宋体"/>
                <w:b w:val="0"/>
                <w:i w:val="0"/>
                <w:color w:val="000000"/>
                <w:sz w:val="13"/>
              </w:rPr>
              <w:t xml:space="preserve">0.97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0.93</w:t>
            </w:r>
          </w:p>
        </w:tc>
        <w:tc>
          <w:tcPr>
            <w:tcW w:w="960" w:type="dxa"/>
            <w:tcBorders/>
            <w:vAlign w:val="center"/>
          </w:tcPr>
          <w:p>
            <w:pPr>
              <w:jc w:val="right"/>
            </w:pPr>
            <w:r>
              <w:rPr>
                <w:rFonts w:ascii="宋体" w:eastAsia="宋体" w:hAnsi="宋体" w:cs="宋体"/>
                <w:b w:val="0"/>
                <w:i w:val="0"/>
                <w:color w:val="000000"/>
                <w:sz w:val="13"/>
              </w:rPr>
              <w:t xml:space="preserve">0.93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2101199</w:t>
            </w:r>
          </w:p>
        </w:tc>
        <w:tc>
          <w:tcPr>
            <w:tcW w:w="3200" w:type="dxa"/>
            <w:tcBorders/>
            <w:vAlign w:val="center"/>
          </w:tcPr>
          <w:p>
            <w:pPr>
              <w:jc w:val="left"/>
            </w:pPr>
            <w:r>
              <w:rPr>
                <w:rFonts w:ascii="宋体" w:eastAsia="宋体" w:hAnsi="宋体" w:cs="宋体"/>
                <w:b w:val="0"/>
                <w:i w:val="0"/>
                <w:color w:val="000000"/>
                <w:sz w:val="13"/>
              </w:rPr>
              <w:t xml:space="preserve">其他行政事业单位医疗支出</w:t>
            </w:r>
          </w:p>
        </w:tc>
        <w:tc>
          <w:tcPr>
            <w:tcW w:w="960" w:type="dxa"/>
            <w:tcBorders/>
            <w:vAlign w:val="center"/>
          </w:tcPr>
          <w:p>
            <w:pPr>
              <w:jc w:val="right"/>
            </w:pPr>
            <w:r>
              <w:rPr>
                <w:rFonts w:ascii="宋体" w:eastAsia="宋体" w:hAnsi="宋体" w:cs="宋体"/>
                <w:b w:val="0"/>
                <w:i w:val="0"/>
                <w:color w:val="000000"/>
                <w:sz w:val="13"/>
              </w:rPr>
              <w:t xml:space="preserve">0.04</w:t>
            </w:r>
          </w:p>
        </w:tc>
        <w:tc>
          <w:tcPr>
            <w:tcW w:w="960" w:type="dxa"/>
            <w:tcBorders/>
            <w:vAlign w:val="center"/>
          </w:tcPr>
          <w:p>
            <w:pPr>
              <w:jc w:val="right"/>
            </w:pPr>
            <w:r>
              <w:rPr>
                <w:rFonts w:ascii="宋体" w:eastAsia="宋体" w:hAnsi="宋体" w:cs="宋体"/>
                <w:b w:val="0"/>
                <w:i w:val="0"/>
                <w:color w:val="000000"/>
                <w:sz w:val="13"/>
              </w:rPr>
              <w:t xml:space="preserve">0.04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w:t>
            </w:r>
          </w:p>
        </w:tc>
        <w:tc>
          <w:tcPr>
            <w:tcW w:w="3200" w:type="dxa"/>
            <w:tcBorders/>
            <w:vAlign w:val="center"/>
          </w:tcPr>
          <w:p>
            <w:pPr>
              <w:jc w:val="left"/>
            </w:pPr>
            <w:r>
              <w:rPr>
                <w:rFonts w:ascii="宋体" w:eastAsia="宋体" w:hAnsi="宋体" w:cs="宋体"/>
                <w:b w:val="0"/>
                <w:i w:val="0"/>
                <w:color w:val="000000"/>
                <w:sz w:val="13"/>
              </w:rPr>
              <w:t xml:space="preserve">交通运输支出</w:t>
            </w:r>
          </w:p>
        </w:tc>
        <w:tc>
          <w:tcPr>
            <w:tcW w:w="960" w:type="dxa"/>
            <w:tcBorders/>
            <w:vAlign w:val="center"/>
          </w:tcPr>
          <w:p>
            <w:pPr>
              <w:jc w:val="right"/>
            </w:pPr>
            <w:r>
              <w:rPr>
                <w:rFonts w:ascii="宋体" w:eastAsia="宋体" w:hAnsi="宋体" w:cs="宋体"/>
                <w:b w:val="0"/>
                <w:i w:val="0"/>
                <w:color w:val="000000"/>
                <w:sz w:val="13"/>
              </w:rPr>
              <w:t xml:space="preserve">1,804.45</w:t>
            </w:r>
          </w:p>
        </w:tc>
        <w:tc>
          <w:tcPr>
            <w:tcW w:w="960" w:type="dxa"/>
            <w:tcBorders/>
            <w:vAlign w:val="center"/>
          </w:tcPr>
          <w:p>
            <w:pPr>
              <w:jc w:val="right"/>
            </w:pPr>
            <w:r>
              <w:rPr>
                <w:rFonts w:ascii="宋体" w:eastAsia="宋体" w:hAnsi="宋体" w:cs="宋体"/>
                <w:b w:val="0"/>
                <w:i w:val="0"/>
                <w:color w:val="000000"/>
                <w:sz w:val="13"/>
              </w:rPr>
              <w:t xml:space="preserve">1,771.07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33.37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21401</w:t>
            </w:r>
          </w:p>
        </w:tc>
        <w:tc>
          <w:tcPr>
            <w:tcW w:w="3200" w:type="dxa"/>
            <w:tcBorders/>
            <w:vAlign w:val="center"/>
          </w:tcPr>
          <w:p>
            <w:pPr>
              <w:jc w:val="left"/>
            </w:pPr>
            <w:r>
              <w:rPr>
                <w:rFonts w:ascii="宋体" w:eastAsia="宋体" w:hAnsi="宋体" w:cs="宋体"/>
                <w:b w:val="0"/>
                <w:i w:val="0"/>
                <w:color w:val="000000"/>
                <w:sz w:val="13"/>
              </w:rPr>
              <w:t xml:space="preserve">公路水路运输</w:t>
            </w:r>
          </w:p>
        </w:tc>
        <w:tc>
          <w:tcPr>
            <w:tcW w:w="960" w:type="dxa"/>
            <w:tcBorders/>
            <w:vAlign w:val="center"/>
          </w:tcPr>
          <w:p>
            <w:pPr>
              <w:jc w:val="right"/>
            </w:pPr>
            <w:r>
              <w:rPr>
                <w:rFonts w:ascii="宋体" w:eastAsia="宋体" w:hAnsi="宋体" w:cs="宋体"/>
                <w:b w:val="0"/>
                <w:i w:val="0"/>
                <w:color w:val="000000"/>
                <w:sz w:val="13"/>
              </w:rPr>
              <w:t xml:space="preserve">1,804.45</w:t>
            </w:r>
          </w:p>
        </w:tc>
        <w:tc>
          <w:tcPr>
            <w:tcW w:w="960" w:type="dxa"/>
            <w:tcBorders/>
            <w:vAlign w:val="center"/>
          </w:tcPr>
          <w:p>
            <w:pPr>
              <w:jc w:val="right"/>
            </w:pPr>
            <w:r>
              <w:rPr>
                <w:rFonts w:ascii="宋体" w:eastAsia="宋体" w:hAnsi="宋体" w:cs="宋体"/>
                <w:b w:val="0"/>
                <w:i w:val="0"/>
                <w:color w:val="000000"/>
                <w:sz w:val="13"/>
              </w:rPr>
              <w:t xml:space="preserve">1,771.07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33.37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2140106</w:t>
            </w:r>
          </w:p>
        </w:tc>
        <w:tc>
          <w:tcPr>
            <w:tcW w:w="3200" w:type="dxa"/>
            <w:tcBorders/>
            <w:vAlign w:val="center"/>
          </w:tcPr>
          <w:p>
            <w:pPr>
              <w:jc w:val="left"/>
            </w:pPr>
            <w:r>
              <w:rPr>
                <w:rFonts w:ascii="宋体" w:eastAsia="宋体" w:hAnsi="宋体" w:cs="宋体"/>
                <w:b w:val="0"/>
                <w:i w:val="0"/>
                <w:color w:val="000000"/>
                <w:sz w:val="13"/>
              </w:rPr>
              <w:t xml:space="preserve">公路养护</w:t>
            </w:r>
          </w:p>
        </w:tc>
        <w:tc>
          <w:tcPr>
            <w:tcW w:w="960" w:type="dxa"/>
            <w:tcBorders/>
            <w:vAlign w:val="center"/>
          </w:tcPr>
          <w:p>
            <w:pPr>
              <w:jc w:val="right"/>
            </w:pPr>
            <w:r>
              <w:rPr>
                <w:rFonts w:ascii="宋体" w:eastAsia="宋体" w:hAnsi="宋体" w:cs="宋体"/>
                <w:b w:val="0"/>
                <w:i w:val="0"/>
                <w:color w:val="000000"/>
                <w:sz w:val="13"/>
              </w:rPr>
              <w:t xml:space="preserve">849.77</w:t>
            </w:r>
          </w:p>
        </w:tc>
        <w:tc>
          <w:tcPr>
            <w:tcW w:w="960" w:type="dxa"/>
            <w:tcBorders/>
            <w:vAlign w:val="center"/>
          </w:tcPr>
          <w:p>
            <w:pPr>
              <w:jc w:val="right"/>
            </w:pPr>
            <w:r>
              <w:rPr>
                <w:rFonts w:ascii="宋体" w:eastAsia="宋体" w:hAnsi="宋体" w:cs="宋体"/>
                <w:b w:val="0"/>
                <w:i w:val="0"/>
                <w:color w:val="000000"/>
                <w:sz w:val="13"/>
              </w:rPr>
              <w:t xml:space="preserve">849.77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2140199</w:t>
            </w:r>
          </w:p>
        </w:tc>
        <w:tc>
          <w:tcPr>
            <w:tcW w:w="3200" w:type="dxa"/>
            <w:tcBorders/>
            <w:vAlign w:val="center"/>
          </w:tcPr>
          <w:p>
            <w:pPr>
              <w:jc w:val="left"/>
            </w:pPr>
            <w:r>
              <w:rPr>
                <w:rFonts w:ascii="宋体" w:eastAsia="宋体" w:hAnsi="宋体" w:cs="宋体"/>
                <w:b w:val="0"/>
                <w:i w:val="0"/>
                <w:color w:val="000000"/>
                <w:sz w:val="13"/>
              </w:rPr>
              <w:t xml:space="preserve">其他公路水路运输支出</w:t>
            </w:r>
          </w:p>
        </w:tc>
        <w:tc>
          <w:tcPr>
            <w:tcW w:w="960" w:type="dxa"/>
            <w:tcBorders/>
            <w:vAlign w:val="center"/>
          </w:tcPr>
          <w:p>
            <w:pPr>
              <w:jc w:val="right"/>
            </w:pPr>
            <w:r>
              <w:rPr>
                <w:rFonts w:ascii="宋体" w:eastAsia="宋体" w:hAnsi="宋体" w:cs="宋体"/>
                <w:b w:val="0"/>
                <w:i w:val="0"/>
                <w:color w:val="000000"/>
                <w:sz w:val="13"/>
              </w:rPr>
              <w:t xml:space="preserve">954.68</w:t>
            </w:r>
          </w:p>
        </w:tc>
        <w:tc>
          <w:tcPr>
            <w:tcW w:w="960" w:type="dxa"/>
            <w:tcBorders/>
            <w:vAlign w:val="center"/>
          </w:tcPr>
          <w:p>
            <w:pPr>
              <w:jc w:val="right"/>
            </w:pPr>
            <w:r>
              <w:rPr>
                <w:rFonts w:ascii="宋体" w:eastAsia="宋体" w:hAnsi="宋体" w:cs="宋体"/>
                <w:b w:val="0"/>
                <w:i w:val="0"/>
                <w:color w:val="000000"/>
                <w:sz w:val="13"/>
              </w:rPr>
              <w:t xml:space="preserve">921.30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33.37</w:t>
            </w: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1,981.07</w:t>
            </w:r>
          </w:p>
        </w:tc>
        <w:tc>
          <w:tcPr>
            <w:tcW w:w="1060" w:type="dxa"/>
            <w:tcBorders/>
            <w:vAlign w:val="center"/>
          </w:tcPr>
          <w:p>
            <w:pPr>
              <w:jc w:val="right"/>
            </w:pPr>
            <w:r>
              <w:rPr>
                <w:rFonts w:ascii="宋体" w:eastAsia="宋体" w:hAnsi="宋体" w:cs="宋体"/>
                <w:b/>
                <w:i w:val="0"/>
                <w:color w:val="000000"/>
                <w:sz w:val="14"/>
              </w:rPr>
              <w:t xml:space="preserve">1,390.10</w:t>
            </w:r>
          </w:p>
        </w:tc>
        <w:tc>
          <w:tcPr>
            <w:tcW w:w="1060" w:type="dxa"/>
            <w:tcBorders/>
            <w:vAlign w:val="center"/>
          </w:tcPr>
          <w:p>
            <w:pPr>
              <w:jc w:val="right"/>
            </w:pPr>
            <w:r>
              <w:rPr>
                <w:rFonts w:ascii="宋体" w:eastAsia="宋体" w:hAnsi="宋体" w:cs="宋体"/>
                <w:b/>
                <w:i w:val="0"/>
                <w:color w:val="000000"/>
                <w:sz w:val="14"/>
              </w:rPr>
              <w:t xml:space="preserve">590.97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209.03</w:t>
            </w:r>
          </w:p>
        </w:tc>
        <w:tc>
          <w:tcPr>
            <w:tcW w:w="1060" w:type="dxa"/>
            <w:tcBorders/>
            <w:vAlign w:val="center"/>
          </w:tcPr>
          <w:p>
            <w:pPr>
              <w:jc w:val="right"/>
            </w:pPr>
            <w:r>
              <w:rPr>
                <w:rFonts w:ascii="宋体" w:eastAsia="宋体" w:hAnsi="宋体" w:cs="宋体"/>
                <w:b w:val="0"/>
                <w:i w:val="0"/>
                <w:color w:val="000000"/>
                <w:sz w:val="14"/>
              </w:rPr>
              <w:t xml:space="preserve">209.03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71.97</w:t>
            </w:r>
          </w:p>
        </w:tc>
        <w:tc>
          <w:tcPr>
            <w:tcW w:w="1060" w:type="dxa"/>
            <w:tcBorders/>
            <w:vAlign w:val="center"/>
          </w:tcPr>
          <w:p>
            <w:pPr>
              <w:jc w:val="right"/>
            </w:pPr>
            <w:r>
              <w:rPr>
                <w:rFonts w:ascii="宋体" w:eastAsia="宋体" w:hAnsi="宋体" w:cs="宋体"/>
                <w:b w:val="0"/>
                <w:i w:val="0"/>
                <w:color w:val="000000"/>
                <w:sz w:val="14"/>
              </w:rPr>
              <w:t xml:space="preserve">71.97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71.97</w:t>
            </w:r>
          </w:p>
        </w:tc>
        <w:tc>
          <w:tcPr>
            <w:tcW w:w="1060" w:type="dxa"/>
            <w:tcBorders/>
            <w:vAlign w:val="center"/>
          </w:tcPr>
          <w:p>
            <w:pPr>
              <w:jc w:val="right"/>
            </w:pPr>
            <w:r>
              <w:rPr>
                <w:rFonts w:ascii="宋体" w:eastAsia="宋体" w:hAnsi="宋体" w:cs="宋体"/>
                <w:b w:val="0"/>
                <w:i w:val="0"/>
                <w:color w:val="000000"/>
                <w:sz w:val="14"/>
              </w:rPr>
              <w:t xml:space="preserve">71.97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137.06</w:t>
            </w:r>
          </w:p>
        </w:tc>
        <w:tc>
          <w:tcPr>
            <w:tcW w:w="1060" w:type="dxa"/>
            <w:tcBorders/>
            <w:vAlign w:val="center"/>
          </w:tcPr>
          <w:p>
            <w:pPr>
              <w:jc w:val="right"/>
            </w:pPr>
            <w:r>
              <w:rPr>
                <w:rFonts w:ascii="宋体" w:eastAsia="宋体" w:hAnsi="宋体" w:cs="宋体"/>
                <w:b w:val="0"/>
                <w:i w:val="0"/>
                <w:color w:val="000000"/>
                <w:sz w:val="14"/>
              </w:rPr>
              <w:t xml:space="preserve">137.06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125.97</w:t>
            </w:r>
          </w:p>
        </w:tc>
        <w:tc>
          <w:tcPr>
            <w:tcW w:w="1060" w:type="dxa"/>
            <w:tcBorders/>
            <w:vAlign w:val="center"/>
          </w:tcPr>
          <w:p>
            <w:pPr>
              <w:jc w:val="right"/>
            </w:pPr>
            <w:r>
              <w:rPr>
                <w:rFonts w:ascii="宋体" w:eastAsia="宋体" w:hAnsi="宋体" w:cs="宋体"/>
                <w:b w:val="0"/>
                <w:i w:val="0"/>
                <w:color w:val="000000"/>
                <w:sz w:val="14"/>
              </w:rPr>
              <w:t xml:space="preserve">125.97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11.09</w:t>
            </w:r>
          </w:p>
        </w:tc>
        <w:tc>
          <w:tcPr>
            <w:tcW w:w="1060" w:type="dxa"/>
            <w:tcBorders/>
            <w:vAlign w:val="center"/>
          </w:tcPr>
          <w:p>
            <w:pPr>
              <w:jc w:val="right"/>
            </w:pPr>
            <w:r>
              <w:rPr>
                <w:rFonts w:ascii="宋体" w:eastAsia="宋体" w:hAnsi="宋体" w:cs="宋体"/>
                <w:b w:val="0"/>
                <w:i w:val="0"/>
                <w:color w:val="000000"/>
                <w:sz w:val="14"/>
              </w:rPr>
              <w:t xml:space="preserve">11.09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0.97</w:t>
            </w:r>
          </w:p>
        </w:tc>
        <w:tc>
          <w:tcPr>
            <w:tcW w:w="1060" w:type="dxa"/>
            <w:tcBorders/>
            <w:vAlign w:val="center"/>
          </w:tcPr>
          <w:p>
            <w:pPr>
              <w:jc w:val="right"/>
            </w:pPr>
            <w:r>
              <w:rPr>
                <w:rFonts w:ascii="宋体" w:eastAsia="宋体" w:hAnsi="宋体" w:cs="宋体"/>
                <w:b w:val="0"/>
                <w:i w:val="0"/>
                <w:color w:val="000000"/>
                <w:sz w:val="14"/>
              </w:rPr>
              <w:t xml:space="preserve">0.97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0.97</w:t>
            </w:r>
          </w:p>
        </w:tc>
        <w:tc>
          <w:tcPr>
            <w:tcW w:w="1060" w:type="dxa"/>
            <w:tcBorders/>
            <w:vAlign w:val="center"/>
          </w:tcPr>
          <w:p>
            <w:pPr>
              <w:jc w:val="right"/>
            </w:pPr>
            <w:r>
              <w:rPr>
                <w:rFonts w:ascii="宋体" w:eastAsia="宋体" w:hAnsi="宋体" w:cs="宋体"/>
                <w:b w:val="0"/>
                <w:i w:val="0"/>
                <w:color w:val="000000"/>
                <w:sz w:val="14"/>
              </w:rPr>
              <w:t xml:space="preserve">0.97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0.93</w:t>
            </w:r>
          </w:p>
        </w:tc>
        <w:tc>
          <w:tcPr>
            <w:tcW w:w="1060" w:type="dxa"/>
            <w:tcBorders/>
            <w:vAlign w:val="center"/>
          </w:tcPr>
          <w:p>
            <w:pPr>
              <w:jc w:val="right"/>
            </w:pPr>
            <w:r>
              <w:rPr>
                <w:rFonts w:ascii="宋体" w:eastAsia="宋体" w:hAnsi="宋体" w:cs="宋体"/>
                <w:b w:val="0"/>
                <w:i w:val="0"/>
                <w:color w:val="000000"/>
                <w:sz w:val="14"/>
              </w:rPr>
              <w:t xml:space="preserve">0.93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2101199</w:t>
            </w:r>
          </w:p>
        </w:tc>
        <w:tc>
          <w:tcPr>
            <w:tcW w:w="3440" w:type="dxa"/>
            <w:tcBorders/>
            <w:vAlign w:val="center"/>
          </w:tcPr>
          <w:p>
            <w:pPr>
              <w:jc w:val="left"/>
            </w:pPr>
            <w:r>
              <w:rPr>
                <w:rFonts w:ascii="宋体" w:eastAsia="宋体" w:hAnsi="宋体" w:cs="宋体"/>
                <w:b w:val="0"/>
                <w:i w:val="0"/>
                <w:color w:val="000000"/>
                <w:sz w:val="14"/>
              </w:rPr>
              <w:t xml:space="preserve">其他行政事业单位医疗支出</w:t>
            </w:r>
          </w:p>
        </w:tc>
        <w:tc>
          <w:tcPr>
            <w:tcW w:w="1060" w:type="dxa"/>
            <w:tcBorders/>
            <w:vAlign w:val="center"/>
          </w:tcPr>
          <w:p>
            <w:pPr>
              <w:jc w:val="right"/>
            </w:pPr>
            <w:r>
              <w:rPr>
                <w:rFonts w:ascii="宋体" w:eastAsia="宋体" w:hAnsi="宋体" w:cs="宋体"/>
                <w:b w:val="0"/>
                <w:i w:val="0"/>
                <w:color w:val="000000"/>
                <w:sz w:val="14"/>
              </w:rPr>
              <w:t xml:space="preserve">0.04</w:t>
            </w:r>
          </w:p>
        </w:tc>
        <w:tc>
          <w:tcPr>
            <w:tcW w:w="1060" w:type="dxa"/>
            <w:tcBorders/>
            <w:vAlign w:val="center"/>
          </w:tcPr>
          <w:p>
            <w:pPr>
              <w:jc w:val="right"/>
            </w:pPr>
            <w:r>
              <w:rPr>
                <w:rFonts w:ascii="宋体" w:eastAsia="宋体" w:hAnsi="宋体" w:cs="宋体"/>
                <w:b w:val="0"/>
                <w:i w:val="0"/>
                <w:color w:val="000000"/>
                <w:sz w:val="14"/>
              </w:rPr>
              <w:t xml:space="preserve">0.04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w:t>
            </w:r>
          </w:p>
        </w:tc>
        <w:tc>
          <w:tcPr>
            <w:tcW w:w="3440" w:type="dxa"/>
            <w:tcBorders/>
            <w:vAlign w:val="center"/>
          </w:tcPr>
          <w:p>
            <w:pPr>
              <w:jc w:val="left"/>
            </w:pPr>
            <w:r>
              <w:rPr>
                <w:rFonts w:ascii="宋体" w:eastAsia="宋体" w:hAnsi="宋体" w:cs="宋体"/>
                <w:b w:val="0"/>
                <w:i w:val="0"/>
                <w:color w:val="000000"/>
                <w:sz w:val="14"/>
              </w:rPr>
              <w:t xml:space="preserve">交通运输支出</w:t>
            </w:r>
          </w:p>
        </w:tc>
        <w:tc>
          <w:tcPr>
            <w:tcW w:w="1060" w:type="dxa"/>
            <w:tcBorders/>
            <w:vAlign w:val="center"/>
          </w:tcPr>
          <w:p>
            <w:pPr>
              <w:jc w:val="right"/>
            </w:pPr>
            <w:r>
              <w:rPr>
                <w:rFonts w:ascii="宋体" w:eastAsia="宋体" w:hAnsi="宋体" w:cs="宋体"/>
                <w:b w:val="0"/>
                <w:i w:val="0"/>
                <w:color w:val="000000"/>
                <w:sz w:val="14"/>
              </w:rPr>
              <w:t xml:space="preserve">1,771.07</w:t>
            </w:r>
          </w:p>
        </w:tc>
        <w:tc>
          <w:tcPr>
            <w:tcW w:w="1060" w:type="dxa"/>
            <w:tcBorders/>
            <w:vAlign w:val="center"/>
          </w:tcPr>
          <w:p>
            <w:pPr>
              <w:jc w:val="right"/>
            </w:pPr>
            <w:r>
              <w:rPr>
                <w:rFonts w:ascii="宋体" w:eastAsia="宋体" w:hAnsi="宋体" w:cs="宋体"/>
                <w:b w:val="0"/>
                <w:i w:val="0"/>
                <w:color w:val="000000"/>
                <w:sz w:val="14"/>
              </w:rPr>
              <w:t xml:space="preserve">1,180.10</w:t>
            </w:r>
          </w:p>
        </w:tc>
        <w:tc>
          <w:tcPr>
            <w:tcW w:w="1060" w:type="dxa"/>
            <w:tcBorders/>
            <w:vAlign w:val="center"/>
          </w:tcPr>
          <w:p>
            <w:pPr>
              <w:jc w:val="right"/>
            </w:pPr>
            <w:r>
              <w:rPr>
                <w:rFonts w:ascii="宋体" w:eastAsia="宋体" w:hAnsi="宋体" w:cs="宋体"/>
                <w:b w:val="0"/>
                <w:i w:val="0"/>
                <w:color w:val="000000"/>
                <w:sz w:val="14"/>
              </w:rPr>
              <w:t xml:space="preserve">590.97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21401</w:t>
            </w:r>
          </w:p>
        </w:tc>
        <w:tc>
          <w:tcPr>
            <w:tcW w:w="3440" w:type="dxa"/>
            <w:tcBorders/>
            <w:vAlign w:val="center"/>
          </w:tcPr>
          <w:p>
            <w:pPr>
              <w:jc w:val="left"/>
            </w:pPr>
            <w:r>
              <w:rPr>
                <w:rFonts w:ascii="宋体" w:eastAsia="宋体" w:hAnsi="宋体" w:cs="宋体"/>
                <w:b w:val="0"/>
                <w:i w:val="0"/>
                <w:color w:val="000000"/>
                <w:sz w:val="14"/>
              </w:rPr>
              <w:t xml:space="preserve">公路水路运输</w:t>
            </w:r>
          </w:p>
        </w:tc>
        <w:tc>
          <w:tcPr>
            <w:tcW w:w="1060" w:type="dxa"/>
            <w:tcBorders/>
            <w:vAlign w:val="center"/>
          </w:tcPr>
          <w:p>
            <w:pPr>
              <w:jc w:val="right"/>
            </w:pPr>
            <w:r>
              <w:rPr>
                <w:rFonts w:ascii="宋体" w:eastAsia="宋体" w:hAnsi="宋体" w:cs="宋体"/>
                <w:b w:val="0"/>
                <w:i w:val="0"/>
                <w:color w:val="000000"/>
                <w:sz w:val="14"/>
              </w:rPr>
              <w:t xml:space="preserve">1,771.07</w:t>
            </w:r>
          </w:p>
        </w:tc>
        <w:tc>
          <w:tcPr>
            <w:tcW w:w="1060" w:type="dxa"/>
            <w:tcBorders/>
            <w:vAlign w:val="center"/>
          </w:tcPr>
          <w:p>
            <w:pPr>
              <w:jc w:val="right"/>
            </w:pPr>
            <w:r>
              <w:rPr>
                <w:rFonts w:ascii="宋体" w:eastAsia="宋体" w:hAnsi="宋体" w:cs="宋体"/>
                <w:b w:val="0"/>
                <w:i w:val="0"/>
                <w:color w:val="000000"/>
                <w:sz w:val="14"/>
              </w:rPr>
              <w:t xml:space="preserve">1,180.10</w:t>
            </w:r>
          </w:p>
        </w:tc>
        <w:tc>
          <w:tcPr>
            <w:tcW w:w="1060" w:type="dxa"/>
            <w:tcBorders/>
            <w:vAlign w:val="center"/>
          </w:tcPr>
          <w:p>
            <w:pPr>
              <w:jc w:val="right"/>
            </w:pPr>
            <w:r>
              <w:rPr>
                <w:rFonts w:ascii="宋体" w:eastAsia="宋体" w:hAnsi="宋体" w:cs="宋体"/>
                <w:b w:val="0"/>
                <w:i w:val="0"/>
                <w:color w:val="000000"/>
                <w:sz w:val="14"/>
              </w:rPr>
              <w:t xml:space="preserve">590.97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2140106</w:t>
            </w:r>
          </w:p>
        </w:tc>
        <w:tc>
          <w:tcPr>
            <w:tcW w:w="3440" w:type="dxa"/>
            <w:tcBorders/>
            <w:vAlign w:val="center"/>
          </w:tcPr>
          <w:p>
            <w:pPr>
              <w:jc w:val="left"/>
            </w:pPr>
            <w:r>
              <w:rPr>
                <w:rFonts w:ascii="宋体" w:eastAsia="宋体" w:hAnsi="宋体" w:cs="宋体"/>
                <w:b w:val="0"/>
                <w:i w:val="0"/>
                <w:color w:val="000000"/>
                <w:sz w:val="14"/>
              </w:rPr>
              <w:t xml:space="preserve">公路养护</w:t>
            </w:r>
          </w:p>
        </w:tc>
        <w:tc>
          <w:tcPr>
            <w:tcW w:w="1060" w:type="dxa"/>
            <w:tcBorders/>
            <w:vAlign w:val="center"/>
          </w:tcPr>
          <w:p>
            <w:pPr>
              <w:jc w:val="right"/>
            </w:pPr>
            <w:r>
              <w:rPr>
                <w:rFonts w:ascii="宋体" w:eastAsia="宋体" w:hAnsi="宋体" w:cs="宋体"/>
                <w:b w:val="0"/>
                <w:i w:val="0"/>
                <w:color w:val="000000"/>
                <w:sz w:val="14"/>
              </w:rPr>
              <w:t xml:space="preserve">849.77</w:t>
            </w:r>
          </w:p>
        </w:tc>
        <w:tc>
          <w:tcPr>
            <w:tcW w:w="1060" w:type="dxa"/>
            <w:tcBorders/>
            <w:vAlign w:val="center"/>
          </w:tcPr>
          <w:p>
            <w:pPr>
              <w:jc w:val="right"/>
            </w:pPr>
            <w:r>
              <w:rPr>
                <w:rFonts w:ascii="宋体" w:eastAsia="宋体" w:hAnsi="宋体" w:cs="宋体"/>
                <w:b w:val="0"/>
                <w:i w:val="0"/>
                <w:color w:val="000000"/>
                <w:sz w:val="14"/>
              </w:rPr>
              <w:t xml:space="preserve">838.74</w:t>
            </w:r>
          </w:p>
        </w:tc>
        <w:tc>
          <w:tcPr>
            <w:tcW w:w="1060" w:type="dxa"/>
            <w:tcBorders/>
            <w:vAlign w:val="center"/>
          </w:tcPr>
          <w:p>
            <w:pPr>
              <w:jc w:val="right"/>
            </w:pPr>
            <w:r>
              <w:rPr>
                <w:rFonts w:ascii="宋体" w:eastAsia="宋体" w:hAnsi="宋体" w:cs="宋体"/>
                <w:b w:val="0"/>
                <w:i w:val="0"/>
                <w:color w:val="000000"/>
                <w:sz w:val="14"/>
              </w:rPr>
              <w:t xml:space="preserve">11.03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2140199</w:t>
            </w:r>
          </w:p>
        </w:tc>
        <w:tc>
          <w:tcPr>
            <w:tcW w:w="3440" w:type="dxa"/>
            <w:tcBorders/>
            <w:vAlign w:val="center"/>
          </w:tcPr>
          <w:p>
            <w:pPr>
              <w:jc w:val="left"/>
            </w:pPr>
            <w:r>
              <w:rPr>
                <w:rFonts w:ascii="宋体" w:eastAsia="宋体" w:hAnsi="宋体" w:cs="宋体"/>
                <w:b w:val="0"/>
                <w:i w:val="0"/>
                <w:color w:val="000000"/>
                <w:sz w:val="14"/>
              </w:rPr>
              <w:t xml:space="preserve">其他公路水路运输支出</w:t>
            </w:r>
          </w:p>
        </w:tc>
        <w:tc>
          <w:tcPr>
            <w:tcW w:w="1060" w:type="dxa"/>
            <w:tcBorders/>
            <w:vAlign w:val="center"/>
          </w:tcPr>
          <w:p>
            <w:pPr>
              <w:jc w:val="right"/>
            </w:pPr>
            <w:r>
              <w:rPr>
                <w:rFonts w:ascii="宋体" w:eastAsia="宋体" w:hAnsi="宋体" w:cs="宋体"/>
                <w:b w:val="0"/>
                <w:i w:val="0"/>
                <w:color w:val="000000"/>
                <w:sz w:val="14"/>
              </w:rPr>
              <w:t xml:space="preserve">921.30</w:t>
            </w:r>
          </w:p>
        </w:tc>
        <w:tc>
          <w:tcPr>
            <w:tcW w:w="1060" w:type="dxa"/>
            <w:tcBorders/>
            <w:vAlign w:val="center"/>
          </w:tcPr>
          <w:p>
            <w:pPr>
              <w:jc w:val="right"/>
            </w:pPr>
            <w:r>
              <w:rPr>
                <w:rFonts w:ascii="宋体" w:eastAsia="宋体" w:hAnsi="宋体" w:cs="宋体"/>
                <w:b w:val="0"/>
                <w:i w:val="0"/>
                <w:color w:val="000000"/>
                <w:sz w:val="14"/>
              </w:rPr>
              <w:t xml:space="preserve">341.36</w:t>
            </w:r>
          </w:p>
        </w:tc>
        <w:tc>
          <w:tcPr>
            <w:tcW w:w="1060" w:type="dxa"/>
            <w:tcBorders/>
            <w:vAlign w:val="center"/>
          </w:tcPr>
          <w:p>
            <w:pPr>
              <w:jc w:val="right"/>
            </w:pPr>
            <w:r>
              <w:rPr>
                <w:rFonts w:ascii="宋体" w:eastAsia="宋体" w:hAnsi="宋体" w:cs="宋体"/>
                <w:b w:val="0"/>
                <w:i w:val="0"/>
                <w:color w:val="000000"/>
                <w:sz w:val="14"/>
              </w:rPr>
              <w:t xml:space="preserve">579.94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1,981.07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209.03</w:t>
            </w:r>
          </w:p>
        </w:tc>
        <w:tc>
          <w:tcPr>
            <w:tcW w:w="1100" w:type="dxa"/>
            <w:tcBorders/>
            <w:vAlign w:val="center"/>
          </w:tcPr>
          <w:p>
            <w:pPr>
              <w:jc w:val="right"/>
            </w:pPr>
            <w:r>
              <w:rPr>
                <w:rFonts w:ascii="宋体" w:eastAsia="宋体" w:hAnsi="宋体" w:cs="宋体"/>
                <w:b w:val="0"/>
                <w:i w:val="0"/>
                <w:color w:val="000000"/>
                <w:sz w:val="14"/>
              </w:rPr>
              <w:t xml:space="preserve">209.03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0.97</w:t>
            </w:r>
          </w:p>
        </w:tc>
        <w:tc>
          <w:tcPr>
            <w:tcW w:w="1100" w:type="dxa"/>
            <w:tcBorders/>
            <w:vAlign w:val="center"/>
          </w:tcPr>
          <w:p>
            <w:pPr>
              <w:jc w:val="right"/>
            </w:pPr>
            <w:r>
              <w:rPr>
                <w:rFonts w:ascii="宋体" w:eastAsia="宋体" w:hAnsi="宋体" w:cs="宋体"/>
                <w:b w:val="0"/>
                <w:i w:val="0"/>
                <w:color w:val="000000"/>
                <w:sz w:val="14"/>
              </w:rPr>
              <w:t xml:space="preserve">0.97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jc w:val="right"/>
            </w:pPr>
            <w:r>
              <w:rPr>
                <w:rFonts w:ascii="宋体" w:eastAsia="宋体" w:hAnsi="宋体" w:cs="宋体"/>
                <w:b w:val="0"/>
                <w:i w:val="0"/>
                <w:color w:val="000000"/>
                <w:sz w:val="14"/>
              </w:rPr>
              <w:t xml:space="preserve">1,771.07</w:t>
            </w:r>
          </w:p>
        </w:tc>
        <w:tc>
          <w:tcPr>
            <w:tcW w:w="1100" w:type="dxa"/>
            <w:tcBorders/>
            <w:vAlign w:val="center"/>
          </w:tcPr>
          <w:p>
            <w:pPr>
              <w:jc w:val="right"/>
            </w:pPr>
            <w:r>
              <w:rPr>
                <w:rFonts w:ascii="宋体" w:eastAsia="宋体" w:hAnsi="宋体" w:cs="宋体"/>
                <w:b w:val="0"/>
                <w:i w:val="0"/>
                <w:color w:val="000000"/>
                <w:sz w:val="14"/>
              </w:rPr>
              <w:t xml:space="preserve">1,771.07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1,981.07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1,981.07</w:t>
            </w:r>
          </w:p>
        </w:tc>
        <w:tc>
          <w:tcPr>
            <w:tcW w:w="1100" w:type="dxa"/>
            <w:tcBorders/>
            <w:vAlign w:val="center"/>
          </w:tcPr>
          <w:p>
            <w:pPr>
              <w:jc w:val="right"/>
            </w:pPr>
            <w:r>
              <w:rPr>
                <w:rFonts w:ascii="宋体" w:eastAsia="宋体" w:hAnsi="宋体" w:cs="宋体"/>
                <w:b w:val="0"/>
                <w:i w:val="0"/>
                <w:color w:val="000000"/>
                <w:sz w:val="14"/>
              </w:rPr>
              <w:t xml:space="preserve">1,981.07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1,981.07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1,981.07</w:t>
            </w:r>
          </w:p>
        </w:tc>
        <w:tc>
          <w:tcPr>
            <w:tcW w:w="1100" w:type="dxa"/>
            <w:tcBorders/>
            <w:vAlign w:val="center"/>
          </w:tcPr>
          <w:p>
            <w:pPr>
              <w:jc w:val="right"/>
            </w:pPr>
            <w:r>
              <w:rPr>
                <w:rFonts w:ascii="宋体" w:eastAsia="宋体" w:hAnsi="宋体" w:cs="宋体"/>
                <w:b w:val="0"/>
                <w:i w:val="0"/>
                <w:color w:val="000000"/>
                <w:sz w:val="14"/>
              </w:rPr>
              <w:t xml:space="preserve">1,981.07</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1,981.07</w:t>
            </w:r>
          </w:p>
        </w:tc>
        <w:tc>
          <w:tcPr>
            <w:tcW w:w="1780" w:type="dxa"/>
            <w:tcBorders/>
            <w:vAlign w:val="center"/>
          </w:tcPr>
          <w:p>
            <w:pPr>
              <w:jc w:val="right"/>
            </w:pPr>
            <w:r>
              <w:rPr>
                <w:rFonts w:ascii="宋体" w:eastAsia="宋体" w:hAnsi="宋体" w:cs="宋体"/>
                <w:b/>
                <w:i w:val="0"/>
                <w:color w:val="000000"/>
                <w:sz w:val="18"/>
              </w:rPr>
              <w:t xml:space="preserve">1,390.10</w:t>
            </w:r>
          </w:p>
        </w:tc>
        <w:tc>
          <w:tcPr>
            <w:tcW w:w="1772" w:type="dxa"/>
            <w:tcBorders/>
            <w:vAlign w:val="center"/>
          </w:tcPr>
          <w:p>
            <w:pPr>
              <w:jc w:val="right"/>
            </w:pPr>
            <w:r>
              <w:rPr>
                <w:rFonts w:ascii="宋体" w:eastAsia="宋体" w:hAnsi="宋体" w:cs="宋体"/>
                <w:b/>
                <w:i w:val="0"/>
                <w:color w:val="000000"/>
                <w:sz w:val="18"/>
              </w:rPr>
              <w:t xml:space="preserve">590.97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209.03</w:t>
            </w:r>
          </w:p>
        </w:tc>
        <w:tc>
          <w:tcPr>
            <w:tcW w:w="1780" w:type="dxa"/>
            <w:tcBorders/>
            <w:vAlign w:val="center"/>
          </w:tcPr>
          <w:p>
            <w:pPr>
              <w:jc w:val="right"/>
            </w:pPr>
            <w:r>
              <w:rPr>
                <w:rFonts w:ascii="宋体" w:eastAsia="宋体" w:hAnsi="宋体" w:cs="宋体"/>
                <w:b w:val="0"/>
                <w:i w:val="0"/>
                <w:color w:val="000000"/>
                <w:sz w:val="18"/>
              </w:rPr>
              <w:t xml:space="preserve">209.03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71.97</w:t>
            </w:r>
          </w:p>
        </w:tc>
        <w:tc>
          <w:tcPr>
            <w:tcW w:w="1780" w:type="dxa"/>
            <w:tcBorders/>
            <w:vAlign w:val="center"/>
          </w:tcPr>
          <w:p>
            <w:pPr>
              <w:jc w:val="right"/>
            </w:pPr>
            <w:r>
              <w:rPr>
                <w:rFonts w:ascii="宋体" w:eastAsia="宋体" w:hAnsi="宋体" w:cs="宋体"/>
                <w:b w:val="0"/>
                <w:i w:val="0"/>
                <w:color w:val="000000"/>
                <w:sz w:val="18"/>
              </w:rPr>
              <w:t xml:space="preserve">71.97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71.97</w:t>
            </w:r>
          </w:p>
        </w:tc>
        <w:tc>
          <w:tcPr>
            <w:tcW w:w="1780" w:type="dxa"/>
            <w:tcBorders/>
            <w:vAlign w:val="center"/>
          </w:tcPr>
          <w:p>
            <w:pPr>
              <w:jc w:val="right"/>
            </w:pPr>
            <w:r>
              <w:rPr>
                <w:rFonts w:ascii="宋体" w:eastAsia="宋体" w:hAnsi="宋体" w:cs="宋体"/>
                <w:b w:val="0"/>
                <w:i w:val="0"/>
                <w:color w:val="000000"/>
                <w:sz w:val="18"/>
              </w:rPr>
              <w:t xml:space="preserve">71.97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137.06</w:t>
            </w:r>
          </w:p>
        </w:tc>
        <w:tc>
          <w:tcPr>
            <w:tcW w:w="1780" w:type="dxa"/>
            <w:tcBorders/>
            <w:vAlign w:val="center"/>
          </w:tcPr>
          <w:p>
            <w:pPr>
              <w:jc w:val="right"/>
            </w:pPr>
            <w:r>
              <w:rPr>
                <w:rFonts w:ascii="宋体" w:eastAsia="宋体" w:hAnsi="宋体" w:cs="宋体"/>
                <w:b w:val="0"/>
                <w:i w:val="0"/>
                <w:color w:val="000000"/>
                <w:sz w:val="18"/>
              </w:rPr>
              <w:t xml:space="preserve">137.06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125.97</w:t>
            </w:r>
          </w:p>
        </w:tc>
        <w:tc>
          <w:tcPr>
            <w:tcW w:w="1780" w:type="dxa"/>
            <w:tcBorders/>
            <w:vAlign w:val="center"/>
          </w:tcPr>
          <w:p>
            <w:pPr>
              <w:jc w:val="right"/>
            </w:pPr>
            <w:r>
              <w:rPr>
                <w:rFonts w:ascii="宋体" w:eastAsia="宋体" w:hAnsi="宋体" w:cs="宋体"/>
                <w:b w:val="0"/>
                <w:i w:val="0"/>
                <w:color w:val="000000"/>
                <w:sz w:val="18"/>
              </w:rPr>
              <w:t xml:space="preserve">125.97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11.09</w:t>
            </w:r>
          </w:p>
        </w:tc>
        <w:tc>
          <w:tcPr>
            <w:tcW w:w="1780" w:type="dxa"/>
            <w:tcBorders/>
            <w:vAlign w:val="center"/>
          </w:tcPr>
          <w:p>
            <w:pPr>
              <w:jc w:val="right"/>
            </w:pPr>
            <w:r>
              <w:rPr>
                <w:rFonts w:ascii="宋体" w:eastAsia="宋体" w:hAnsi="宋体" w:cs="宋体"/>
                <w:b w:val="0"/>
                <w:i w:val="0"/>
                <w:color w:val="000000"/>
                <w:sz w:val="18"/>
              </w:rPr>
              <w:t xml:space="preserve">11.09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0.97</w:t>
            </w:r>
          </w:p>
        </w:tc>
        <w:tc>
          <w:tcPr>
            <w:tcW w:w="1780" w:type="dxa"/>
            <w:tcBorders/>
            <w:vAlign w:val="center"/>
          </w:tcPr>
          <w:p>
            <w:pPr>
              <w:jc w:val="right"/>
            </w:pPr>
            <w:r>
              <w:rPr>
                <w:rFonts w:ascii="宋体" w:eastAsia="宋体" w:hAnsi="宋体" w:cs="宋体"/>
                <w:b w:val="0"/>
                <w:i w:val="0"/>
                <w:color w:val="000000"/>
                <w:sz w:val="18"/>
              </w:rPr>
              <w:t xml:space="preserve">0.97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0.97</w:t>
            </w:r>
          </w:p>
        </w:tc>
        <w:tc>
          <w:tcPr>
            <w:tcW w:w="1780" w:type="dxa"/>
            <w:tcBorders/>
            <w:vAlign w:val="center"/>
          </w:tcPr>
          <w:p>
            <w:pPr>
              <w:jc w:val="right"/>
            </w:pPr>
            <w:r>
              <w:rPr>
                <w:rFonts w:ascii="宋体" w:eastAsia="宋体" w:hAnsi="宋体" w:cs="宋体"/>
                <w:b w:val="0"/>
                <w:i w:val="0"/>
                <w:color w:val="000000"/>
                <w:sz w:val="18"/>
              </w:rPr>
              <w:t xml:space="preserve">0.97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0.93</w:t>
            </w:r>
          </w:p>
        </w:tc>
        <w:tc>
          <w:tcPr>
            <w:tcW w:w="1780" w:type="dxa"/>
            <w:tcBorders/>
            <w:vAlign w:val="center"/>
          </w:tcPr>
          <w:p>
            <w:pPr>
              <w:jc w:val="right"/>
            </w:pPr>
            <w:r>
              <w:rPr>
                <w:rFonts w:ascii="宋体" w:eastAsia="宋体" w:hAnsi="宋体" w:cs="宋体"/>
                <w:b w:val="0"/>
                <w:i w:val="0"/>
                <w:color w:val="000000"/>
                <w:sz w:val="18"/>
              </w:rPr>
              <w:t xml:space="preserve">0.93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2101199</w:t>
            </w:r>
          </w:p>
        </w:tc>
        <w:tc>
          <w:tcPr>
            <w:tcW w:w="4300" w:type="dxa"/>
            <w:tcBorders/>
            <w:vAlign w:val="center"/>
          </w:tcPr>
          <w:p>
            <w:pPr>
              <w:jc w:val="left"/>
            </w:pPr>
            <w:r>
              <w:rPr>
                <w:rFonts w:ascii="宋体" w:eastAsia="宋体" w:hAnsi="宋体" w:cs="宋体"/>
                <w:b w:val="0"/>
                <w:i w:val="0"/>
                <w:color w:val="000000"/>
                <w:sz w:val="18"/>
              </w:rPr>
              <w:t xml:space="preserve">其他行政事业单位医疗支出</w:t>
            </w:r>
          </w:p>
        </w:tc>
        <w:tc>
          <w:tcPr>
            <w:tcW w:w="1780" w:type="dxa"/>
            <w:tcBorders/>
            <w:vAlign w:val="center"/>
          </w:tcPr>
          <w:p>
            <w:pPr>
              <w:jc w:val="right"/>
            </w:pPr>
            <w:r>
              <w:rPr>
                <w:rFonts w:ascii="宋体" w:eastAsia="宋体" w:hAnsi="宋体" w:cs="宋体"/>
                <w:b w:val="0"/>
                <w:i w:val="0"/>
                <w:color w:val="000000"/>
                <w:sz w:val="18"/>
              </w:rPr>
              <w:t xml:space="preserve">0.04</w:t>
            </w:r>
          </w:p>
        </w:tc>
        <w:tc>
          <w:tcPr>
            <w:tcW w:w="1780" w:type="dxa"/>
            <w:tcBorders/>
            <w:vAlign w:val="center"/>
          </w:tcPr>
          <w:p>
            <w:pPr>
              <w:jc w:val="right"/>
            </w:pPr>
            <w:r>
              <w:rPr>
                <w:rFonts w:ascii="宋体" w:eastAsia="宋体" w:hAnsi="宋体" w:cs="宋体"/>
                <w:b w:val="0"/>
                <w:i w:val="0"/>
                <w:color w:val="000000"/>
                <w:sz w:val="18"/>
              </w:rPr>
              <w:t xml:space="preserve">0.04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w:t>
            </w:r>
          </w:p>
        </w:tc>
        <w:tc>
          <w:tcPr>
            <w:tcW w:w="4300" w:type="dxa"/>
            <w:tcBorders/>
            <w:vAlign w:val="center"/>
          </w:tcPr>
          <w:p>
            <w:pPr>
              <w:jc w:val="left"/>
            </w:pPr>
            <w:r>
              <w:rPr>
                <w:rFonts w:ascii="宋体" w:eastAsia="宋体" w:hAnsi="宋体" w:cs="宋体"/>
                <w:b w:val="0"/>
                <w:i w:val="0"/>
                <w:color w:val="000000"/>
                <w:sz w:val="18"/>
              </w:rPr>
              <w:t xml:space="preserve">交通运输支出</w:t>
            </w:r>
          </w:p>
        </w:tc>
        <w:tc>
          <w:tcPr>
            <w:tcW w:w="1780" w:type="dxa"/>
            <w:tcBorders/>
            <w:vAlign w:val="center"/>
          </w:tcPr>
          <w:p>
            <w:pPr>
              <w:jc w:val="right"/>
            </w:pPr>
            <w:r>
              <w:rPr>
                <w:rFonts w:ascii="宋体" w:eastAsia="宋体" w:hAnsi="宋体" w:cs="宋体"/>
                <w:b w:val="0"/>
                <w:i w:val="0"/>
                <w:color w:val="000000"/>
                <w:sz w:val="18"/>
              </w:rPr>
              <w:t xml:space="preserve">1,771.07</w:t>
            </w:r>
          </w:p>
        </w:tc>
        <w:tc>
          <w:tcPr>
            <w:tcW w:w="1780" w:type="dxa"/>
            <w:tcBorders/>
            <w:vAlign w:val="center"/>
          </w:tcPr>
          <w:p>
            <w:pPr>
              <w:jc w:val="right"/>
            </w:pPr>
            <w:r>
              <w:rPr>
                <w:rFonts w:ascii="宋体" w:eastAsia="宋体" w:hAnsi="宋体" w:cs="宋体"/>
                <w:b w:val="0"/>
                <w:i w:val="0"/>
                <w:color w:val="000000"/>
                <w:sz w:val="18"/>
              </w:rPr>
              <w:t xml:space="preserve">1,180.10</w:t>
            </w:r>
          </w:p>
        </w:tc>
        <w:tc>
          <w:tcPr>
            <w:tcW w:w="1772" w:type="dxa"/>
            <w:tcBorders/>
            <w:vAlign w:val="center"/>
          </w:tcPr>
          <w:p>
            <w:pPr>
              <w:jc w:val="right"/>
            </w:pPr>
            <w:r>
              <w:rPr>
                <w:rFonts w:ascii="宋体" w:eastAsia="宋体" w:hAnsi="宋体" w:cs="宋体"/>
                <w:b w:val="0"/>
                <w:i w:val="0"/>
                <w:color w:val="000000"/>
                <w:sz w:val="18"/>
              </w:rPr>
              <w:t xml:space="preserve">590.97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21401</w:t>
            </w:r>
          </w:p>
        </w:tc>
        <w:tc>
          <w:tcPr>
            <w:tcW w:w="4300" w:type="dxa"/>
            <w:tcBorders/>
            <w:vAlign w:val="center"/>
          </w:tcPr>
          <w:p>
            <w:pPr>
              <w:jc w:val="left"/>
            </w:pPr>
            <w:r>
              <w:rPr>
                <w:rFonts w:ascii="宋体" w:eastAsia="宋体" w:hAnsi="宋体" w:cs="宋体"/>
                <w:b w:val="0"/>
                <w:i w:val="0"/>
                <w:color w:val="000000"/>
                <w:sz w:val="18"/>
              </w:rPr>
              <w:t xml:space="preserve">公路水路运输</w:t>
            </w:r>
          </w:p>
        </w:tc>
        <w:tc>
          <w:tcPr>
            <w:tcW w:w="1780" w:type="dxa"/>
            <w:tcBorders/>
            <w:vAlign w:val="center"/>
          </w:tcPr>
          <w:p>
            <w:pPr>
              <w:jc w:val="right"/>
            </w:pPr>
            <w:r>
              <w:rPr>
                <w:rFonts w:ascii="宋体" w:eastAsia="宋体" w:hAnsi="宋体" w:cs="宋体"/>
                <w:b w:val="0"/>
                <w:i w:val="0"/>
                <w:color w:val="000000"/>
                <w:sz w:val="18"/>
              </w:rPr>
              <w:t xml:space="preserve">1,771.07</w:t>
            </w:r>
          </w:p>
        </w:tc>
        <w:tc>
          <w:tcPr>
            <w:tcW w:w="1780" w:type="dxa"/>
            <w:tcBorders/>
            <w:vAlign w:val="center"/>
          </w:tcPr>
          <w:p>
            <w:pPr>
              <w:jc w:val="right"/>
            </w:pPr>
            <w:r>
              <w:rPr>
                <w:rFonts w:ascii="宋体" w:eastAsia="宋体" w:hAnsi="宋体" w:cs="宋体"/>
                <w:b w:val="0"/>
                <w:i w:val="0"/>
                <w:color w:val="000000"/>
                <w:sz w:val="18"/>
              </w:rPr>
              <w:t xml:space="preserve">1,180.10</w:t>
            </w:r>
          </w:p>
        </w:tc>
        <w:tc>
          <w:tcPr>
            <w:tcW w:w="1772" w:type="dxa"/>
            <w:tcBorders/>
            <w:vAlign w:val="center"/>
          </w:tcPr>
          <w:p>
            <w:pPr>
              <w:jc w:val="right"/>
            </w:pPr>
            <w:r>
              <w:rPr>
                <w:rFonts w:ascii="宋体" w:eastAsia="宋体" w:hAnsi="宋体" w:cs="宋体"/>
                <w:b w:val="0"/>
                <w:i w:val="0"/>
                <w:color w:val="000000"/>
                <w:sz w:val="18"/>
              </w:rPr>
              <w:t xml:space="preserve">590.97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2140106</w:t>
            </w:r>
          </w:p>
        </w:tc>
        <w:tc>
          <w:tcPr>
            <w:tcW w:w="4300" w:type="dxa"/>
            <w:tcBorders/>
            <w:vAlign w:val="center"/>
          </w:tcPr>
          <w:p>
            <w:pPr>
              <w:jc w:val="left"/>
            </w:pPr>
            <w:r>
              <w:rPr>
                <w:rFonts w:ascii="宋体" w:eastAsia="宋体" w:hAnsi="宋体" w:cs="宋体"/>
                <w:b w:val="0"/>
                <w:i w:val="0"/>
                <w:color w:val="000000"/>
                <w:sz w:val="18"/>
              </w:rPr>
              <w:t xml:space="preserve">公路养护</w:t>
            </w:r>
          </w:p>
        </w:tc>
        <w:tc>
          <w:tcPr>
            <w:tcW w:w="1780" w:type="dxa"/>
            <w:tcBorders/>
            <w:vAlign w:val="center"/>
          </w:tcPr>
          <w:p>
            <w:pPr>
              <w:jc w:val="right"/>
            </w:pPr>
            <w:r>
              <w:rPr>
                <w:rFonts w:ascii="宋体" w:eastAsia="宋体" w:hAnsi="宋体" w:cs="宋体"/>
                <w:b w:val="0"/>
                <w:i w:val="0"/>
                <w:color w:val="000000"/>
                <w:sz w:val="18"/>
              </w:rPr>
              <w:t xml:space="preserve">849.77</w:t>
            </w:r>
          </w:p>
        </w:tc>
        <w:tc>
          <w:tcPr>
            <w:tcW w:w="1780" w:type="dxa"/>
            <w:tcBorders/>
            <w:vAlign w:val="center"/>
          </w:tcPr>
          <w:p>
            <w:pPr>
              <w:jc w:val="right"/>
            </w:pPr>
            <w:r>
              <w:rPr>
                <w:rFonts w:ascii="宋体" w:eastAsia="宋体" w:hAnsi="宋体" w:cs="宋体"/>
                <w:b w:val="0"/>
                <w:i w:val="0"/>
                <w:color w:val="000000"/>
                <w:sz w:val="18"/>
              </w:rPr>
              <w:t xml:space="preserve">838.74</w:t>
            </w:r>
          </w:p>
        </w:tc>
        <w:tc>
          <w:tcPr>
            <w:tcW w:w="1772" w:type="dxa"/>
            <w:tcBorders/>
            <w:vAlign w:val="center"/>
          </w:tcPr>
          <w:p>
            <w:pPr>
              <w:jc w:val="right"/>
            </w:pPr>
            <w:r>
              <w:rPr>
                <w:rFonts w:ascii="宋体" w:eastAsia="宋体" w:hAnsi="宋体" w:cs="宋体"/>
                <w:b w:val="0"/>
                <w:i w:val="0"/>
                <w:color w:val="000000"/>
                <w:sz w:val="18"/>
              </w:rPr>
              <w:t xml:space="preserve">11.03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2140199</w:t>
            </w:r>
          </w:p>
        </w:tc>
        <w:tc>
          <w:tcPr>
            <w:tcW w:w="4300" w:type="dxa"/>
            <w:tcBorders/>
            <w:vAlign w:val="center"/>
          </w:tcPr>
          <w:p>
            <w:pPr>
              <w:jc w:val="left"/>
            </w:pPr>
            <w:r>
              <w:rPr>
                <w:rFonts w:ascii="宋体" w:eastAsia="宋体" w:hAnsi="宋体" w:cs="宋体"/>
                <w:b w:val="0"/>
                <w:i w:val="0"/>
                <w:color w:val="000000"/>
                <w:sz w:val="18"/>
              </w:rPr>
              <w:t xml:space="preserve">其他公路水路运输支出</w:t>
            </w:r>
          </w:p>
        </w:tc>
        <w:tc>
          <w:tcPr>
            <w:tcW w:w="1780" w:type="dxa"/>
            <w:tcBorders/>
            <w:vAlign w:val="center"/>
          </w:tcPr>
          <w:p>
            <w:pPr>
              <w:jc w:val="right"/>
            </w:pPr>
            <w:r>
              <w:rPr>
                <w:rFonts w:ascii="宋体" w:eastAsia="宋体" w:hAnsi="宋体" w:cs="宋体"/>
                <w:b w:val="0"/>
                <w:i w:val="0"/>
                <w:color w:val="000000"/>
                <w:sz w:val="18"/>
              </w:rPr>
              <w:t xml:space="preserve">921.30</w:t>
            </w:r>
          </w:p>
        </w:tc>
        <w:tc>
          <w:tcPr>
            <w:tcW w:w="1780" w:type="dxa"/>
            <w:tcBorders/>
            <w:vAlign w:val="center"/>
          </w:tcPr>
          <w:p>
            <w:pPr>
              <w:jc w:val="right"/>
            </w:pPr>
            <w:r>
              <w:rPr>
                <w:rFonts w:ascii="宋体" w:eastAsia="宋体" w:hAnsi="宋体" w:cs="宋体"/>
                <w:b w:val="0"/>
                <w:i w:val="0"/>
                <w:color w:val="000000"/>
                <w:sz w:val="18"/>
              </w:rPr>
              <w:t xml:space="preserve">341.36</w:t>
            </w:r>
          </w:p>
        </w:tc>
        <w:tc>
          <w:tcPr>
            <w:tcW w:w="1772" w:type="dxa"/>
            <w:tcBorders/>
            <w:vAlign w:val="center"/>
          </w:tcPr>
          <w:p>
            <w:pPr>
              <w:jc w:val="right"/>
            </w:pPr>
            <w:r>
              <w:rPr>
                <w:rFonts w:ascii="宋体" w:eastAsia="宋体" w:hAnsi="宋体" w:cs="宋体"/>
                <w:b w:val="0"/>
                <w:i w:val="0"/>
                <w:color w:val="000000"/>
                <w:sz w:val="18"/>
              </w:rPr>
              <w:t xml:space="preserve">579.94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1,069.00</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58.43</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283.49</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13.08</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121.99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25.41</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2.39</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26.74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395.62</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2.39</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107.35</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2.56</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54.33</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35.78</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49.35</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jc w:val="right"/>
            </w:pPr>
            <w:r>
              <w:rPr>
                <w:rFonts w:ascii="宋体" w:eastAsia="宋体" w:hAnsi="宋体" w:cs="宋体"/>
                <w:b w:val="0"/>
                <w:i w:val="0"/>
                <w:color w:val="000000"/>
                <w:sz w:val="14"/>
              </w:rPr>
              <w:t xml:space="preserve">0.04</w:t>
            </w: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4.70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0.18</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260.29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71.97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137.06</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51.26</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6.80</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0.02</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1,329.29</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60.82</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066002沈阳市浑南区交通运输事务服务中心-210112000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1547.66</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1547.66</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34.67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34.66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818.71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818.71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26.15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26.14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510.57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510.57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完成当年国省干线日常养护管理任务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顺利完成，正常运转。</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706"/>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2024年沈阳市浑南区交通运输事务服务中心，由于资金紧张，日常扫保设备陈旧，部分工作完成不彻底。</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经费保障:2024年沈阳市浑南区交通运输事务服务中心，由于资金紧张，日常扫保设备陈旧，部分工作完成不彻底。应加强资金保障。</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706"/>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2024年沈阳市浑南区交通运输事务服务中心，由于资金紧张，日常扫保设备陈旧，部分工作完成不彻底。</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经费保障:2024年沈阳市浑南区交通运输事务服务中心，由于资金紧张，日常扫保设备陈旧，部分工作完成不彻底。应加强资金保障。</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706"/>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部分达成预期指标并具有一定效果80%-60%（含）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2.475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沈阳市浑南区交通运输事务服务中心在职人员63人，平均年龄48岁，人员老化，需增加年轻人提高管理水平。</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人员保障:沈阳市浑南区交通运输事务服务中心需增加年轻人，增加交通专业技术人员，提高整体管理水平。</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2024年浑南交通运输事务服务中心没有公务用车、没有公务人员差旅费支出，因此完成程度为零。</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其他:2024年浑南交通运输事务服务中心没有公务用车、没有公务人员差旅费支出，因此完成程度为零。</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开展《交通强国建设纲要》研究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舆情监测完成情况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份</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安全责任制落实</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经费保障提升率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安全生产知识宣传成果满意度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安全管理人员果满意度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基层群众对交通运输工作的满意度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人民群众出行总体满意度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完善部门事权和支出责任划分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98.84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办公用房取暖相关费用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顺利完成，运转正常。</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国省干线公路建设养护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93.3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利润增长率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道路运输管理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36.71%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日常养护工作任务，有效的确保农村公路的通行能力，有效的防治农村公路交通安全事故的发生，确保全区农村公路完好、安全、畅通。让老百姓走上放心路、致富路，为我区国民经济和社会发展创造了良好的条件，营造了良好的道路交通环境。交通养护专项资金助推我区交通基础建设的发展，随着项目实施极大提升了公路安全水平，提高道路运输的通行效率，降低了物流运输成本。我区农村地区交通通行条件得到显著提高，方便城乡居民出行，提升城乡居民幸福感，缓解和改善日常的交通压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完成了日常养护工作任务，有效防止农村公路交通安全事故的发生，缓解和改善了日常交通压力。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利润增长率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植被覆盖率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34.67088608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环卫一线职工慰问及高温补贴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35.46%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利润增长率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植被覆盖率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34.54609929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交通运输管理专项业务经费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207.11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207.11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日常养护工作任务，有效的确保农村公路的通行能力，有效的防治农村公路交通安全事故的发生，确保全区农村公路完好、安全、畅通。让老百姓走上放心路、致富路，为我区国民经济和社会发展创造了良好的条件，营造了良好的道路交通环境。交通养护专项资金助推我区交通基础建设的发展，随着项目实施极大提升了公路安全水平，提高道路运输的通行效率，降低了物流运输成本。我区农村地区交通通行条件得到显著提高，方便城乡居民出行，提升城乡居民幸福感，缓解和改善日常的交通压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完成了日常养护工作任务，有效防止农村公路交通安全事故的发生，缓解和改善了日常交通压力。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利润增长率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植被覆盖率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临时工经费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331.16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331.16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确保一线职工工资待遇。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顺利完成，运转正常。</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国省干线公路建设养护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93.3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利润增长率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植被覆盖率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保障人员经费及时到位。</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顺利完成，运转正常。</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国省干线公路建设养护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93.3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利润增长率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乡镇通车率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植被覆盖率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推动“四好农村路”发展持续时间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17.00079576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应急事务管理专项业务经费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顺利完成，运转正常。</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利润增长率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植被覆盖率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