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0E711">
      <w:pPr>
        <w:pStyle w:val="6"/>
        <w:rPr>
          <w:rFonts w:hint="default" w:ascii="黑体" w:eastAsia="黑体"/>
          <w:sz w:val="32"/>
        </w:rPr>
      </w:pPr>
      <w:r>
        <w:rPr>
          <w:rFonts w:ascii="黑体" w:eastAsia="黑体"/>
          <w:sz w:val="32"/>
        </w:rPr>
        <w:t>附件2</w:t>
      </w:r>
    </w:p>
    <w:p w14:paraId="5D8C7D6F">
      <w:pPr>
        <w:pStyle w:val="6"/>
        <w:rPr>
          <w:rFonts w:hint="default"/>
          <w:b/>
          <w:sz w:val="44"/>
        </w:rPr>
      </w:pPr>
    </w:p>
    <w:p w14:paraId="10AAB4D8">
      <w:pPr>
        <w:pStyle w:val="6"/>
        <w:rPr>
          <w:rFonts w:hint="default"/>
          <w:b/>
          <w:sz w:val="44"/>
        </w:rPr>
      </w:pPr>
    </w:p>
    <w:p w14:paraId="065D3ED9">
      <w:pPr>
        <w:pStyle w:val="6"/>
        <w:rPr>
          <w:rFonts w:hint="default"/>
          <w:b/>
          <w:sz w:val="44"/>
        </w:rPr>
      </w:pPr>
    </w:p>
    <w:p w14:paraId="3027BD82">
      <w:pPr>
        <w:pStyle w:val="6"/>
        <w:rPr>
          <w:rFonts w:hint="default"/>
          <w:b/>
          <w:sz w:val="44"/>
        </w:rPr>
      </w:pPr>
    </w:p>
    <w:p w14:paraId="7B369BE0">
      <w:pPr>
        <w:pStyle w:val="6"/>
        <w:rPr>
          <w:rFonts w:hint="default"/>
          <w:b/>
          <w:sz w:val="44"/>
        </w:rPr>
      </w:pPr>
    </w:p>
    <w:p w14:paraId="20DBA8BD">
      <w:pPr>
        <w:pStyle w:val="6"/>
        <w:rPr>
          <w:rFonts w:hint="default"/>
          <w:b/>
          <w:sz w:val="44"/>
        </w:rPr>
      </w:pPr>
    </w:p>
    <w:p w14:paraId="4A9D68C4">
      <w:pPr>
        <w:spacing w:line="540" w:lineRule="exact"/>
        <w:jc w:val="center"/>
        <w:rPr>
          <w:rFonts w:hint="default" w:ascii="宋体" w:hAnsi="宋体"/>
          <w:b/>
          <w:sz w:val="52"/>
          <w:szCs w:val="52"/>
        </w:rPr>
      </w:pPr>
      <w:r>
        <w:rPr>
          <w:rFonts w:ascii="宋体" w:hAnsi="宋体"/>
          <w:b/>
          <w:sz w:val="52"/>
          <w:szCs w:val="52"/>
        </w:rPr>
        <w:t>沈阳市浑南区政务服务中心</w:t>
      </w:r>
    </w:p>
    <w:p w14:paraId="1920D22C">
      <w:pPr>
        <w:spacing w:line="540" w:lineRule="exact"/>
        <w:jc w:val="center"/>
        <w:rPr>
          <w:rFonts w:hint="eastAsia" w:ascii="宋体" w:hAnsi="宋体" w:eastAsia="宋体"/>
          <w:b/>
          <w:color w:val="FF0000"/>
          <w:sz w:val="52"/>
          <w:szCs w:val="52"/>
          <w:lang w:eastAsia="zh-CN"/>
        </w:rPr>
      </w:pPr>
      <w:r>
        <w:rPr>
          <w:rFonts w:ascii="宋体" w:hAnsi="宋体"/>
          <w:b/>
          <w:sz w:val="52"/>
          <w:szCs w:val="52"/>
        </w:rPr>
        <w:t>2022决算</w:t>
      </w:r>
      <w:r>
        <w:rPr>
          <w:rFonts w:hint="eastAsia" w:ascii="宋体" w:hAnsi="宋体"/>
          <w:b/>
          <w:sz w:val="52"/>
          <w:szCs w:val="52"/>
          <w:lang w:eastAsia="zh-CN"/>
        </w:rPr>
        <w:t>说明</w:t>
      </w:r>
    </w:p>
    <w:p w14:paraId="694DCD62">
      <w:pPr>
        <w:pStyle w:val="6"/>
        <w:jc w:val="center"/>
        <w:rPr>
          <w:rFonts w:hint="default" w:ascii="仿宋_GB2312" w:eastAsia="仿宋_GB2312"/>
          <w:b/>
          <w:sz w:val="52"/>
        </w:rPr>
      </w:pPr>
    </w:p>
    <w:p w14:paraId="49C5B657">
      <w:pPr>
        <w:pStyle w:val="6"/>
        <w:jc w:val="center"/>
        <w:rPr>
          <w:rFonts w:hint="default" w:ascii="仿宋_GB2312" w:eastAsia="仿宋_GB2312"/>
          <w:b/>
          <w:sz w:val="52"/>
        </w:rPr>
      </w:pPr>
    </w:p>
    <w:p w14:paraId="607B1180">
      <w:pPr>
        <w:pStyle w:val="6"/>
        <w:jc w:val="center"/>
        <w:rPr>
          <w:rFonts w:hint="default" w:ascii="Times New Roman" w:eastAsia="Times New Roman"/>
          <w:b/>
          <w:sz w:val="44"/>
          <w:u w:val="single"/>
        </w:rPr>
      </w:pPr>
    </w:p>
    <w:p w14:paraId="57DA1EB8">
      <w:pPr>
        <w:pStyle w:val="6"/>
        <w:jc w:val="center"/>
        <w:rPr>
          <w:rFonts w:hint="default" w:ascii="Times New Roman" w:eastAsia="Times New Roman"/>
          <w:b/>
          <w:sz w:val="44"/>
          <w:u w:val="single"/>
        </w:rPr>
      </w:pPr>
    </w:p>
    <w:p w14:paraId="2C577770">
      <w:pPr>
        <w:pStyle w:val="6"/>
        <w:jc w:val="center"/>
        <w:rPr>
          <w:rFonts w:hint="default" w:ascii="Times New Roman" w:eastAsia="Times New Roman"/>
          <w:b/>
          <w:sz w:val="44"/>
          <w:u w:val="single"/>
        </w:rPr>
      </w:pPr>
    </w:p>
    <w:p w14:paraId="45BF2B37">
      <w:pPr>
        <w:pStyle w:val="6"/>
        <w:jc w:val="center"/>
        <w:rPr>
          <w:rFonts w:hint="default" w:ascii="Times New Roman" w:eastAsia="Times New Roman"/>
          <w:b/>
          <w:sz w:val="44"/>
          <w:u w:val="single"/>
        </w:rPr>
      </w:pPr>
    </w:p>
    <w:p w14:paraId="3597FD7F">
      <w:pPr>
        <w:pStyle w:val="6"/>
        <w:jc w:val="center"/>
        <w:rPr>
          <w:rFonts w:hint="default" w:ascii="Times New Roman" w:eastAsia="Times New Roman"/>
          <w:b/>
          <w:sz w:val="44"/>
          <w:u w:val="single"/>
        </w:rPr>
      </w:pPr>
    </w:p>
    <w:p w14:paraId="7DF48A68">
      <w:pPr>
        <w:pStyle w:val="6"/>
        <w:jc w:val="center"/>
        <w:rPr>
          <w:rFonts w:hint="default" w:ascii="Times New Roman" w:eastAsia="Times New Roman"/>
          <w:b/>
          <w:sz w:val="44"/>
          <w:u w:val="single"/>
        </w:rPr>
      </w:pPr>
    </w:p>
    <w:p w14:paraId="7C4B58E6">
      <w:pPr>
        <w:pStyle w:val="6"/>
        <w:jc w:val="center"/>
        <w:rPr>
          <w:rFonts w:hint="default" w:ascii="Times New Roman" w:eastAsia="Times New Roman"/>
          <w:b/>
          <w:sz w:val="44"/>
          <w:u w:val="single"/>
        </w:rPr>
      </w:pPr>
    </w:p>
    <w:p w14:paraId="43283C05">
      <w:pPr>
        <w:pStyle w:val="6"/>
        <w:jc w:val="center"/>
        <w:rPr>
          <w:rFonts w:hint="default" w:ascii="Times New Roman" w:eastAsia="Times New Roman"/>
          <w:b/>
          <w:sz w:val="44"/>
          <w:u w:val="single"/>
        </w:rPr>
      </w:pPr>
    </w:p>
    <w:p w14:paraId="1C9E1DE5">
      <w:pPr>
        <w:pStyle w:val="6"/>
        <w:jc w:val="center"/>
        <w:rPr>
          <w:rFonts w:hint="default" w:ascii="Times New Roman" w:eastAsiaTheme="minorEastAsia"/>
          <w:b/>
          <w:sz w:val="44"/>
          <w:u w:val="single"/>
        </w:rPr>
      </w:pPr>
    </w:p>
    <w:p w14:paraId="4E43B3C1">
      <w:pPr>
        <w:pStyle w:val="6"/>
        <w:jc w:val="center"/>
        <w:rPr>
          <w:rFonts w:hint="default" w:ascii="Times New Roman" w:eastAsiaTheme="minorEastAsia"/>
          <w:b/>
          <w:sz w:val="44"/>
          <w:u w:val="single"/>
        </w:rPr>
      </w:pPr>
    </w:p>
    <w:p w14:paraId="4AB7F956">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4AFE7E77">
      <w:pPr>
        <w:pStyle w:val="6"/>
        <w:spacing w:line="560" w:lineRule="exact"/>
        <w:rPr>
          <w:rFonts w:hint="default" w:ascii="Times New Roman" w:eastAsia="Times New Roman"/>
          <w:b/>
          <w:sz w:val="44"/>
          <w:u w:val="single"/>
        </w:rPr>
      </w:pPr>
    </w:p>
    <w:p w14:paraId="3BDD3687">
      <w:pPr>
        <w:pStyle w:val="6"/>
        <w:spacing w:line="560" w:lineRule="exact"/>
        <w:rPr>
          <w:rFonts w:hint="default" w:ascii="黑体" w:eastAsia="黑体"/>
          <w:sz w:val="32"/>
        </w:rPr>
      </w:pPr>
      <w:r>
        <w:rPr>
          <w:rFonts w:ascii="黑体" w:eastAsia="黑体"/>
          <w:sz w:val="32"/>
        </w:rPr>
        <w:t>第一部分    部门概况</w:t>
      </w:r>
    </w:p>
    <w:p w14:paraId="25EBB9A2">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6C268628">
      <w:pPr>
        <w:pStyle w:val="6"/>
        <w:spacing w:line="560" w:lineRule="exact"/>
        <w:rPr>
          <w:rFonts w:hint="default" w:ascii="仿宋_GB2312" w:eastAsia="仿宋_GB2312"/>
          <w:sz w:val="32"/>
        </w:rPr>
      </w:pPr>
      <w:r>
        <w:rPr>
          <w:rFonts w:ascii="仿宋_GB2312" w:eastAsia="仿宋_GB2312"/>
          <w:sz w:val="32"/>
        </w:rPr>
        <w:t>二、决算单位构成</w:t>
      </w:r>
    </w:p>
    <w:p w14:paraId="6464A3C0">
      <w:pPr>
        <w:pStyle w:val="6"/>
        <w:spacing w:line="560" w:lineRule="exact"/>
        <w:rPr>
          <w:rFonts w:hint="default" w:ascii="黑体" w:eastAsia="黑体"/>
          <w:sz w:val="32"/>
        </w:rPr>
      </w:pPr>
      <w:r>
        <w:rPr>
          <w:rFonts w:ascii="黑体" w:eastAsia="黑体"/>
          <w:sz w:val="32"/>
        </w:rPr>
        <w:t>第二部分    2022年度决算情况说明</w:t>
      </w:r>
    </w:p>
    <w:p w14:paraId="3215A78D">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5047904A">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0CE54E4C">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14A48A26">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74F218B9">
      <w:pPr>
        <w:pStyle w:val="6"/>
        <w:spacing w:line="560" w:lineRule="exact"/>
        <w:rPr>
          <w:rFonts w:hint="default" w:ascii="黑体" w:eastAsia="黑体"/>
          <w:sz w:val="32"/>
        </w:rPr>
      </w:pPr>
      <w:r>
        <w:rPr>
          <w:rFonts w:ascii="仿宋_GB2312" w:eastAsia="仿宋_GB2312"/>
          <w:sz w:val="32"/>
        </w:rPr>
        <w:t>五、其他重要事项的情况说明</w:t>
      </w:r>
    </w:p>
    <w:p w14:paraId="69B1F18B">
      <w:pPr>
        <w:pStyle w:val="6"/>
        <w:spacing w:line="560" w:lineRule="exact"/>
        <w:rPr>
          <w:rFonts w:hint="default" w:ascii="黑体" w:eastAsia="黑体"/>
          <w:sz w:val="32"/>
        </w:rPr>
      </w:pPr>
      <w:r>
        <w:rPr>
          <w:rFonts w:ascii="黑体" w:eastAsia="黑体"/>
          <w:sz w:val="32"/>
        </w:rPr>
        <w:t>第三部分    名词解释</w:t>
      </w:r>
    </w:p>
    <w:p w14:paraId="296A5ADF">
      <w:pPr>
        <w:spacing w:line="540" w:lineRule="exact"/>
        <w:rPr>
          <w:rFonts w:hint="default" w:ascii="黑体" w:hAnsi="黑体" w:eastAsia="黑体"/>
          <w:sz w:val="32"/>
          <w:szCs w:val="32"/>
        </w:rPr>
      </w:pPr>
      <w:r>
        <w:rPr>
          <w:rFonts w:ascii="黑体" w:hAnsi="黑体" w:eastAsia="黑体"/>
          <w:sz w:val="32"/>
          <w:szCs w:val="32"/>
        </w:rPr>
        <w:t>第四部分    2022年度决算报表</w:t>
      </w:r>
    </w:p>
    <w:p w14:paraId="3C5BCA49">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14:paraId="16E89D2A">
      <w:pPr>
        <w:spacing w:line="540" w:lineRule="exact"/>
        <w:rPr>
          <w:rFonts w:hint="default" w:ascii="仿宋_GB2312" w:eastAsia="仿宋_GB2312"/>
          <w:sz w:val="32"/>
          <w:szCs w:val="32"/>
        </w:rPr>
      </w:pPr>
      <w:r>
        <w:rPr>
          <w:rFonts w:ascii="仿宋_GB2312" w:eastAsia="仿宋_GB2312"/>
          <w:sz w:val="32"/>
          <w:szCs w:val="32"/>
        </w:rPr>
        <w:t>二、收入决算表</w:t>
      </w:r>
    </w:p>
    <w:p w14:paraId="4B489BCF">
      <w:pPr>
        <w:spacing w:line="540" w:lineRule="exact"/>
        <w:rPr>
          <w:rFonts w:hint="default" w:ascii="仿宋_GB2312" w:eastAsia="仿宋_GB2312"/>
          <w:sz w:val="32"/>
          <w:szCs w:val="32"/>
        </w:rPr>
      </w:pPr>
      <w:r>
        <w:rPr>
          <w:rFonts w:ascii="仿宋_GB2312" w:eastAsia="仿宋_GB2312"/>
          <w:sz w:val="32"/>
          <w:szCs w:val="32"/>
        </w:rPr>
        <w:t>三、支出决算表</w:t>
      </w:r>
    </w:p>
    <w:p w14:paraId="3B8FC5B0">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14:paraId="1CFA1E8F">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14:paraId="058F23DF">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14:paraId="6E0D418C">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14:paraId="149DE8D7">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14:paraId="3AD93960">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14:paraId="12666526">
      <w:pPr>
        <w:spacing w:line="540" w:lineRule="exact"/>
        <w:rPr>
          <w:rFonts w:hint="default" w:ascii="黑体" w:hAnsi="黑体" w:eastAsia="黑体"/>
          <w:b/>
          <w:sz w:val="44"/>
          <w:szCs w:val="44"/>
          <w:u w:val="single"/>
        </w:rPr>
      </w:pPr>
      <w:r>
        <w:rPr>
          <w:rFonts w:ascii="黑体" w:hAnsi="黑体" w:eastAsia="黑体"/>
          <w:sz w:val="32"/>
          <w:szCs w:val="32"/>
        </w:rPr>
        <w:t>第五部分    附件</w:t>
      </w:r>
    </w:p>
    <w:p w14:paraId="2F7CF784">
      <w:pPr>
        <w:pStyle w:val="6"/>
        <w:spacing w:line="560" w:lineRule="exact"/>
        <w:jc w:val="center"/>
        <w:rPr>
          <w:rFonts w:hint="default"/>
          <w:b/>
          <w:sz w:val="36"/>
        </w:rPr>
      </w:pPr>
    </w:p>
    <w:p w14:paraId="60CAE32E">
      <w:pPr>
        <w:pStyle w:val="6"/>
        <w:spacing w:line="560" w:lineRule="exact"/>
        <w:jc w:val="center"/>
        <w:rPr>
          <w:rFonts w:hint="default"/>
          <w:b/>
          <w:sz w:val="36"/>
        </w:rPr>
      </w:pPr>
    </w:p>
    <w:p w14:paraId="42DF574F">
      <w:pPr>
        <w:pStyle w:val="6"/>
        <w:spacing w:line="560" w:lineRule="exact"/>
        <w:jc w:val="center"/>
        <w:rPr>
          <w:rFonts w:hint="default"/>
          <w:b/>
          <w:sz w:val="36"/>
        </w:rPr>
      </w:pPr>
      <w:r>
        <w:rPr>
          <w:b/>
          <w:sz w:val="36"/>
        </w:rPr>
        <w:t>第一部分 沈阳市浑南区政务服务中心概况</w:t>
      </w:r>
    </w:p>
    <w:p w14:paraId="6C1D4400">
      <w:pPr>
        <w:pStyle w:val="6"/>
        <w:spacing w:line="560" w:lineRule="exact"/>
        <w:ind w:firstLine="640"/>
        <w:rPr>
          <w:rFonts w:hint="default" w:ascii="黑体" w:eastAsia="黑体"/>
          <w:sz w:val="32"/>
        </w:rPr>
      </w:pPr>
    </w:p>
    <w:p w14:paraId="35778BED">
      <w:pPr>
        <w:pStyle w:val="6"/>
        <w:spacing w:line="560" w:lineRule="exact"/>
        <w:ind w:firstLine="640"/>
        <w:rPr>
          <w:rFonts w:hint="default" w:ascii="黑体" w:eastAsia="黑体"/>
          <w:sz w:val="32"/>
        </w:rPr>
      </w:pPr>
      <w:r>
        <w:rPr>
          <w:rFonts w:ascii="黑体" w:eastAsia="黑体"/>
          <w:sz w:val="32"/>
        </w:rPr>
        <w:t>一、主要职责</w:t>
      </w:r>
    </w:p>
    <w:p w14:paraId="25F14845">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沈阳市浑南区政务服务中心为区政府直属事业单位，为正处级。</w:t>
      </w:r>
    </w:p>
    <w:p w14:paraId="4CED6FF1">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主要职责是:</w:t>
      </w:r>
    </w:p>
    <w:p w14:paraId="2467CCFB">
      <w:pPr>
        <w:pStyle w:val="6"/>
        <w:spacing w:line="560" w:lineRule="exact"/>
        <w:ind w:firstLine="640"/>
        <w:rPr>
          <w:rFonts w:hint="default" w:asciiTheme="minorEastAsia" w:hAnsiTheme="minorEastAsia" w:eastAsiaTheme="minorEastAsia"/>
          <w:sz w:val="32"/>
        </w:rPr>
      </w:pPr>
    </w:p>
    <w:p w14:paraId="2460253F">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(一)负责政务综合、文电、营商环境建设、公共服务、后勤保障、政务公开等工作。</w:t>
      </w:r>
    </w:p>
    <w:p w14:paraId="1C28D6DB">
      <w:pPr>
        <w:pStyle w:val="6"/>
        <w:spacing w:line="560" w:lineRule="exact"/>
        <w:ind w:firstLine="640"/>
        <w:rPr>
          <w:rFonts w:hint="default" w:asciiTheme="minorEastAsia" w:hAnsiTheme="minorEastAsia" w:eastAsiaTheme="minorEastAsia"/>
          <w:sz w:val="32"/>
        </w:rPr>
      </w:pPr>
    </w:p>
    <w:p w14:paraId="18BF4276">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(二)负责党建党务、群团外联、资产管理、绩效考评、审计、监察、财务、人事管理等工作。</w:t>
      </w:r>
    </w:p>
    <w:p w14:paraId="16ACC806">
      <w:pPr>
        <w:pStyle w:val="6"/>
        <w:spacing w:line="560" w:lineRule="exact"/>
        <w:ind w:firstLine="640"/>
        <w:rPr>
          <w:rFonts w:hint="default" w:asciiTheme="minorEastAsia" w:hAnsiTheme="minorEastAsia" w:eastAsiaTheme="minorEastAsia"/>
          <w:sz w:val="32"/>
        </w:rPr>
      </w:pPr>
    </w:p>
    <w:p w14:paraId="1FBEE314">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(三)负责对本中心的信访及投诉案件处理工作。</w:t>
      </w:r>
    </w:p>
    <w:p w14:paraId="2F18CD7F">
      <w:pPr>
        <w:pStyle w:val="6"/>
        <w:spacing w:line="560" w:lineRule="exact"/>
        <w:ind w:firstLine="640"/>
        <w:rPr>
          <w:rFonts w:hint="default" w:asciiTheme="minorEastAsia" w:hAnsiTheme="minorEastAsia" w:eastAsiaTheme="minorEastAsia"/>
          <w:sz w:val="32"/>
        </w:rPr>
      </w:pPr>
    </w:p>
    <w:p w14:paraId="1278E4B8">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四)负责各级政务服务中心政务服务标准化建设和业务指导等工作;负责各驻厅单位和服务窗口的组织、协调、考核、服务、培训等工作;负责审批制度改革，项目推进服务，互联网+政务服务平台建设工作;负责审批代办工作;负责协助、配合区监察部门、区营商环境建设监督部门对政务服务中心进驻单位开展服务行为及行政效能的监督检查工作;</w:t>
      </w:r>
      <w:r>
        <w:rPr>
          <w:rFonts w:hint="eastAsia" w:asciiTheme="minorEastAsia" w:hAnsiTheme="minorEastAsia" w:eastAsiaTheme="minorEastAsia"/>
          <w:sz w:val="32"/>
          <w:lang w:eastAsia="zh-CN"/>
        </w:rPr>
        <w:t>负责</w:t>
      </w:r>
      <w:r>
        <w:rPr>
          <w:rFonts w:asciiTheme="minorEastAsia" w:hAnsiTheme="minorEastAsia" w:eastAsiaTheme="minorEastAsia"/>
          <w:sz w:val="32"/>
        </w:rPr>
        <w:t>政务服务中心综合管理保障等工作。</w:t>
      </w:r>
    </w:p>
    <w:p w14:paraId="3E3697F1">
      <w:pPr>
        <w:pStyle w:val="6"/>
        <w:spacing w:line="560" w:lineRule="exact"/>
        <w:ind w:firstLine="640"/>
        <w:rPr>
          <w:rFonts w:hint="default" w:asciiTheme="minorEastAsia" w:hAnsiTheme="minorEastAsia" w:eastAsiaTheme="minorEastAsia"/>
          <w:sz w:val="32"/>
        </w:rPr>
      </w:pPr>
    </w:p>
    <w:p w14:paraId="0CFEFCC6">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(五)完成区委、区政府交办的其他任务。</w:t>
      </w:r>
    </w:p>
    <w:p w14:paraId="4C9E26C3">
      <w:pPr>
        <w:pStyle w:val="6"/>
        <w:spacing w:line="560" w:lineRule="exact"/>
        <w:ind w:firstLine="640"/>
        <w:rPr>
          <w:rFonts w:hint="default" w:asciiTheme="minorEastAsia" w:hAnsiTheme="minorEastAsia" w:eastAsiaTheme="minorEastAsia"/>
          <w:sz w:val="32"/>
        </w:rPr>
      </w:pPr>
    </w:p>
    <w:p w14:paraId="40150A4E">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设下列内设机构:</w:t>
      </w:r>
    </w:p>
    <w:p w14:paraId="4B4B3464">
      <w:pPr>
        <w:pStyle w:val="6"/>
        <w:spacing w:line="560" w:lineRule="exact"/>
        <w:ind w:firstLine="640"/>
        <w:rPr>
          <w:rFonts w:hint="default" w:asciiTheme="minorEastAsia" w:hAnsiTheme="minorEastAsia" w:eastAsiaTheme="minorEastAsia"/>
          <w:sz w:val="32"/>
        </w:rPr>
      </w:pPr>
    </w:p>
    <w:p w14:paraId="4415222C">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(一)综合办公室。负责中心政务综合、文电、营商环境建设、政务公开、对外宣传、中心党建党务、群团外联、资产管理、绩效考评、审计、监察、财务、人事管理等工作。</w:t>
      </w:r>
    </w:p>
    <w:p w14:paraId="0E697711">
      <w:pPr>
        <w:pStyle w:val="6"/>
        <w:spacing w:line="560" w:lineRule="exact"/>
        <w:ind w:firstLine="640"/>
        <w:rPr>
          <w:rFonts w:hint="default" w:asciiTheme="minorEastAsia" w:hAnsiTheme="minorEastAsia" w:eastAsiaTheme="minorEastAsia"/>
          <w:sz w:val="32"/>
        </w:rPr>
      </w:pPr>
    </w:p>
    <w:p w14:paraId="5E15D4B4">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(二)诉求调处部。</w:t>
      </w:r>
      <w:r>
        <w:rPr>
          <w:rFonts w:hint="eastAsia" w:asciiTheme="minorEastAsia" w:hAnsiTheme="minorEastAsia" w:eastAsiaTheme="minorEastAsia"/>
          <w:sz w:val="32"/>
          <w:lang w:eastAsia="zh-CN"/>
        </w:rPr>
        <w:t>负责</w:t>
      </w:r>
      <w:r>
        <w:rPr>
          <w:rFonts w:asciiTheme="minorEastAsia" w:hAnsiTheme="minorEastAsia" w:eastAsiaTheme="minorEastAsia"/>
          <w:sz w:val="32"/>
        </w:rPr>
        <w:t>中心的信访及投诉案件处理工作。</w:t>
      </w:r>
    </w:p>
    <w:p w14:paraId="700ADC38">
      <w:pPr>
        <w:pStyle w:val="6"/>
        <w:spacing w:line="560" w:lineRule="exact"/>
        <w:ind w:firstLine="640"/>
        <w:rPr>
          <w:rFonts w:hint="default" w:asciiTheme="minorEastAsia" w:hAnsiTheme="minorEastAsia" w:eastAsiaTheme="minorEastAsia"/>
          <w:sz w:val="32"/>
        </w:rPr>
      </w:pPr>
    </w:p>
    <w:p w14:paraId="05DF8A53">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(三)政务指导部。负责指导推进各级政务服务中心标准化建设和服务方式创新及相关业务指导和培训工作;负责审批代办等工作。</w:t>
      </w:r>
    </w:p>
    <w:p w14:paraId="067AE3D2">
      <w:pPr>
        <w:pStyle w:val="6"/>
        <w:spacing w:line="560" w:lineRule="exact"/>
        <w:ind w:firstLine="640"/>
        <w:rPr>
          <w:rFonts w:hint="default" w:asciiTheme="minorEastAsia" w:hAnsiTheme="minorEastAsia" w:eastAsiaTheme="minorEastAsia"/>
          <w:sz w:val="32"/>
        </w:rPr>
      </w:pPr>
    </w:p>
    <w:p w14:paraId="78630E1B">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四)政务信息部。负责“放管服”和行政审批制度改革的落实。负责对重点项目进行跟踪服务，推进项目涉及的审批事项快速通畅进行。组织政务服务中心进驻部门为公民、法人和其它组织提供规范、高效、优质的行政服务。负责各级“互联网+政务服务”建设;负责协助做好-一体化平台、政务</w:t>
      </w:r>
      <w:r>
        <w:rPr>
          <w:rFonts w:hint="eastAsia" w:asciiTheme="minorEastAsia" w:hAnsiTheme="minorEastAsia" w:eastAsiaTheme="minorEastAsia"/>
          <w:sz w:val="32"/>
          <w:lang w:eastAsia="zh-CN"/>
        </w:rPr>
        <w:t>服务平台</w:t>
      </w:r>
      <w:r>
        <w:rPr>
          <w:rFonts w:asciiTheme="minorEastAsia" w:hAnsiTheme="minorEastAsia" w:eastAsiaTheme="minorEastAsia"/>
          <w:sz w:val="32"/>
        </w:rPr>
        <w:t>的建设，电子政务数据资源收集、整理、汇总、分析等工作。</w:t>
      </w:r>
      <w:r>
        <w:rPr>
          <w:rFonts w:hint="eastAsia" w:asciiTheme="minorEastAsia" w:hAnsiTheme="minorEastAsia" w:eastAsiaTheme="minorEastAsia"/>
          <w:sz w:val="32"/>
          <w:lang w:eastAsia="zh-CN"/>
        </w:rPr>
        <w:t>负责</w:t>
      </w:r>
      <w:r>
        <w:rPr>
          <w:rFonts w:asciiTheme="minorEastAsia" w:hAnsiTheme="minorEastAsia" w:eastAsiaTheme="minorEastAsia"/>
          <w:sz w:val="32"/>
        </w:rPr>
        <w:t>各级平台、中心网络运行及维护保障工作。</w:t>
      </w:r>
    </w:p>
    <w:p w14:paraId="0A70D20F">
      <w:pPr>
        <w:pStyle w:val="6"/>
        <w:spacing w:line="560" w:lineRule="exact"/>
        <w:ind w:firstLine="640"/>
        <w:rPr>
          <w:rFonts w:hint="default" w:asciiTheme="minorEastAsia" w:hAnsiTheme="minorEastAsia" w:eastAsiaTheme="minorEastAsia"/>
          <w:sz w:val="32"/>
        </w:rPr>
      </w:pPr>
    </w:p>
    <w:p w14:paraId="4FA647A2">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(五)政务监督部。协助、配合区监察部门、营商建设监督部门对政务服务中心进驻部门服务行为及行政效能进行监督检查。负责各级驻厅单位和服务窗口的组织、协调、考核等工作。</w:t>
      </w:r>
    </w:p>
    <w:p w14:paraId="4AD9B96E">
      <w:pPr>
        <w:pStyle w:val="6"/>
        <w:spacing w:line="560" w:lineRule="exact"/>
        <w:ind w:firstLine="640"/>
        <w:rPr>
          <w:rFonts w:hint="default" w:asciiTheme="minorEastAsia" w:hAnsiTheme="minorEastAsia" w:eastAsiaTheme="minorEastAsia"/>
          <w:sz w:val="32"/>
        </w:rPr>
      </w:pPr>
      <w:r>
        <w:rPr>
          <w:rFonts w:asciiTheme="minorEastAsia" w:hAnsiTheme="minorEastAsia" w:eastAsiaTheme="minorEastAsia"/>
          <w:sz w:val="32"/>
        </w:rPr>
        <w:t>(六)政务保障部。</w:t>
      </w:r>
      <w:bookmarkStart w:id="0" w:name="_GoBack"/>
      <w:bookmarkEnd w:id="0"/>
      <w:r>
        <w:rPr>
          <w:rFonts w:hint="eastAsia" w:asciiTheme="minorEastAsia" w:hAnsiTheme="minorEastAsia" w:eastAsiaTheme="minorEastAsia"/>
          <w:sz w:val="32"/>
          <w:lang w:eastAsia="zh-CN"/>
        </w:rPr>
        <w:t>负责</w:t>
      </w:r>
      <w:r>
        <w:rPr>
          <w:rFonts w:asciiTheme="minorEastAsia" w:hAnsiTheme="minorEastAsia" w:eastAsiaTheme="minorEastAsia"/>
          <w:sz w:val="32"/>
        </w:rPr>
        <w:t>中心公共服务、后勤保障综合管理，协调中心内外环境建设及安全生产等工作。</w:t>
      </w:r>
    </w:p>
    <w:p w14:paraId="4855CF5E">
      <w:pPr>
        <w:pStyle w:val="6"/>
        <w:spacing w:line="560" w:lineRule="exact"/>
        <w:ind w:firstLine="640"/>
        <w:rPr>
          <w:rFonts w:hint="default" w:ascii="黑体" w:eastAsia="黑体"/>
          <w:sz w:val="32"/>
        </w:rPr>
      </w:pPr>
      <w:r>
        <w:rPr>
          <w:rFonts w:ascii="黑体" w:eastAsia="黑体"/>
          <w:sz w:val="32"/>
        </w:rPr>
        <w:t>二、决算单位构成</w:t>
      </w:r>
    </w:p>
    <w:p w14:paraId="6EECBD8B">
      <w:pPr>
        <w:pStyle w:val="6"/>
        <w:spacing w:line="560" w:lineRule="exact"/>
        <w:ind w:firstLine="640"/>
        <w:rPr>
          <w:rFonts w:hint="default" w:ascii="仿宋_GB2312" w:eastAsia="仿宋_GB2312"/>
          <w:sz w:val="32"/>
        </w:rPr>
      </w:pPr>
      <w:r>
        <w:rPr>
          <w:rFonts w:ascii="仿宋_GB2312" w:eastAsia="仿宋_GB2312"/>
          <w:sz w:val="32"/>
        </w:rPr>
        <w:t>纳入本</w:t>
      </w:r>
      <w:r>
        <w:rPr>
          <w:rFonts w:hint="eastAsia" w:ascii="仿宋_GB2312" w:eastAsia="仿宋_GB2312"/>
          <w:sz w:val="32"/>
          <w:lang w:eastAsia="zh-CN"/>
        </w:rPr>
        <w:t>部门</w:t>
      </w:r>
      <w:r>
        <w:rPr>
          <w:rFonts w:ascii="仿宋_GB2312" w:eastAsia="仿宋_GB2312"/>
          <w:sz w:val="32"/>
        </w:rPr>
        <w:t>2022年决算编制范围的是沈阳市浑南区政务服务中心本级，本</w:t>
      </w:r>
      <w:r>
        <w:rPr>
          <w:rFonts w:hint="eastAsia" w:ascii="仿宋_GB2312" w:eastAsia="仿宋_GB2312"/>
          <w:sz w:val="32"/>
          <w:lang w:eastAsia="zh-CN"/>
        </w:rPr>
        <w:t>部门</w:t>
      </w:r>
      <w:r>
        <w:rPr>
          <w:rFonts w:ascii="仿宋_GB2312" w:eastAsia="仿宋_GB2312"/>
          <w:sz w:val="32"/>
        </w:rPr>
        <w:t>无下设机构。</w:t>
      </w:r>
    </w:p>
    <w:p w14:paraId="52C839BF">
      <w:pPr>
        <w:pStyle w:val="6"/>
        <w:spacing w:line="560" w:lineRule="exact"/>
        <w:jc w:val="center"/>
        <w:rPr>
          <w:rFonts w:hint="default" w:ascii="仿宋_GB2312" w:eastAsia="仿宋_GB2312"/>
          <w:sz w:val="32"/>
        </w:rPr>
      </w:pPr>
    </w:p>
    <w:p w14:paraId="3D15E9DD">
      <w:pPr>
        <w:pStyle w:val="6"/>
        <w:spacing w:line="560" w:lineRule="exact"/>
        <w:jc w:val="center"/>
        <w:rPr>
          <w:rFonts w:hint="default"/>
          <w:b/>
          <w:sz w:val="36"/>
        </w:rPr>
      </w:pPr>
      <w:r>
        <w:rPr>
          <w:b/>
          <w:sz w:val="36"/>
        </w:rPr>
        <w:t>第二部分沈阳市浑南区政务服务中心</w:t>
      </w:r>
    </w:p>
    <w:p w14:paraId="733A8326">
      <w:pPr>
        <w:pStyle w:val="6"/>
        <w:spacing w:line="560" w:lineRule="exact"/>
        <w:jc w:val="center"/>
        <w:rPr>
          <w:rFonts w:hint="default"/>
          <w:b/>
          <w:sz w:val="36"/>
        </w:rPr>
      </w:pPr>
      <w:r>
        <w:rPr>
          <w:b/>
          <w:sz w:val="36"/>
        </w:rPr>
        <w:t>2022年决算情况说明</w:t>
      </w:r>
    </w:p>
    <w:p w14:paraId="180008D8">
      <w:pPr>
        <w:pStyle w:val="6"/>
        <w:spacing w:line="560" w:lineRule="exact"/>
        <w:ind w:firstLine="640" w:firstLineChars="200"/>
        <w:rPr>
          <w:rFonts w:hint="default" w:ascii="黑体" w:eastAsia="黑体"/>
          <w:sz w:val="32"/>
        </w:rPr>
      </w:pPr>
    </w:p>
    <w:p w14:paraId="5CEA0FA7">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14:paraId="2ED325D0">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2498.74</w:t>
      </w:r>
      <w:r>
        <w:rPr>
          <w:rFonts w:ascii="楷体_GB2312" w:eastAsia="楷体_GB2312"/>
          <w:b/>
          <w:sz w:val="32"/>
        </w:rPr>
        <w:t>万元</w:t>
      </w:r>
      <w:r>
        <w:rPr>
          <w:rFonts w:hint="eastAsia" w:ascii="楷体_GB2312" w:eastAsia="楷体_GB2312"/>
          <w:b/>
          <w:sz w:val="32"/>
          <w:lang w:eastAsia="zh-CN"/>
        </w:rPr>
        <w:t>，</w:t>
      </w:r>
      <w:r>
        <w:rPr>
          <w:rFonts w:ascii="楷体_GB2312" w:eastAsia="楷体_GB2312"/>
          <w:b/>
          <w:sz w:val="32"/>
        </w:rPr>
        <w:t>包括：</w:t>
      </w:r>
    </w:p>
    <w:p w14:paraId="3DAFD558">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default" w:ascii="仿宋_GB2312" w:eastAsia="仿宋_GB2312"/>
          <w:sz w:val="32"/>
        </w:rPr>
        <w:t>1394.3</w:t>
      </w:r>
      <w:r>
        <w:rPr>
          <w:rFonts w:ascii="仿宋_GB2312" w:eastAsia="仿宋_GB2312"/>
          <w:sz w:val="32"/>
        </w:rPr>
        <w:t>万元，占收入总计的</w:t>
      </w:r>
      <w:r>
        <w:rPr>
          <w:rFonts w:hint="default" w:ascii="仿宋_GB2312" w:eastAsia="仿宋_GB2312"/>
          <w:sz w:val="32"/>
        </w:rPr>
        <w:t>55.8%</w:t>
      </w:r>
      <w:r>
        <w:rPr>
          <w:rFonts w:ascii="仿宋_GB2312" w:eastAsia="仿宋_GB2312"/>
          <w:sz w:val="32"/>
        </w:rPr>
        <w:t>，其中：一般公共预算财政拨款收入</w:t>
      </w:r>
      <w:r>
        <w:rPr>
          <w:rFonts w:hint="default" w:ascii="仿宋_GB2312" w:eastAsia="仿宋_GB2312"/>
          <w:sz w:val="32"/>
        </w:rPr>
        <w:t>1394.3</w:t>
      </w:r>
      <w:r>
        <w:rPr>
          <w:rFonts w:ascii="仿宋_GB2312" w:eastAsia="仿宋_GB2312"/>
          <w:sz w:val="32"/>
        </w:rPr>
        <w:t>万元，。</w:t>
      </w:r>
    </w:p>
    <w:p w14:paraId="158F073F">
      <w:pPr>
        <w:pStyle w:val="6"/>
        <w:spacing w:line="560" w:lineRule="exact"/>
        <w:ind w:firstLine="660"/>
        <w:rPr>
          <w:rFonts w:hint="default" w:ascii="仿宋_GB2312" w:eastAsia="仿宋_GB2312"/>
          <w:sz w:val="32"/>
        </w:rPr>
      </w:pPr>
      <w:r>
        <w:rPr>
          <w:rFonts w:hint="default" w:ascii="仿宋_GB2312" w:eastAsia="仿宋_GB2312"/>
          <w:sz w:val="32"/>
        </w:rPr>
        <w:t>2</w:t>
      </w:r>
      <w:r>
        <w:rPr>
          <w:rFonts w:ascii="仿宋_GB2312" w:eastAsia="仿宋_GB2312"/>
          <w:sz w:val="32"/>
        </w:rPr>
        <w:t>.上年结转和结余</w:t>
      </w:r>
      <w:r>
        <w:rPr>
          <w:rFonts w:hint="default" w:ascii="仿宋_GB2312" w:eastAsia="仿宋_GB2312"/>
          <w:sz w:val="32"/>
        </w:rPr>
        <w:t>1104.44</w:t>
      </w:r>
      <w:r>
        <w:rPr>
          <w:rFonts w:ascii="仿宋_GB2312" w:eastAsia="仿宋_GB2312"/>
          <w:sz w:val="32"/>
        </w:rPr>
        <w:t>万元，占收入总计的</w:t>
      </w:r>
      <w:r>
        <w:rPr>
          <w:rFonts w:hint="default" w:ascii="仿宋_GB2312" w:eastAsia="仿宋_GB2312"/>
          <w:sz w:val="32"/>
        </w:rPr>
        <w:t>44.2</w:t>
      </w:r>
      <w:r>
        <w:rPr>
          <w:rFonts w:ascii="仿宋_GB2312" w:eastAsia="仿宋_GB2312"/>
          <w:sz w:val="32"/>
        </w:rPr>
        <w:t>%。主要是事业单位机构改革大中心账务合并等。</w:t>
      </w:r>
    </w:p>
    <w:p w14:paraId="5D4CA2B4">
      <w:pPr>
        <w:pStyle w:val="6"/>
        <w:spacing w:line="560" w:lineRule="exact"/>
        <w:ind w:firstLine="660"/>
        <w:rPr>
          <w:rFonts w:hint="default" w:ascii="仿宋_GB2312" w:eastAsia="仿宋_GB2312"/>
          <w:sz w:val="32"/>
        </w:rPr>
      </w:pPr>
      <w:r>
        <w:rPr>
          <w:rFonts w:ascii="仿宋_GB2312" w:eastAsia="仿宋_GB2312"/>
          <w:sz w:val="32"/>
        </w:rPr>
        <w:t>与上年相比，今年收入增加2</w:t>
      </w:r>
      <w:r>
        <w:rPr>
          <w:rFonts w:hint="default" w:ascii="仿宋_GB2312" w:eastAsia="仿宋_GB2312"/>
          <w:sz w:val="32"/>
        </w:rPr>
        <w:t>.2</w:t>
      </w:r>
      <w:r>
        <w:rPr>
          <w:rFonts w:ascii="仿宋_GB2312" w:eastAsia="仿宋_GB2312"/>
          <w:sz w:val="32"/>
        </w:rPr>
        <w:t>万元，增长0</w:t>
      </w:r>
      <w:r>
        <w:rPr>
          <w:rFonts w:hint="default" w:ascii="仿宋_GB2312" w:eastAsia="仿宋_GB2312"/>
          <w:sz w:val="32"/>
        </w:rPr>
        <w:t>.16</w:t>
      </w:r>
      <w:r>
        <w:rPr>
          <w:rFonts w:ascii="仿宋_GB2312" w:eastAsia="仿宋_GB2312"/>
          <w:sz w:val="32"/>
        </w:rPr>
        <w:t>%，与上年基本持平。</w:t>
      </w:r>
    </w:p>
    <w:p w14:paraId="7556FCB2">
      <w:pPr>
        <w:pStyle w:val="6"/>
        <w:spacing w:line="560" w:lineRule="exact"/>
        <w:ind w:firstLine="660"/>
        <w:rPr>
          <w:rFonts w:hint="default" w:ascii="黑体" w:hAnsi="黑体" w:eastAsia="黑体" w:cs="黑体"/>
          <w:b/>
          <w:color w:val="FF0000"/>
          <w:sz w:val="32"/>
          <w:szCs w:val="32"/>
        </w:rPr>
      </w:pPr>
      <w:r>
        <w:rPr>
          <w:rFonts w:ascii="楷体_GB2312" w:eastAsia="楷体_GB2312"/>
          <w:b/>
          <w:sz w:val="32"/>
        </w:rPr>
        <w:t>（二）支出总计</w:t>
      </w:r>
      <w:r>
        <w:rPr>
          <w:rFonts w:hint="default" w:ascii="楷体_GB2312" w:eastAsia="楷体_GB2312"/>
          <w:b/>
          <w:sz w:val="32"/>
        </w:rPr>
        <w:t>1394.32</w:t>
      </w:r>
      <w:r>
        <w:rPr>
          <w:rFonts w:ascii="楷体_GB2312" w:eastAsia="楷体_GB2312"/>
          <w:b/>
          <w:sz w:val="32"/>
        </w:rPr>
        <w:t>万元，包括：</w:t>
      </w:r>
    </w:p>
    <w:p w14:paraId="2EE2F473">
      <w:pPr>
        <w:pStyle w:val="6"/>
        <w:spacing w:line="560" w:lineRule="exact"/>
        <w:ind w:firstLine="660"/>
        <w:rPr>
          <w:rFonts w:hint="default" w:ascii="仿宋_GB2312" w:eastAsia="仿宋_GB2312"/>
          <w:sz w:val="32"/>
        </w:rPr>
      </w:pPr>
      <w:r>
        <w:rPr>
          <w:rFonts w:ascii="仿宋_GB2312" w:eastAsia="仿宋_GB2312"/>
          <w:sz w:val="32"/>
        </w:rPr>
        <w:t xml:space="preserve"> 1.基本支出</w:t>
      </w:r>
      <w:r>
        <w:rPr>
          <w:rFonts w:hint="default" w:ascii="仿宋_GB2312" w:eastAsia="仿宋_GB2312"/>
          <w:sz w:val="32"/>
        </w:rPr>
        <w:t>1248.93</w:t>
      </w:r>
      <w:r>
        <w:rPr>
          <w:rFonts w:ascii="仿宋_GB2312" w:eastAsia="仿宋_GB2312"/>
          <w:sz w:val="32"/>
        </w:rPr>
        <w:t>万元，占支出总计的</w:t>
      </w:r>
      <w:r>
        <w:rPr>
          <w:rFonts w:hint="default" w:ascii="仿宋_GB2312" w:eastAsia="仿宋_GB2312"/>
          <w:sz w:val="32"/>
        </w:rPr>
        <w:t>89.6</w:t>
      </w:r>
      <w:r>
        <w:rPr>
          <w:rFonts w:ascii="仿宋_GB2312" w:eastAsia="仿宋_GB2312"/>
          <w:sz w:val="32"/>
        </w:rPr>
        <w:t>%。主要是为保障机构正常运转、完成日常工作任务而发生的各项支出，其中：工资福利支出</w:t>
      </w:r>
      <w:r>
        <w:rPr>
          <w:rFonts w:hint="default" w:ascii="仿宋_GB2312" w:eastAsia="仿宋_GB2312"/>
          <w:sz w:val="32"/>
        </w:rPr>
        <w:t>1181.65</w:t>
      </w:r>
      <w:r>
        <w:rPr>
          <w:rFonts w:ascii="仿宋_GB2312" w:eastAsia="仿宋_GB2312"/>
          <w:sz w:val="32"/>
        </w:rPr>
        <w:t>万元，对个人和家庭的补助支出</w:t>
      </w:r>
      <w:r>
        <w:rPr>
          <w:rFonts w:hint="default" w:ascii="仿宋_GB2312" w:eastAsia="仿宋_GB2312"/>
          <w:sz w:val="32"/>
        </w:rPr>
        <w:t>6.43</w:t>
      </w:r>
      <w:r>
        <w:rPr>
          <w:rFonts w:ascii="仿宋_GB2312" w:eastAsia="仿宋_GB2312"/>
          <w:sz w:val="32"/>
        </w:rPr>
        <w:t>万元，商品和服务支出</w:t>
      </w:r>
      <w:r>
        <w:rPr>
          <w:rFonts w:hint="default" w:ascii="仿宋_GB2312" w:eastAsia="仿宋_GB2312"/>
          <w:sz w:val="32"/>
        </w:rPr>
        <w:t>60.85</w:t>
      </w:r>
      <w:r>
        <w:rPr>
          <w:rFonts w:ascii="仿宋_GB2312" w:eastAsia="仿宋_GB2312"/>
          <w:sz w:val="32"/>
        </w:rPr>
        <w:t>万元。</w:t>
      </w:r>
    </w:p>
    <w:p w14:paraId="3AFF12D2">
      <w:pPr>
        <w:pStyle w:val="6"/>
        <w:spacing w:line="560" w:lineRule="exact"/>
        <w:ind w:firstLine="660"/>
        <w:rPr>
          <w:rFonts w:hint="default" w:ascii="仿宋_GB2312" w:eastAsia="仿宋_GB2312"/>
          <w:sz w:val="32"/>
        </w:rPr>
      </w:pPr>
      <w:r>
        <w:rPr>
          <w:rFonts w:ascii="仿宋_GB2312" w:eastAsia="仿宋_GB2312"/>
          <w:sz w:val="32"/>
        </w:rPr>
        <w:t>2.项目支出1</w:t>
      </w:r>
      <w:r>
        <w:rPr>
          <w:rFonts w:hint="default" w:ascii="仿宋_GB2312" w:eastAsia="仿宋_GB2312"/>
          <w:sz w:val="32"/>
        </w:rPr>
        <w:t>45.4</w:t>
      </w:r>
      <w:r>
        <w:rPr>
          <w:rFonts w:ascii="仿宋_GB2312" w:eastAsia="仿宋_GB2312"/>
          <w:sz w:val="32"/>
        </w:rPr>
        <w:t>万元，占支出总计的</w:t>
      </w:r>
      <w:r>
        <w:rPr>
          <w:rFonts w:hint="default" w:ascii="仿宋_GB2312" w:eastAsia="仿宋_GB2312"/>
          <w:sz w:val="32"/>
        </w:rPr>
        <w:t>10.43</w:t>
      </w:r>
      <w:r>
        <w:rPr>
          <w:rFonts w:ascii="仿宋_GB2312" w:eastAsia="仿宋_GB2312"/>
          <w:sz w:val="32"/>
        </w:rPr>
        <w:t>%。主要包括政务公开审批、派遣人员工资等业务支出。</w:t>
      </w:r>
    </w:p>
    <w:p w14:paraId="22B7402F">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与上年相比，今年支出增加3</w:t>
      </w:r>
      <w:r>
        <w:rPr>
          <w:rFonts w:hint="default" w:ascii="仿宋_GB2312" w:eastAsia="仿宋_GB2312"/>
          <w:sz w:val="32"/>
        </w:rPr>
        <w:t>15.86</w:t>
      </w:r>
      <w:r>
        <w:rPr>
          <w:rFonts w:ascii="仿宋_GB2312" w:eastAsia="仿宋_GB2312"/>
          <w:sz w:val="32"/>
        </w:rPr>
        <w:t>万元，增长2</w:t>
      </w:r>
      <w:r>
        <w:rPr>
          <w:rFonts w:hint="default" w:ascii="仿宋_GB2312" w:eastAsia="仿宋_GB2312"/>
          <w:sz w:val="32"/>
        </w:rPr>
        <w:t>9.29</w:t>
      </w:r>
      <w:r>
        <w:rPr>
          <w:rFonts w:ascii="仿宋_GB2312" w:eastAsia="仿宋_GB2312"/>
          <w:sz w:val="32"/>
        </w:rPr>
        <w:t>%，主要原因：事业单位机构改革，人员基本支出增加。</w:t>
      </w:r>
    </w:p>
    <w:p w14:paraId="05F193A0">
      <w:pPr>
        <w:pStyle w:val="6"/>
        <w:spacing w:line="560" w:lineRule="exact"/>
        <w:ind w:firstLine="660"/>
        <w:rPr>
          <w:rFonts w:hint="default" w:ascii="楷体_GB2312" w:eastAsia="楷体_GB2312"/>
          <w:b/>
          <w:sz w:val="32"/>
        </w:rPr>
      </w:pPr>
      <w:r>
        <w:rPr>
          <w:rFonts w:ascii="楷体_GB2312" w:eastAsia="楷体_GB2312"/>
          <w:b/>
          <w:sz w:val="32"/>
        </w:rPr>
        <w:t>（三）年末结转和结余1</w:t>
      </w:r>
      <w:r>
        <w:rPr>
          <w:rFonts w:hint="default" w:ascii="楷体_GB2312" w:eastAsia="楷体_GB2312"/>
          <w:b/>
          <w:sz w:val="32"/>
        </w:rPr>
        <w:t>104.42</w:t>
      </w:r>
      <w:r>
        <w:rPr>
          <w:rFonts w:ascii="楷体_GB2312" w:eastAsia="楷体_GB2312"/>
          <w:b/>
          <w:sz w:val="32"/>
        </w:rPr>
        <w:t>万元</w:t>
      </w:r>
    </w:p>
    <w:p w14:paraId="2A43CC0A">
      <w:pPr>
        <w:pStyle w:val="6"/>
        <w:spacing w:line="560" w:lineRule="exact"/>
        <w:ind w:firstLine="660"/>
        <w:rPr>
          <w:rFonts w:hint="default" w:ascii="仿宋_GB2312" w:eastAsia="仿宋_GB2312"/>
          <w:sz w:val="32"/>
        </w:rPr>
      </w:pPr>
      <w:r>
        <w:rPr>
          <w:rFonts w:ascii="仿宋_GB2312" w:eastAsia="仿宋_GB2312"/>
          <w:sz w:val="32"/>
        </w:rPr>
        <w:t>主要是历史原因形成的结余。与上年相比，今年结转结余基本持平。</w:t>
      </w:r>
    </w:p>
    <w:p w14:paraId="2F2681CF">
      <w:pPr>
        <w:pStyle w:val="6"/>
        <w:spacing w:line="560" w:lineRule="exact"/>
        <w:ind w:firstLine="660"/>
        <w:rPr>
          <w:rFonts w:hint="default" w:ascii="黑体" w:eastAsia="黑体"/>
          <w:sz w:val="32"/>
        </w:rPr>
      </w:pPr>
      <w:r>
        <w:rPr>
          <w:rFonts w:ascii="黑体" w:eastAsia="黑体"/>
          <w:sz w:val="32"/>
        </w:rPr>
        <w:t>二、财政拨款收入支出决算情况说明</w:t>
      </w:r>
    </w:p>
    <w:p w14:paraId="388243B4">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08364EB0">
      <w:pPr>
        <w:pStyle w:val="6"/>
        <w:spacing w:line="560" w:lineRule="exact"/>
        <w:ind w:firstLine="660"/>
        <w:rPr>
          <w:rFonts w:hint="default" w:ascii="仿宋_GB2312" w:eastAsia="仿宋_GB2312"/>
          <w:sz w:val="32"/>
        </w:rPr>
      </w:pPr>
      <w:r>
        <w:rPr>
          <w:rFonts w:ascii="仿宋_GB2312" w:eastAsia="仿宋_GB2312"/>
          <w:sz w:val="32"/>
        </w:rPr>
        <w:t>2022年度财政拨款支出</w:t>
      </w:r>
      <w:r>
        <w:rPr>
          <w:rFonts w:hint="default" w:ascii="仿宋_GB2312" w:eastAsia="仿宋_GB2312"/>
          <w:sz w:val="32"/>
        </w:rPr>
        <w:t>1394.3</w:t>
      </w:r>
      <w:r>
        <w:rPr>
          <w:rFonts w:ascii="仿宋_GB2312" w:eastAsia="仿宋_GB2312"/>
          <w:sz w:val="32"/>
        </w:rPr>
        <w:t>万元，其中：基本支出</w:t>
      </w:r>
      <w:r>
        <w:rPr>
          <w:rFonts w:hint="default" w:ascii="仿宋_GB2312" w:eastAsia="仿宋_GB2312"/>
          <w:sz w:val="32"/>
        </w:rPr>
        <w:t>1248.91</w:t>
      </w:r>
      <w:r>
        <w:rPr>
          <w:rFonts w:ascii="仿宋_GB2312" w:eastAsia="仿宋_GB2312"/>
          <w:sz w:val="32"/>
        </w:rPr>
        <w:t>万元，项目支出</w:t>
      </w:r>
      <w:r>
        <w:rPr>
          <w:rFonts w:hint="default" w:ascii="仿宋_GB2312" w:eastAsia="仿宋_GB2312"/>
          <w:sz w:val="32"/>
        </w:rPr>
        <w:t>145.4</w:t>
      </w:r>
      <w:r>
        <w:rPr>
          <w:rFonts w:ascii="仿宋_GB2312" w:eastAsia="仿宋_GB2312"/>
          <w:sz w:val="32"/>
        </w:rPr>
        <w:t>万元。与上年相比，财政拨款支出增加5</w:t>
      </w:r>
      <w:r>
        <w:rPr>
          <w:rFonts w:hint="default" w:ascii="仿宋_GB2312" w:eastAsia="仿宋_GB2312"/>
          <w:sz w:val="32"/>
        </w:rPr>
        <w:t>60.2</w:t>
      </w:r>
      <w:r>
        <w:rPr>
          <w:rFonts w:ascii="仿宋_GB2312" w:eastAsia="仿宋_GB2312"/>
          <w:sz w:val="32"/>
        </w:rPr>
        <w:t>万元，增长6</w:t>
      </w:r>
      <w:r>
        <w:rPr>
          <w:rFonts w:hint="default" w:ascii="仿宋_GB2312" w:eastAsia="仿宋_GB2312"/>
          <w:sz w:val="32"/>
        </w:rPr>
        <w:t>7.16</w:t>
      </w:r>
      <w:r>
        <w:rPr>
          <w:rFonts w:ascii="仿宋_GB2312" w:eastAsia="仿宋_GB2312"/>
          <w:sz w:val="32"/>
        </w:rPr>
        <w:t>%，主要原因：事业单位机构改革，人员调整导致事业运行经费增加。与年初预算相比，2022年度财政拨款支出完成年初预算的</w:t>
      </w:r>
      <w:r>
        <w:rPr>
          <w:rFonts w:hint="default" w:ascii="仿宋_GB2312" w:eastAsia="仿宋_GB2312"/>
          <w:sz w:val="32"/>
        </w:rPr>
        <w:t>93.19</w:t>
      </w:r>
      <w:r>
        <w:rPr>
          <w:rFonts w:ascii="仿宋_GB2312" w:eastAsia="仿宋_GB2312"/>
          <w:sz w:val="32"/>
        </w:rPr>
        <w:t>%，其中：基本支出完成年初预算的</w:t>
      </w:r>
      <w:r>
        <w:rPr>
          <w:rFonts w:hint="default" w:ascii="仿宋_GB2312" w:eastAsia="仿宋_GB2312"/>
          <w:sz w:val="32"/>
        </w:rPr>
        <w:t>88.41</w:t>
      </w:r>
      <w:r>
        <w:rPr>
          <w:rFonts w:ascii="仿宋_GB2312" w:eastAsia="仿宋_GB2312"/>
          <w:sz w:val="32"/>
        </w:rPr>
        <w:t>%，项目支出完成年初预算的</w:t>
      </w:r>
      <w:r>
        <w:rPr>
          <w:rFonts w:hint="default" w:ascii="仿宋_GB2312" w:eastAsia="仿宋_GB2312"/>
          <w:sz w:val="32"/>
        </w:rPr>
        <w:t>100</w:t>
      </w:r>
      <w:r>
        <w:rPr>
          <w:rFonts w:ascii="仿宋_GB2312" w:eastAsia="仿宋_GB2312"/>
          <w:sz w:val="32"/>
        </w:rPr>
        <w:t>%，6</w:t>
      </w:r>
      <w:r>
        <w:rPr>
          <w:rFonts w:hint="default" w:ascii="仿宋_GB2312" w:eastAsia="仿宋_GB2312"/>
          <w:sz w:val="32"/>
        </w:rPr>
        <w:t>2.79</w:t>
      </w:r>
      <w:r>
        <w:rPr>
          <w:rFonts w:ascii="仿宋_GB2312" w:eastAsia="仿宋_GB2312"/>
          <w:sz w:val="32"/>
        </w:rPr>
        <w:t>万元未安排年初预算。</w:t>
      </w:r>
    </w:p>
    <w:p w14:paraId="3B9B1798">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14:paraId="7886962A">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w:t>
      </w:r>
      <w:r>
        <w:rPr>
          <w:rFonts w:hint="default" w:ascii="仿宋_GB2312" w:hAnsi="宋体" w:eastAsia="仿宋_GB2312"/>
          <w:sz w:val="32"/>
          <w:szCs w:val="32"/>
        </w:rPr>
        <w:t>1394.3</w:t>
      </w:r>
      <w:r>
        <w:rPr>
          <w:rFonts w:ascii="仿宋_GB2312" w:hAnsi="宋体" w:eastAsia="仿宋_GB2312"/>
          <w:sz w:val="32"/>
          <w:szCs w:val="32"/>
        </w:rPr>
        <w:t>万元，按支出功能分类科目分，包括：一般公共服务支出</w:t>
      </w:r>
      <w:r>
        <w:rPr>
          <w:rFonts w:hint="default" w:ascii="仿宋_GB2312" w:hAnsi="宋体" w:eastAsia="仿宋_GB2312"/>
          <w:sz w:val="32"/>
          <w:szCs w:val="32"/>
        </w:rPr>
        <w:t>1113.37</w:t>
      </w:r>
      <w:r>
        <w:rPr>
          <w:rFonts w:ascii="仿宋_GB2312" w:hAnsi="宋体" w:eastAsia="仿宋_GB2312"/>
          <w:sz w:val="32"/>
          <w:szCs w:val="32"/>
        </w:rPr>
        <w:t>万元，占</w:t>
      </w:r>
      <w:r>
        <w:rPr>
          <w:rFonts w:hint="default" w:ascii="仿宋_GB2312" w:hAnsi="宋体" w:eastAsia="仿宋_GB2312"/>
          <w:sz w:val="32"/>
          <w:szCs w:val="32"/>
        </w:rPr>
        <w:t>79.86</w:t>
      </w:r>
      <w:r>
        <w:rPr>
          <w:rFonts w:ascii="仿宋_GB2312" w:hAnsi="宋体" w:eastAsia="仿宋_GB2312"/>
          <w:sz w:val="32"/>
          <w:szCs w:val="32"/>
        </w:rPr>
        <w:t>%。</w:t>
      </w:r>
    </w:p>
    <w:p w14:paraId="7486ABA5">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default" w:ascii="仿宋_GB2312" w:hAnsi="宋体" w:eastAsia="仿宋_GB2312"/>
          <w:sz w:val="32"/>
          <w:szCs w:val="32"/>
        </w:rPr>
        <w:t>1113.37</w:t>
      </w:r>
      <w:r>
        <w:rPr>
          <w:rFonts w:ascii="仿宋_GB2312" w:hAnsi="宋体" w:eastAsia="仿宋_GB2312"/>
          <w:sz w:val="32"/>
          <w:szCs w:val="32"/>
        </w:rPr>
        <w:t>万元，具体包括：</w:t>
      </w:r>
    </w:p>
    <w:p w14:paraId="2DEF7D1B">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（1）一般公共服务支出（类）财政事务（款）事业运行（项）</w:t>
      </w:r>
      <w:r>
        <w:rPr>
          <w:rFonts w:hint="default" w:ascii="仿宋_GB2312" w:hAnsi="宋体" w:eastAsia="仿宋_GB2312"/>
          <w:sz w:val="32"/>
          <w:szCs w:val="32"/>
        </w:rPr>
        <w:t>968</w:t>
      </w:r>
      <w:r>
        <w:rPr>
          <w:rFonts w:ascii="仿宋_GB2312" w:hAnsi="宋体" w:eastAsia="仿宋_GB2312"/>
          <w:sz w:val="32"/>
          <w:szCs w:val="32"/>
        </w:rPr>
        <w:t>万元，主要是人员基本支出等支出，完成年初预算的1</w:t>
      </w:r>
      <w:r>
        <w:rPr>
          <w:rFonts w:hint="default" w:ascii="仿宋_GB2312" w:hAnsi="宋体" w:eastAsia="仿宋_GB2312"/>
          <w:sz w:val="32"/>
          <w:szCs w:val="32"/>
        </w:rPr>
        <w:t>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14:paraId="15175370">
      <w:pPr>
        <w:spacing w:line="560" w:lineRule="exact"/>
        <w:ind w:firstLine="660"/>
        <w:rPr>
          <w:rFonts w:hint="default" w:ascii="仿宋_GB2312" w:hAnsi="宋体" w:eastAsia="仿宋_GB2312"/>
          <w:sz w:val="32"/>
          <w:szCs w:val="32"/>
        </w:rPr>
      </w:pPr>
      <w:r>
        <w:rPr>
          <w:rFonts w:ascii="仿宋_GB2312" w:hAnsi="宋体" w:eastAsia="仿宋_GB2312"/>
          <w:sz w:val="32"/>
          <w:szCs w:val="32"/>
        </w:rPr>
        <w:t>（2）项目支出1</w:t>
      </w:r>
      <w:r>
        <w:rPr>
          <w:rFonts w:hint="default" w:ascii="仿宋_GB2312" w:hAnsi="宋体" w:eastAsia="仿宋_GB2312"/>
          <w:sz w:val="32"/>
          <w:szCs w:val="32"/>
        </w:rPr>
        <w:t>45.37</w:t>
      </w:r>
      <w:r>
        <w:rPr>
          <w:rFonts w:ascii="仿宋_GB2312" w:hAnsi="宋体" w:eastAsia="仿宋_GB2312"/>
          <w:sz w:val="32"/>
          <w:szCs w:val="32"/>
        </w:rPr>
        <w:t>万元，主要是派遣人员工资及政务公开支出，完成年初预算的1</w:t>
      </w:r>
      <w:r>
        <w:rPr>
          <w:rFonts w:hint="default" w:ascii="仿宋_GB2312" w:hAnsi="宋体" w:eastAsia="仿宋_GB2312"/>
          <w:sz w:val="32"/>
          <w:szCs w:val="32"/>
        </w:rPr>
        <w:t>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14:paraId="47E04996">
      <w:pPr>
        <w:spacing w:line="560" w:lineRule="exact"/>
        <w:ind w:firstLine="660"/>
        <w:rPr>
          <w:rFonts w:hint="default" w:ascii="仿宋_GB2312" w:hAnsi="宋体" w:eastAsia="仿宋_GB2312"/>
          <w:sz w:val="32"/>
          <w:szCs w:val="32"/>
        </w:rPr>
      </w:pPr>
      <w:r>
        <w:rPr>
          <w:rFonts w:ascii="仿宋_GB2312" w:hAnsi="宋体" w:eastAsia="仿宋_GB2312"/>
          <w:sz w:val="32"/>
          <w:szCs w:val="32"/>
        </w:rPr>
        <w:t>2.社会保障就业支出1</w:t>
      </w:r>
      <w:r>
        <w:rPr>
          <w:rFonts w:hint="default" w:ascii="仿宋_GB2312" w:hAnsi="宋体" w:eastAsia="仿宋_GB2312"/>
          <w:sz w:val="32"/>
          <w:szCs w:val="32"/>
        </w:rPr>
        <w:t>16.6</w:t>
      </w:r>
      <w:r>
        <w:rPr>
          <w:rFonts w:ascii="仿宋_GB2312" w:hAnsi="宋体" w:eastAsia="仿宋_GB2312"/>
          <w:sz w:val="32"/>
          <w:szCs w:val="32"/>
        </w:rPr>
        <w:t>万元，主要是人员基本保障支出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p>
    <w:p w14:paraId="0CF4DC77">
      <w:pPr>
        <w:spacing w:line="560" w:lineRule="exact"/>
        <w:ind w:firstLine="660"/>
        <w:rPr>
          <w:rFonts w:hint="default" w:ascii="仿宋_GB2312" w:hAnsi="宋体" w:eastAsia="仿宋_GB2312"/>
          <w:sz w:val="32"/>
          <w:szCs w:val="32"/>
        </w:rPr>
      </w:pPr>
      <w:r>
        <w:rPr>
          <w:rFonts w:ascii="仿宋_GB2312" w:hAnsi="宋体" w:eastAsia="仿宋_GB2312"/>
          <w:sz w:val="32"/>
          <w:szCs w:val="32"/>
        </w:rPr>
        <w:t>3</w:t>
      </w:r>
      <w:r>
        <w:rPr>
          <w:rFonts w:hint="default" w:ascii="仿宋_GB2312" w:hAnsi="宋体" w:eastAsia="仿宋_GB2312"/>
          <w:sz w:val="32"/>
          <w:szCs w:val="32"/>
        </w:rPr>
        <w:t>.</w:t>
      </w:r>
      <w:r>
        <w:rPr>
          <w:rFonts w:ascii="仿宋_GB2312" w:hAnsi="宋体" w:eastAsia="仿宋_GB2312"/>
          <w:sz w:val="32"/>
          <w:szCs w:val="32"/>
        </w:rPr>
        <w:t>卫生健康支出3</w:t>
      </w:r>
      <w:r>
        <w:rPr>
          <w:rFonts w:hint="default" w:ascii="仿宋_GB2312" w:hAnsi="宋体" w:eastAsia="仿宋_GB2312"/>
          <w:sz w:val="32"/>
          <w:szCs w:val="32"/>
        </w:rPr>
        <w:t>9.09</w:t>
      </w:r>
      <w:r>
        <w:rPr>
          <w:rFonts w:ascii="仿宋_GB2312" w:hAnsi="宋体" w:eastAsia="仿宋_GB2312"/>
          <w:sz w:val="32"/>
          <w:szCs w:val="32"/>
        </w:rPr>
        <w:t>万元，主要是医疗保险及医疗补助支出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p>
    <w:p w14:paraId="022F97CA">
      <w:pPr>
        <w:spacing w:line="560" w:lineRule="exact"/>
        <w:ind w:firstLine="660"/>
        <w:rPr>
          <w:rFonts w:hint="default" w:ascii="仿宋_GB2312" w:hAnsi="宋体" w:eastAsia="仿宋_GB2312"/>
          <w:sz w:val="32"/>
          <w:szCs w:val="32"/>
        </w:rPr>
      </w:pPr>
      <w:r>
        <w:rPr>
          <w:rFonts w:ascii="仿宋_GB2312" w:hAnsi="宋体" w:eastAsia="仿宋_GB2312"/>
          <w:sz w:val="32"/>
          <w:szCs w:val="32"/>
        </w:rPr>
        <w:t>4</w:t>
      </w:r>
      <w:r>
        <w:rPr>
          <w:rFonts w:hint="default" w:ascii="仿宋_GB2312" w:hAnsi="宋体" w:eastAsia="仿宋_GB2312"/>
          <w:sz w:val="32"/>
          <w:szCs w:val="32"/>
        </w:rPr>
        <w:t>.</w:t>
      </w:r>
      <w:r>
        <w:rPr>
          <w:rFonts w:ascii="仿宋_GB2312" w:hAnsi="宋体" w:eastAsia="仿宋_GB2312"/>
          <w:sz w:val="32"/>
          <w:szCs w:val="32"/>
        </w:rPr>
        <w:t>住房保障支出1</w:t>
      </w:r>
      <w:r>
        <w:rPr>
          <w:rFonts w:hint="default" w:ascii="仿宋_GB2312" w:hAnsi="宋体" w:eastAsia="仿宋_GB2312"/>
          <w:sz w:val="32"/>
          <w:szCs w:val="32"/>
        </w:rPr>
        <w:t>25.24</w:t>
      </w:r>
      <w:r>
        <w:rPr>
          <w:rFonts w:ascii="仿宋_GB2312" w:hAnsi="宋体" w:eastAsia="仿宋_GB2312"/>
          <w:sz w:val="32"/>
          <w:szCs w:val="32"/>
        </w:rPr>
        <w:t>万元，主要是住房公积金支出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ascii="仿宋_GB2312" w:hAnsi="宋体" w:eastAsia="仿宋_GB2312"/>
          <w:sz w:val="32"/>
          <w:szCs w:val="32"/>
        </w:rPr>
        <w:t>。</w:t>
      </w:r>
    </w:p>
    <w:p w14:paraId="45C3457A">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14:paraId="61B7E4EF">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本年未发生此项资金。</w:t>
      </w:r>
    </w:p>
    <w:p w14:paraId="6C6ADD7C">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611FF2A4">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本年未发生此项资金。</w:t>
      </w:r>
    </w:p>
    <w:p w14:paraId="705DE5BA">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16CA5A91">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2F3A47AC">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3CC4B124">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5BAD81AE">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01938AE3">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47FAF60F">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宋体" w:eastAsia="仿宋_GB2312"/>
          <w:sz w:val="32"/>
          <w:szCs w:val="32"/>
        </w:rPr>
        <w:t>。</w:t>
      </w:r>
    </w:p>
    <w:p w14:paraId="2BA2D459">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6DD65868">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w:t>
      </w:r>
      <w:r>
        <w:rPr>
          <w:rFonts w:hint="default" w:ascii="仿宋_GB2312" w:eastAsia="仿宋_GB2312"/>
          <w:sz w:val="32"/>
        </w:rPr>
        <w:t>1248.93</w:t>
      </w:r>
      <w:r>
        <w:rPr>
          <w:rFonts w:ascii="仿宋_GB2312" w:eastAsia="仿宋_GB2312"/>
          <w:sz w:val="32"/>
        </w:rPr>
        <w:t>万元，其中：人员经费</w:t>
      </w:r>
      <w:r>
        <w:rPr>
          <w:rFonts w:hint="default" w:ascii="仿宋_GB2312" w:eastAsia="仿宋_GB2312"/>
          <w:sz w:val="32"/>
        </w:rPr>
        <w:t>1181.65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60.85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52369FB7">
      <w:pPr>
        <w:pStyle w:val="6"/>
        <w:spacing w:line="560" w:lineRule="exact"/>
        <w:ind w:firstLine="640"/>
        <w:rPr>
          <w:rFonts w:hint="default" w:ascii="黑体" w:eastAsia="黑体"/>
          <w:sz w:val="32"/>
        </w:rPr>
      </w:pPr>
      <w:r>
        <w:rPr>
          <w:rFonts w:ascii="黑体" w:eastAsia="黑体"/>
          <w:sz w:val="32"/>
        </w:rPr>
        <w:t>五、其他重要事项的情况说明</w:t>
      </w:r>
    </w:p>
    <w:p w14:paraId="4CCD5588">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14:paraId="7EA47B94">
      <w:pPr>
        <w:pStyle w:val="6"/>
        <w:spacing w:line="560" w:lineRule="exact"/>
        <w:ind w:firstLine="640"/>
        <w:rPr>
          <w:rFonts w:hint="default" w:ascii="仿宋_GB2312" w:eastAsia="仿宋_GB2312"/>
          <w:sz w:val="32"/>
        </w:rPr>
      </w:pPr>
      <w:r>
        <w:rPr>
          <w:rFonts w:ascii="仿宋_GB2312" w:eastAsia="仿宋_GB2312"/>
          <w:sz w:val="32"/>
        </w:rPr>
        <w:t>2022年度机关运行经费支出</w:t>
      </w:r>
      <w:r>
        <w:rPr>
          <w:rFonts w:hint="default" w:ascii="仿宋_GB2312" w:eastAsia="仿宋_GB2312"/>
          <w:sz w:val="32"/>
        </w:rPr>
        <w:t>0</w:t>
      </w:r>
      <w:r>
        <w:rPr>
          <w:rFonts w:ascii="仿宋_GB2312" w:eastAsia="仿宋_GB2312"/>
          <w:sz w:val="32"/>
        </w:rPr>
        <w:t>万元，主要原因是沈阳市浑南区政务服务中心属于事业单位，无机关运行经费。</w:t>
      </w:r>
    </w:p>
    <w:p w14:paraId="4DB858D2">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（二）政府采购支出情况。</w:t>
      </w:r>
    </w:p>
    <w:p w14:paraId="7F83B28E">
      <w:pPr>
        <w:pStyle w:val="6"/>
        <w:spacing w:line="560" w:lineRule="exact"/>
        <w:ind w:firstLine="640"/>
        <w:rPr>
          <w:rFonts w:hint="default" w:ascii="仿宋_GB2312" w:eastAsia="仿宋_GB2312"/>
          <w:sz w:val="32"/>
        </w:rPr>
      </w:pPr>
      <w:r>
        <w:rPr>
          <w:rFonts w:ascii="仿宋_GB2312" w:eastAsia="仿宋_GB2312"/>
          <w:sz w:val="32"/>
        </w:rPr>
        <w:t>2022年政府采购支出总额</w:t>
      </w:r>
      <w:r>
        <w:rPr>
          <w:rFonts w:hint="default" w:ascii="仿宋_GB2312" w:eastAsia="仿宋_GB2312"/>
          <w:sz w:val="32"/>
        </w:rPr>
        <w:t>0</w:t>
      </w:r>
      <w:r>
        <w:rPr>
          <w:rFonts w:ascii="仿宋_GB2312" w:eastAsia="仿宋_GB2312"/>
          <w:sz w:val="32"/>
        </w:rPr>
        <w:t>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%，其中：授予小微企业合同金额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%；货物采购授予中小企业合同金额占货物支出金额的</w:t>
      </w:r>
      <w:r>
        <w:rPr>
          <w:rFonts w:hint="default" w:ascii="仿宋_GB2312" w:eastAsia="仿宋_GB2312"/>
          <w:sz w:val="32"/>
        </w:rPr>
        <w:t>0</w:t>
      </w:r>
      <w:r>
        <w:rPr>
          <w:rFonts w:ascii="仿宋_GB2312" w:eastAsia="仿宋_GB2312"/>
          <w:sz w:val="32"/>
        </w:rPr>
        <w:t>%；工程采购授予中小企业合同金额占工程支出金额的</w:t>
      </w:r>
      <w:r>
        <w:rPr>
          <w:rFonts w:hint="default" w:ascii="仿宋_GB2312" w:eastAsia="仿宋_GB2312"/>
          <w:sz w:val="32"/>
        </w:rPr>
        <w:t>0</w:t>
      </w:r>
      <w:r>
        <w:rPr>
          <w:rFonts w:ascii="仿宋_GB2312" w:eastAsia="仿宋_GB2312"/>
          <w:sz w:val="32"/>
        </w:rPr>
        <w:t>%；服务采购授予中小企业合同金额占服务支出金额的</w:t>
      </w:r>
      <w:r>
        <w:rPr>
          <w:rFonts w:hint="default" w:ascii="仿宋_GB2312" w:eastAsia="仿宋_GB2312"/>
          <w:sz w:val="32"/>
        </w:rPr>
        <w:t>0</w:t>
      </w:r>
      <w:r>
        <w:rPr>
          <w:rFonts w:ascii="仿宋_GB2312" w:eastAsia="仿宋_GB2312"/>
          <w:sz w:val="32"/>
        </w:rPr>
        <w:t>%。</w:t>
      </w:r>
    </w:p>
    <w:p w14:paraId="2CE804D1">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14:paraId="7D0246FE">
      <w:pPr>
        <w:pStyle w:val="6"/>
        <w:spacing w:line="560" w:lineRule="exact"/>
        <w:ind w:firstLine="640"/>
        <w:rPr>
          <w:rFonts w:ascii="仿宋_GB2312" w:eastAsia="仿宋_GB2312"/>
          <w:sz w:val="32"/>
        </w:rPr>
      </w:pPr>
      <w:r>
        <w:rPr>
          <w:rFonts w:ascii="仿宋_GB2312" w:eastAsia="仿宋_GB2312"/>
          <w:sz w:val="32"/>
        </w:rPr>
        <w:t>截至2022年12月31日，共有车辆</w:t>
      </w:r>
      <w:r>
        <w:rPr>
          <w:rFonts w:hint="default" w:ascii="仿宋_GB2312" w:eastAsia="仿宋_GB2312"/>
          <w:sz w:val="32"/>
        </w:rPr>
        <w:t>0</w:t>
      </w:r>
      <w:r>
        <w:rPr>
          <w:rFonts w:ascii="仿宋_GB2312" w:eastAsia="仿宋_GB2312"/>
          <w:sz w:val="32"/>
        </w:rPr>
        <w:t>辆，其中：副省级以上领导干部用车</w:t>
      </w:r>
      <w:r>
        <w:rPr>
          <w:rFonts w:hint="default" w:ascii="仿宋_GB2312" w:eastAsia="仿宋_GB2312"/>
          <w:sz w:val="32"/>
        </w:rPr>
        <w:t>0</w:t>
      </w:r>
      <w:r>
        <w:rPr>
          <w:rFonts w:ascii="仿宋_GB2312" w:eastAsia="仿宋_GB2312"/>
          <w:sz w:val="32"/>
        </w:rPr>
        <w:t>辆，主要领导干部用车</w:t>
      </w:r>
      <w:r>
        <w:rPr>
          <w:rFonts w:hint="default" w:ascii="仿宋_GB2312" w:eastAsia="仿宋_GB2312"/>
          <w:sz w:val="32"/>
        </w:rPr>
        <w:t>0</w:t>
      </w:r>
      <w:r>
        <w:rPr>
          <w:rFonts w:ascii="仿宋_GB2312" w:eastAsia="仿宋_GB2312"/>
          <w:sz w:val="32"/>
        </w:rPr>
        <w:t>辆，机要通讯用车</w:t>
      </w:r>
      <w:r>
        <w:rPr>
          <w:rFonts w:hint="default" w:ascii="仿宋_GB2312" w:eastAsia="仿宋_GB2312"/>
          <w:sz w:val="32"/>
        </w:rPr>
        <w:t>0</w:t>
      </w:r>
      <w:r>
        <w:rPr>
          <w:rFonts w:ascii="仿宋_GB2312" w:eastAsia="仿宋_GB2312"/>
          <w:sz w:val="32"/>
        </w:rPr>
        <w:t>辆，应急保障用车</w:t>
      </w:r>
      <w:r>
        <w:rPr>
          <w:rFonts w:hint="default" w:ascii="仿宋_GB2312" w:eastAsia="仿宋_GB2312"/>
          <w:sz w:val="32"/>
        </w:rPr>
        <w:t>0</w:t>
      </w:r>
      <w:r>
        <w:rPr>
          <w:rFonts w:ascii="仿宋_GB2312" w:eastAsia="仿宋_GB2312"/>
          <w:sz w:val="32"/>
        </w:rPr>
        <w:t>辆，执法执勤用车</w:t>
      </w:r>
      <w:r>
        <w:rPr>
          <w:rFonts w:hint="default" w:ascii="仿宋_GB2312" w:eastAsia="仿宋_GB2312"/>
          <w:sz w:val="32"/>
        </w:rPr>
        <w:t>0</w:t>
      </w:r>
      <w:r>
        <w:rPr>
          <w:rFonts w:ascii="仿宋_GB2312" w:eastAsia="仿宋_GB2312"/>
          <w:sz w:val="32"/>
        </w:rPr>
        <w:t>辆，特种专业技术用车</w:t>
      </w:r>
      <w:r>
        <w:rPr>
          <w:rFonts w:hint="default" w:ascii="仿宋_GB2312" w:eastAsia="仿宋_GB2312"/>
          <w:sz w:val="32"/>
        </w:rPr>
        <w:t>0</w:t>
      </w:r>
      <w:r>
        <w:rPr>
          <w:rFonts w:ascii="仿宋_GB2312" w:eastAsia="仿宋_GB2312"/>
          <w:sz w:val="32"/>
        </w:rPr>
        <w:t>辆，离退休干部用车</w:t>
      </w:r>
      <w:r>
        <w:rPr>
          <w:rFonts w:hint="default" w:ascii="仿宋_GB2312" w:eastAsia="仿宋_GB2312"/>
          <w:sz w:val="32"/>
        </w:rPr>
        <w:t>0</w:t>
      </w:r>
      <w:r>
        <w:rPr>
          <w:rFonts w:ascii="仿宋_GB2312" w:eastAsia="仿宋_GB2312"/>
          <w:sz w:val="32"/>
        </w:rPr>
        <w:t>辆，其他用车</w:t>
      </w:r>
      <w:r>
        <w:rPr>
          <w:rFonts w:hint="default" w:ascii="仿宋_GB2312" w:eastAsia="仿宋_GB2312"/>
          <w:sz w:val="32"/>
        </w:rPr>
        <w:t>0</w:t>
      </w:r>
      <w:r>
        <w:rPr>
          <w:rFonts w:ascii="仿宋_GB2312" w:eastAsia="仿宋_GB2312"/>
          <w:sz w:val="32"/>
        </w:rPr>
        <w:t>辆，单位价值50万元以上通用设备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14:paraId="1AD9D35B">
      <w:pPr>
        <w:pStyle w:val="6"/>
        <w:spacing w:line="560" w:lineRule="exact"/>
        <w:ind w:firstLine="640"/>
        <w:rPr>
          <w:rFonts w:hint="default" w:ascii="仿宋_GB2312" w:eastAsia="仿宋_GB2312"/>
          <w:sz w:val="32"/>
        </w:rPr>
      </w:pPr>
    </w:p>
    <w:p w14:paraId="1C7DD86B">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14:paraId="5C2BEB69">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lang w:bidi="ar"/>
        </w:rPr>
        <w:t>1.绩效评价工作开展情况。</w:t>
      </w:r>
    </w:p>
    <w:p w14:paraId="1DF25F5D">
      <w:pPr>
        <w:widowControl/>
        <w:spacing w:line="520" w:lineRule="exact"/>
        <w:ind w:firstLine="640" w:firstLineChars="200"/>
        <w:jc w:val="left"/>
        <w:rPr>
          <w:rFonts w:hint="eastAsia" w:eastAsia="仿宋_GB2312"/>
          <w:lang w:eastAsia="zh-CN"/>
        </w:rPr>
      </w:pPr>
      <w:r>
        <w:rPr>
          <w:rFonts w:hAnsi="宋体" w:eastAsia="仿宋_GB2312" w:cs="仿宋_GB2312"/>
          <w:sz w:val="32"/>
          <w:szCs w:val="32"/>
          <w:lang w:bidi="ar"/>
        </w:rPr>
        <w:t>组织</w:t>
      </w:r>
      <w:r>
        <w:rPr>
          <w:rFonts w:hint="eastAsia" w:hAnsi="宋体" w:eastAsia="仿宋_GB2312" w:cs="仿宋_GB2312"/>
          <w:sz w:val="32"/>
          <w:szCs w:val="32"/>
          <w:lang w:eastAsia="zh-CN" w:bidi="ar"/>
        </w:rPr>
        <w:t>对本部门</w:t>
      </w:r>
      <w:r>
        <w:rPr>
          <w:rFonts w:hAnsi="宋体" w:eastAsia="仿宋_GB2312" w:cs="仿宋_GB2312"/>
          <w:sz w:val="32"/>
          <w:szCs w:val="32"/>
          <w:lang w:bidi="ar"/>
        </w:rPr>
        <w:t>开展整体绩效自评，涉及资金</w:t>
      </w:r>
      <w:r>
        <w:rPr>
          <w:rFonts w:hint="eastAsia" w:ascii="仿宋_GB2312" w:hAnsi="宋体" w:eastAsia="仿宋_GB2312" w:cs="仿宋_GB2312"/>
          <w:sz w:val="32"/>
          <w:szCs w:val="32"/>
          <w:lang w:val="en-US" w:eastAsia="zh-CN" w:bidi="ar"/>
        </w:rPr>
        <w:t>1387.87</w:t>
      </w:r>
      <w:r>
        <w:rPr>
          <w:rFonts w:hAnsi="宋体" w:eastAsia="仿宋_GB2312" w:cs="仿宋_GB2312"/>
          <w:sz w:val="32"/>
          <w:szCs w:val="32"/>
          <w:lang w:bidi="ar"/>
        </w:rPr>
        <w:t>万元，自评分</w:t>
      </w:r>
      <w:r>
        <w:rPr>
          <w:rFonts w:hint="eastAsia" w:ascii="仿宋_GB2312" w:hAnsi="宋体" w:eastAsia="仿宋_GB2312" w:cs="仿宋_GB2312"/>
          <w:sz w:val="32"/>
          <w:szCs w:val="32"/>
          <w:lang w:val="en-US" w:eastAsia="zh-CN" w:bidi="ar"/>
        </w:rPr>
        <w:t>100</w:t>
      </w:r>
      <w:r>
        <w:rPr>
          <w:rFonts w:hAnsi="宋体" w:eastAsia="仿宋_GB2312" w:cs="仿宋_GB2312"/>
          <w:sz w:val="32"/>
          <w:szCs w:val="32"/>
          <w:lang w:bidi="ar"/>
        </w:rPr>
        <w:t>分。《部门（单位）整体绩效自评表》见附件。</w:t>
      </w:r>
    </w:p>
    <w:p w14:paraId="57BB940E">
      <w:pPr>
        <w:widowControl/>
        <w:spacing w:line="520" w:lineRule="exact"/>
        <w:ind w:firstLine="643" w:firstLineChars="200"/>
        <w:jc w:val="left"/>
        <w:rPr>
          <w:rFonts w:hint="default" w:ascii="仿宋_GB2312" w:hAnsi="宋体" w:eastAsia="仿宋_GB2312" w:cs="仿宋_GB2312"/>
          <w:b/>
          <w:bCs/>
          <w:sz w:val="32"/>
          <w:szCs w:val="32"/>
          <w:lang w:bidi="ar"/>
        </w:rPr>
      </w:pPr>
      <w:r>
        <w:rPr>
          <w:rFonts w:ascii="仿宋_GB2312" w:hAnsi="宋体" w:eastAsia="仿宋_GB2312" w:cs="仿宋_GB2312"/>
          <w:b/>
          <w:bCs/>
          <w:sz w:val="32"/>
          <w:szCs w:val="32"/>
          <w:lang w:bidi="ar"/>
        </w:rPr>
        <w:t>2.项目绩效自评结果。</w:t>
      </w:r>
    </w:p>
    <w:p w14:paraId="34301918">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2</w:t>
      </w:r>
      <w:r>
        <w:rPr>
          <w:rFonts w:hint="default" w:ascii="仿宋_GB2312" w:hAnsi="宋体" w:eastAsia="仿宋_GB2312" w:cs="仿宋_GB2312"/>
          <w:sz w:val="32"/>
          <w:szCs w:val="32"/>
          <w:lang w:bidi="ar"/>
        </w:rPr>
        <w:t>022</w:t>
      </w:r>
      <w:r>
        <w:rPr>
          <w:rFonts w:ascii="仿宋_GB2312" w:hAnsi="宋体" w:eastAsia="仿宋_GB2312" w:cs="仿宋_GB2312"/>
          <w:sz w:val="32"/>
          <w:szCs w:val="32"/>
          <w:lang w:bidi="ar"/>
        </w:rPr>
        <w:t>年本部门不涉及特定目标类绩效评价。</w:t>
      </w:r>
    </w:p>
    <w:p w14:paraId="6C65B718">
      <w:pPr>
        <w:widowControl/>
        <w:numPr>
          <w:ilvl w:val="0"/>
          <w:numId w:val="1"/>
        </w:numPr>
        <w:spacing w:line="520" w:lineRule="exact"/>
        <w:ind w:firstLine="643" w:firstLineChars="200"/>
        <w:jc w:val="left"/>
        <w:rPr>
          <w:rFonts w:ascii="仿宋_GB2312" w:hAnsi="宋体" w:eastAsia="仿宋_GB2312" w:cs="仿宋_GB2312"/>
          <w:b/>
          <w:bCs/>
          <w:sz w:val="32"/>
          <w:szCs w:val="32"/>
          <w:lang w:bidi="ar"/>
        </w:rPr>
      </w:pPr>
      <w:r>
        <w:rPr>
          <w:rFonts w:ascii="仿宋_GB2312" w:hAnsi="宋体" w:eastAsia="仿宋_GB2312" w:cs="仿宋_GB2312"/>
          <w:b/>
          <w:bCs/>
          <w:sz w:val="32"/>
          <w:szCs w:val="32"/>
          <w:lang w:bidi="ar"/>
        </w:rPr>
        <w:t>部门评价结果。</w:t>
      </w:r>
    </w:p>
    <w:p w14:paraId="3754DD65">
      <w:pPr>
        <w:widowControl/>
        <w:numPr>
          <w:ilvl w:val="0"/>
          <w:numId w:val="0"/>
        </w:numPr>
        <w:spacing w:line="520" w:lineRule="exact"/>
        <w:jc w:val="left"/>
        <w:rPr>
          <w:rFonts w:hint="default" w:ascii="仿宋_GB2312" w:hAnsi="宋体" w:eastAsia="仿宋_GB2312" w:cs="仿宋_GB2312"/>
          <w:b/>
          <w:bCs/>
          <w:sz w:val="32"/>
          <w:szCs w:val="32"/>
          <w:lang w:val="en-US" w:eastAsia="zh-CN" w:bidi="ar"/>
        </w:rPr>
      </w:pPr>
      <w:r>
        <w:rPr>
          <w:rFonts w:hint="eastAsia" w:ascii="仿宋_GB2312" w:hAnsi="宋体" w:eastAsia="仿宋_GB2312" w:cs="仿宋_GB2312"/>
          <w:b/>
          <w:bCs/>
          <w:sz w:val="32"/>
          <w:szCs w:val="32"/>
          <w:lang w:val="en-US" w:eastAsia="zh-CN" w:bidi="ar"/>
        </w:rPr>
        <w:t xml:space="preserve">   </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强化部门预算资金绩效管理，推进整体绩效目标编制的规范化、提高财政资金使用的规范性、安全性和有效性,提升预算执行效率和效益,进一步规范预算管理</w:t>
      </w:r>
    </w:p>
    <w:p w14:paraId="19604154">
      <w:pPr>
        <w:numPr>
          <w:ilvl w:val="0"/>
          <w:numId w:val="1"/>
        </w:numPr>
        <w:ind w:left="0" w:leftChars="0" w:firstLine="643" w:firstLineChars="200"/>
        <w:rPr>
          <w:rFonts w:ascii="仿宋_GB2312" w:hAnsi="宋体" w:eastAsia="仿宋_GB2312" w:cs="仿宋_GB2312"/>
          <w:b/>
          <w:bCs/>
          <w:sz w:val="32"/>
          <w:szCs w:val="32"/>
          <w:lang w:bidi="ar"/>
        </w:rPr>
      </w:pPr>
      <w:r>
        <w:rPr>
          <w:rFonts w:ascii="仿宋_GB2312" w:hAnsi="宋体" w:eastAsia="仿宋_GB2312" w:cs="仿宋_GB2312"/>
          <w:b/>
          <w:bCs/>
          <w:sz w:val="32"/>
          <w:szCs w:val="32"/>
          <w:lang w:bidi="ar"/>
        </w:rPr>
        <w:t>财政评价结果：</w:t>
      </w:r>
    </w:p>
    <w:p w14:paraId="6502E20B">
      <w:pPr>
        <w:widowControl/>
        <w:numPr>
          <w:ilvl w:val="0"/>
          <w:numId w:val="0"/>
        </w:numPr>
        <w:spacing w:line="520" w:lineRule="exact"/>
        <w:ind w:firstLine="640" w:firstLineChars="200"/>
        <w:jc w:val="left"/>
        <w:rPr>
          <w:rFonts w:hint="eastAsia" w:ascii="仿宋_GB2312" w:hAnsi="宋体" w:eastAsia="仿宋_GB2312" w:cs="仿宋_GB2312"/>
          <w:b w:val="0"/>
          <w:bCs w:val="0"/>
          <w:sz w:val="32"/>
          <w:szCs w:val="32"/>
          <w:lang w:val="en-US" w:eastAsia="zh-CN" w:bidi="ar"/>
        </w:rPr>
      </w:pPr>
      <w:r>
        <w:rPr>
          <w:rFonts w:hint="eastAsia" w:ascii="仿宋_GB2312" w:hAnsi="宋体" w:eastAsia="仿宋_GB2312" w:cs="仿宋_GB2312"/>
          <w:b w:val="0"/>
          <w:bCs w:val="0"/>
          <w:sz w:val="32"/>
          <w:szCs w:val="32"/>
          <w:lang w:val="en-US" w:eastAsia="zh-CN" w:bidi="ar"/>
        </w:rPr>
        <w:t>该部门整体绩效自评效果较好，望你单位继续加强资金管理，发挥资金效益。</w:t>
      </w:r>
    </w:p>
    <w:p w14:paraId="0F4E5DC2">
      <w:pPr>
        <w:widowControl/>
        <w:spacing w:line="520" w:lineRule="exact"/>
        <w:ind w:firstLine="640" w:firstLineChars="200"/>
        <w:jc w:val="left"/>
        <w:rPr>
          <w:rFonts w:hint="default"/>
          <w:sz w:val="32"/>
          <w:szCs w:val="32"/>
        </w:rPr>
      </w:pPr>
    </w:p>
    <w:p w14:paraId="6D3EBFEA">
      <w:pPr>
        <w:pStyle w:val="9"/>
        <w:autoSpaceDN w:val="0"/>
        <w:spacing w:line="560" w:lineRule="exact"/>
        <w:ind w:firstLine="2530" w:firstLineChars="700"/>
        <w:rPr>
          <w:b/>
          <w:bCs/>
          <w:sz w:val="36"/>
          <w:szCs w:val="36"/>
        </w:rPr>
      </w:pPr>
      <w:r>
        <w:rPr>
          <w:rFonts w:hint="eastAsia"/>
          <w:b/>
          <w:bCs/>
          <w:sz w:val="36"/>
          <w:szCs w:val="36"/>
        </w:rPr>
        <w:t>第三部分 名词解释</w:t>
      </w:r>
    </w:p>
    <w:p w14:paraId="4BC08777">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6028F089">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3EC11EED">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3D862117">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3A557533">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3B40325E">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269CB47C">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1CD6DDBE">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6B6F421E">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5BBC1CF9">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7BF2794">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3D3FE073">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5B75B2A9">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5CB77C9B">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92277C0">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FEAF06C">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577D2165">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504590DC">
      <w:pPr>
        <w:pStyle w:val="6"/>
        <w:spacing w:line="560" w:lineRule="exact"/>
        <w:ind w:firstLine="640"/>
        <w:rPr>
          <w:rFonts w:hint="default" w:ascii="仿宋_GB2312" w:eastAsia="仿宋_GB2312"/>
          <w:i/>
          <w:sz w:val="32"/>
          <w:u w:val="single"/>
        </w:rPr>
      </w:pPr>
    </w:p>
    <w:p w14:paraId="4E5E946B">
      <w:pPr>
        <w:pStyle w:val="6"/>
        <w:spacing w:line="560" w:lineRule="atLeast"/>
        <w:jc w:val="left"/>
        <w:rPr>
          <w:rFonts w:hint="default" w:ascii="仿宋_GB2312" w:hAnsi="仿宋_GB2312" w:eastAsia="仿宋_GB2312" w:cs="仿宋_GB2312"/>
          <w:b/>
          <w:sz w:val="52"/>
          <w:szCs w:val="52"/>
        </w:rPr>
      </w:pPr>
    </w:p>
    <w:p w14:paraId="530E3BCB">
      <w:pPr>
        <w:pStyle w:val="6"/>
        <w:spacing w:line="560" w:lineRule="atLeast"/>
        <w:jc w:val="left"/>
        <w:rPr>
          <w:rFonts w:hint="default" w:ascii="仿宋_GB2312" w:hAnsi="仿宋_GB2312" w:eastAsia="仿宋_GB2312" w:cs="仿宋_GB2312"/>
          <w:b/>
          <w:sz w:val="52"/>
          <w:szCs w:val="52"/>
        </w:rPr>
      </w:pPr>
    </w:p>
    <w:p w14:paraId="6D35117F">
      <w:pPr>
        <w:pStyle w:val="6"/>
        <w:spacing w:line="560" w:lineRule="atLeast"/>
        <w:jc w:val="left"/>
        <w:rPr>
          <w:rFonts w:hint="default" w:ascii="仿宋_GB2312" w:hAnsi="仿宋_GB2312" w:eastAsia="仿宋_GB2312" w:cs="仿宋_GB2312"/>
          <w:b/>
          <w:sz w:val="52"/>
          <w:szCs w:val="52"/>
        </w:rPr>
      </w:pPr>
    </w:p>
    <w:p w14:paraId="1983FC6F">
      <w:pPr>
        <w:pStyle w:val="6"/>
        <w:spacing w:line="560" w:lineRule="atLeast"/>
        <w:jc w:val="center"/>
        <w:rPr>
          <w:rFonts w:hint="default"/>
          <w:b/>
          <w:sz w:val="36"/>
        </w:rPr>
      </w:pPr>
      <w:r>
        <w:rPr>
          <w:rFonts w:ascii="仿宋_GB2312" w:hAnsi="仿宋_GB2312" w:eastAsia="仿宋_GB2312" w:cs="仿宋_GB2312"/>
          <w:b/>
          <w:sz w:val="52"/>
          <w:szCs w:val="52"/>
        </w:rPr>
        <w:t>第四部分 沈阳市浑南区政务服务中心2022年度决算表</w:t>
      </w:r>
    </w:p>
    <w:p w14:paraId="62E3DFE1">
      <w:pPr>
        <w:rPr>
          <w:rFonts w:hint="default" w:ascii="仿宋_GB2312" w:hAnsi="宋体" w:eastAsia="仿宋_GB2312"/>
          <w:kern w:val="0"/>
          <w:sz w:val="32"/>
        </w:rPr>
      </w:pPr>
    </w:p>
    <w:p w14:paraId="6F541D1A">
      <w:pPr>
        <w:rPr>
          <w:rFonts w:hint="default" w:ascii="仿宋_GB2312" w:hAnsi="宋体" w:eastAsia="仿宋_GB2312"/>
          <w:kern w:val="0"/>
          <w:sz w:val="32"/>
        </w:rPr>
      </w:pPr>
    </w:p>
    <w:p w14:paraId="60FAE05A">
      <w:pPr>
        <w:rPr>
          <w:rFonts w:hint="default" w:ascii="仿宋_GB2312" w:hAnsi="宋体" w:eastAsia="仿宋_GB2312"/>
          <w:kern w:val="0"/>
          <w:sz w:val="32"/>
        </w:rPr>
      </w:pPr>
    </w:p>
    <w:p w14:paraId="7C604C28">
      <w:pPr>
        <w:rPr>
          <w:rFonts w:hint="default" w:ascii="仿宋_GB2312" w:hAnsi="宋体" w:eastAsia="仿宋_GB2312"/>
          <w:kern w:val="0"/>
          <w:sz w:val="32"/>
        </w:rPr>
      </w:pPr>
    </w:p>
    <w:p w14:paraId="738A0CF1">
      <w:pPr>
        <w:rPr>
          <w:rFonts w:hint="default" w:ascii="仿宋_GB2312" w:hAnsi="宋体" w:eastAsia="仿宋_GB2312"/>
          <w:kern w:val="0"/>
          <w:sz w:val="32"/>
        </w:rPr>
      </w:pPr>
    </w:p>
    <w:p w14:paraId="3FF77B94">
      <w:pPr>
        <w:rPr>
          <w:rFonts w:hint="default" w:ascii="仿宋_GB2312" w:hAnsi="宋体" w:eastAsia="仿宋_GB2312"/>
          <w:kern w:val="0"/>
          <w:sz w:val="32"/>
        </w:rPr>
      </w:pPr>
    </w:p>
    <w:p w14:paraId="37509C20">
      <w:pPr>
        <w:jc w:val="center"/>
        <w:rPr>
          <w:rFonts w:hint="default" w:ascii="宋体" w:hAnsi="宋体"/>
          <w:b/>
          <w:sz w:val="52"/>
          <w:szCs w:val="52"/>
        </w:rPr>
      </w:pPr>
    </w:p>
    <w:p w14:paraId="14CFD6B0">
      <w:pPr>
        <w:jc w:val="center"/>
        <w:rPr>
          <w:rFonts w:hint="default" w:ascii="宋体" w:hAnsi="宋体"/>
          <w:b/>
          <w:sz w:val="52"/>
          <w:szCs w:val="52"/>
        </w:rPr>
      </w:pPr>
    </w:p>
    <w:p w14:paraId="0F5682F5">
      <w:pPr>
        <w:jc w:val="center"/>
        <w:rPr>
          <w:rFonts w:hint="default" w:ascii="宋体" w:hAnsi="宋体"/>
          <w:b/>
          <w:sz w:val="52"/>
          <w:szCs w:val="52"/>
        </w:rPr>
      </w:pPr>
    </w:p>
    <w:p w14:paraId="1E6A6E2F">
      <w:pPr>
        <w:numPr>
          <w:ilvl w:val="0"/>
          <w:numId w:val="2"/>
        </w:numPr>
        <w:jc w:val="center"/>
        <w:rPr>
          <w:rFonts w:hint="default" w:ascii="宋体" w:hAnsi="宋体"/>
          <w:b/>
          <w:sz w:val="52"/>
          <w:szCs w:val="52"/>
        </w:rPr>
      </w:pPr>
      <w:r>
        <w:rPr>
          <w:rFonts w:ascii="宋体" w:hAnsi="宋体"/>
          <w:b/>
          <w:sz w:val="52"/>
          <w:szCs w:val="52"/>
        </w:rPr>
        <w:t xml:space="preserve">  附件</w:t>
      </w:r>
    </w:p>
    <w:p w14:paraId="438534C0">
      <w:pPr>
        <w:jc w:val="center"/>
        <w:rPr>
          <w:rFonts w:hint="default" w:ascii="宋体" w:hAnsi="宋体"/>
          <w:b/>
          <w:sz w:val="52"/>
          <w:szCs w:val="52"/>
        </w:rPr>
      </w:pPr>
    </w:p>
    <w:p w14:paraId="51F8166C">
      <w:pPr>
        <w:jc w:val="center"/>
        <w:rPr>
          <w:rFonts w:hint="default" w:ascii="宋体" w:hAnsi="宋体"/>
          <w:b/>
          <w:sz w:val="52"/>
          <w:szCs w:val="52"/>
        </w:rPr>
      </w:pPr>
    </w:p>
    <w:p w14:paraId="21D7C4EE">
      <w:pPr>
        <w:jc w:val="center"/>
        <w:rPr>
          <w:rFonts w:hint="default" w:ascii="宋体" w:hAnsi="宋体"/>
          <w:b/>
          <w:sz w:val="52"/>
          <w:szCs w:val="52"/>
        </w:rPr>
      </w:pPr>
    </w:p>
    <w:p w14:paraId="3B0C736E">
      <w:pPr>
        <w:jc w:val="center"/>
        <w:rPr>
          <w:rFonts w:hint="default" w:ascii="宋体" w:hAnsi="宋体"/>
          <w:b/>
          <w:sz w:val="52"/>
          <w:szCs w:val="52"/>
        </w:rPr>
      </w:pPr>
    </w:p>
    <w:p w14:paraId="47D852D2">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427C7">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512E1">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EFC62">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6B8B2">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E5C84">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12750">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FE346B"/>
    <w:multiLevelType w:val="singleLevel"/>
    <w:tmpl w:val="D7FE346B"/>
    <w:lvl w:ilvl="0" w:tentative="0">
      <w:start w:val="3"/>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10AD9"/>
    <w:rsid w:val="00047484"/>
    <w:rsid w:val="00060165"/>
    <w:rsid w:val="000B596F"/>
    <w:rsid w:val="000E52F8"/>
    <w:rsid w:val="000F1452"/>
    <w:rsid w:val="000F45C9"/>
    <w:rsid w:val="00100607"/>
    <w:rsid w:val="001D0B4A"/>
    <w:rsid w:val="002060D3"/>
    <w:rsid w:val="00236729"/>
    <w:rsid w:val="00255A9E"/>
    <w:rsid w:val="002C7FC1"/>
    <w:rsid w:val="002D3585"/>
    <w:rsid w:val="00320394"/>
    <w:rsid w:val="00333D4C"/>
    <w:rsid w:val="00342E31"/>
    <w:rsid w:val="003608F1"/>
    <w:rsid w:val="0038444A"/>
    <w:rsid w:val="00387684"/>
    <w:rsid w:val="003C5E3F"/>
    <w:rsid w:val="0044142C"/>
    <w:rsid w:val="00485722"/>
    <w:rsid w:val="00492418"/>
    <w:rsid w:val="00505889"/>
    <w:rsid w:val="00507B2B"/>
    <w:rsid w:val="005812D3"/>
    <w:rsid w:val="005814A4"/>
    <w:rsid w:val="00590A8D"/>
    <w:rsid w:val="005C4DCE"/>
    <w:rsid w:val="00616537"/>
    <w:rsid w:val="006175BD"/>
    <w:rsid w:val="00753B9D"/>
    <w:rsid w:val="00756329"/>
    <w:rsid w:val="007D7DF9"/>
    <w:rsid w:val="007E3748"/>
    <w:rsid w:val="007F77B9"/>
    <w:rsid w:val="008040A1"/>
    <w:rsid w:val="00875C8E"/>
    <w:rsid w:val="008E22AE"/>
    <w:rsid w:val="00922508"/>
    <w:rsid w:val="00944EA4"/>
    <w:rsid w:val="0095139E"/>
    <w:rsid w:val="00954778"/>
    <w:rsid w:val="00963760"/>
    <w:rsid w:val="00A17144"/>
    <w:rsid w:val="00A50D17"/>
    <w:rsid w:val="00A5357A"/>
    <w:rsid w:val="00A57A14"/>
    <w:rsid w:val="00A70D5B"/>
    <w:rsid w:val="00AE45BD"/>
    <w:rsid w:val="00B54181"/>
    <w:rsid w:val="00B77B87"/>
    <w:rsid w:val="00BC09C4"/>
    <w:rsid w:val="00C35C28"/>
    <w:rsid w:val="00DC3915"/>
    <w:rsid w:val="00E4305D"/>
    <w:rsid w:val="00ED2364"/>
    <w:rsid w:val="00F16B2B"/>
    <w:rsid w:val="00F35EB3"/>
    <w:rsid w:val="00F36D05"/>
    <w:rsid w:val="00F67249"/>
    <w:rsid w:val="00F724E9"/>
    <w:rsid w:val="01622E76"/>
    <w:rsid w:val="050E4DC5"/>
    <w:rsid w:val="082C6248"/>
    <w:rsid w:val="09C4782E"/>
    <w:rsid w:val="0ECB7368"/>
    <w:rsid w:val="0FD91C07"/>
    <w:rsid w:val="11612EA5"/>
    <w:rsid w:val="12CC5588"/>
    <w:rsid w:val="131E2240"/>
    <w:rsid w:val="160572AC"/>
    <w:rsid w:val="1B9703C5"/>
    <w:rsid w:val="1C635C29"/>
    <w:rsid w:val="1C6537BA"/>
    <w:rsid w:val="286C4199"/>
    <w:rsid w:val="28977847"/>
    <w:rsid w:val="2A3D2189"/>
    <w:rsid w:val="2E4F6256"/>
    <w:rsid w:val="36230505"/>
    <w:rsid w:val="3BA207ED"/>
    <w:rsid w:val="3D2929B1"/>
    <w:rsid w:val="43ED4466"/>
    <w:rsid w:val="46CA2860"/>
    <w:rsid w:val="474C6DD1"/>
    <w:rsid w:val="54F6469B"/>
    <w:rsid w:val="59C52B8D"/>
    <w:rsid w:val="5AE973A2"/>
    <w:rsid w:val="5B697371"/>
    <w:rsid w:val="61A11E87"/>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字符"/>
    <w:basedOn w:val="5"/>
    <w:link w:val="3"/>
    <w:autoRedefine/>
    <w:qFormat/>
    <w:uiPriority w:val="0"/>
    <w:rPr>
      <w:rFonts w:ascii="Times New Roman" w:hAnsi="Times New Roman" w:eastAsia="宋体"/>
      <w:kern w:val="2"/>
      <w:sz w:val="18"/>
      <w:szCs w:val="18"/>
    </w:rPr>
  </w:style>
  <w:style w:type="character" w:customStyle="1" w:styleId="8">
    <w:name w:val="页脚 字符"/>
    <w:basedOn w:val="5"/>
    <w:link w:val="2"/>
    <w:autoRedefine/>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4546</Words>
  <Characters>4864</Characters>
  <Lines>35</Lines>
  <Paragraphs>9</Paragraphs>
  <TotalTime>0</TotalTime>
  <ScaleCrop>false</ScaleCrop>
  <LinksUpToDate>false</LinksUpToDate>
  <CharactersWithSpaces>4903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2024-12-05T07:34:10Z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D8C3D86190044CF79FC5E9FC38194C98_13</vt:lpwstr>
  </property>
</Properties>
</file>