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辽宁省沈阳市浑南区文化旅游体育事务服务中心</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辽宁省沈阳市浑南区文化旅游体育事务服务中心</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辽宁省沈阳市浑南区文化旅游体育事务服务中心</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辽宁省沈阳市浑南区文化旅游体育事务服务中心</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辽宁省沈阳市浑南区文化旅游体育事务服务中心</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辽宁省沈阳市浑南区文化旅游体育事务服务中心概况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围绕贯彻国家关于文化、旅游、体育等社会事业发展目标和政策措施及省、市有关要求，开展各项公益性服务工作，促进全区文化旅游体育事业健康快速发展。</w:t>
        <w:br/>
        <w:t xml:space="preserve">    （一）参与区政府制定全区文化、旅游、体育发展政策和鼓励措施，开展调研论证、提出建议和方案。</w:t>
        <w:br/>
        <w:t xml:space="preserve">    （二）负责配合上级组织全区旅游业整体形象的宣传和重大推广活动；负责配合上级开展旅游市场、旅游产品的宣传、营销工作；负责旅游节庆活动组织、策划、跟踪；负责中心掌握的相关旅游图片库更新整理工作；负责中心相关工作旅游宣传品的编制和指导工作。</w:t>
        <w:br/>
        <w:t xml:space="preserve">    （三）负责全区重大会议及全程录像工作；负责全区相关专题片宣传片的拍摄、制作工作；负责全区重大会议及各项活动资 料的查找、编辑等工作；承担沈阳广播电视台浑南记者站工作；负责全区各类政务活动的素材采集及编辑工作；负责区内各类突发性事件的影像资料收集；完成日常视频素材资料的整理入档工作。</w:t>
        <w:br/>
        <w:t xml:space="preserve">    （四）组织开展群众文化艺术活动；负责业余文艺群体建设，辅导、培训业余文艺骨干，组建多种门类的业余文艺团队，广泛开展群众性文艺创作活动；加强对乡镇（街道）、社区、企(事) 业、机关、学校等文化站(室)、俱乐部的文化工作指导和文化活动辅导；配送文化服务，积极开展群众文化理论研究，有计划地进行群文调研；收集、整理、研究非物质文化遗产，开展非物质文化遗产普查、展示、宣传活动，指导非遗项目进行申报、传习等活动。</w:t>
        <w:br/>
        <w:t xml:space="preserve">    （五）充分利用馆藏文献，大力弘扬时代主旋律，为广大读者提供积极、健康向上的精神食粮；有计划地购置图书资料（包括电子出版物），满足读者的阅读需要；做好读者服务工作；建立图书馆自动化管理系统，依托省市图书馆平台，开展学术交流活动；开展馆际互借、馆际交流、编制联合目录活动，提高办馆效益和办馆水平；做好档案资料的收集、管理、保存工作。 </w:t>
        <w:br/>
        <w:t xml:space="preserve">    （六）全区少年儿童竞技体育训练工作；向上级训练单位输送优秀运动员(具有专项运动技能的后备人才)；辅导基层(全区中小学校)开展业余训练工作；培养基层体育骨干；组队代表浑南区参加市级以上体育竞赛。</w:t>
        <w:br/>
        <w:t xml:space="preserve">    （七）负责文化、体育产业研究，提出产业发展建议；负责加强文体企业的引进，促进文体产业繁荣发展；负责打造文化体育产业 IP，对重点文化、体育产业发展项目进行推介、宣传等服务工作，引导开发、生产、宣传推介产品。 </w:t>
        <w:br/>
        <w:t xml:space="preserve">    （八）负责智慧浑南微信、微博、客户端的宣传推广，通过策划组织宣传推广活动，提升智慧浑南影响力；做好与中央及省、市网络媒体的对接宣传，利用网媒宣传途径做好重大项目、重要成果网络宣传工作，提升网络宣传影响力；配合相关部门做好对外宣传工作。 </w:t>
        <w:br/>
        <w:t xml:space="preserve">    （九）主要负责区委网信办日常工作运转，区委网信委日常事务工作以及重要工作部署贯彻落实的督促检查工作；承担协调处理全区网络安全和信息化重大突发事件与应急工作，统筹重大突发事件网络舆情监测、预警、报告和处置，负责网络舆情研判和管理，处置网上涉区负面敏感舆情，调控网上舆论。 </w:t>
        <w:br/>
        <w:t xml:space="preserve">    （十）主要负责统筹协调互联网宣传管理和舆论引导相关工作，协调有关部门推动传统媒体与新兴媒体融合发展、推动网络阵地建设，落实中央及省委、市委网信办组织开展的涉及新疆、西藏、港澳台网络宣传和网络舆论斗争工作；组织推动网络评论队伍建设；加强与新兴媒体和新时期统战对象的合作，更好的拓展我区网上宣传渠道；逐步推动我区融媒体中心建设。 </w:t>
        <w:br/>
        <w:t xml:space="preserve">    （十一）主要负责互联网信息内管理，做好网络新闻业务和论坛、微博、搜索引擎等具有新闻舆论及社会动员功能业务的日 常监管工作，完善《舆情日报》的报送、整理及舆情督查工作；组织开展网络安全重大问题研究，做好指导督促党政部门、重点行业网络安全保障工作，做好指导、检查、推动全区各部门、各单位网络安全工作；做好指导推进全区信息化工作，协调信息化建设中的重大问题；负责推动网络社会工作和网络文化、网络文明建设等相关工作。 </w:t>
        <w:br/>
        <w:t xml:space="preserve">    (十二)负责新时代文明实践工作的统筹协调和组织实施，指导文明实践所、站开展工作，研究制定工作规划，对主要实践内容活动培训教材、人员队伍、项目等作出计划，负责管理队伍和志愿者队伍的组织和引导，依托现有平台组织志愿者开展文明实践活动;负责运用本地资源优势，协调各有关部门策划组织各类文艺演出、理论培训、科技文化卫生惠民等活动，推动文明实践中心、所、站各项志愿服务活动常态化开展。 </w:t>
        <w:br/>
        <w:t xml:space="preserve">    (十三)负责组织调查研究、了解掌握全区文化产业发展现状，对全区文化产业发展进行协调和指导;指导和协调全区文化基础设施建设，组织实施文化精品战略，开展文化交流合作;协调解决全区文化体制改革和文化产业发展中的问题，向区委、区政府提出意见建议，总结推广经验，推进全区文化产业健康发展。 </w:t>
        <w:br/>
        <w:t xml:space="preserve">    （十四）负责本部门内的安全工作。 </w:t>
        <w:br/>
        <w:t xml:space="preserve">    （十五）承担区委、区政府交办的其它事项。 </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辽宁省沈阳市浑南区文化旅游体育事务服务中心</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沈阳市浑南区文化旅游体育事业发展中心，本单位无下设机构。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591.58</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564.81</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95.47</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564.81</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19.60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3.31</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主要是非本级财政拨款等收入。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7.17</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1.21</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主要是其他文化和旅游支出等。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减少196.93万元，降低24.97%</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一般公共预算财政拨款收入减少，厉行节约提高资金使用率</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564.98</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551.77</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97.66</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工资福利支出498.39万元；商品和服务支出29.99万元；对个人和家庭的补助23.38万元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13.21</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2.34</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主要包括文化和旅游支等业务支出。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减少216.01万元，降低27.66%</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文化旅游体育与传媒支出减少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26.61</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主要是上级资金暂未支付等原因形成的结余。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增加19.08万元，增长253.47%</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新增上级资金暂未支付</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564.81</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551.77</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13.04</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减少211.88万元，降低27.28%</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文化旅游体育与传媒支出减少</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85.06</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90.93</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22.79</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2024年度一般公共预算财政拨款支出564.81万元。按支出功能分类科目分，包括：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1.文化旅游体育与传媒支出386.60万元，具体包括：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文化旅游体育与传媒支出（类）文化和旅游（款）其他文化和旅游支出（项）386.60万元,主要是文化和旅游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2.社会保障和就业支出104.19万元，具体包括：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10.56万元,主要是事业单位离退休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51.66万元,主要是机关事业单位基本养老保险缴费支出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30.38万元,主要是机关事业单位职业年金缴费支出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（4）社会保障和就业支出（类）抚恤（款）死亡抚恤（项）11.59万元,主要是死亡抚恤等支出，完成年初预算的100%，决算数与年初预算数存在差异的主要原因是年初未安排预算，后根据实际情况追加预算。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3.卫生健康支出20.72万元，具体包括：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20.72万元,主要是事业单位医疗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4.住房保障支出53.31万元，具体包括：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53.31万元,主要是住房公积金等支出，完成年初预算的100%，决算数与年初预算数存在差异的主要原因是完全按照预算执行，决算数与预算数实际上无任何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无出国任务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无公务接待</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无公务用车购置</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551.76</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521.77</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29.99</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沈阳市浑南区文化旅游体育事务服务中心属于事业单位，无机关运行经费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具体而言，本年度我部门共组织对6个项目实施了绩效评价。从预算资金来源看，涉及一般公共预算的项目6个，涉及政府性基金预算的项目0个，涉及国有资本经营预算的项目0个。</w:t>
        <w:br/>
        <w:t xml:space="preserve">    上述评价工作共涉及财政资金57.22万元。其中，一般公共预算资金57.22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2个；得分在80分（含）至90分、等级为“良”的项目有0个；得分在60分（含）至80分、等级为“中”的项目有0个；得分在60分以下、等级为“差”的项目有4个。各项目自评发现，部分项目存在预算执行进度偏慢问题，如：个别效益指标未能完全达成等，已要求相关项目单位分析原因并制定改进措施。</w:t>
        <w:br/>
        <w:t xml:space="preserve">    3.部门重点评价情况及结果。</w:t>
        <w:br/>
        <w:t xml:space="preserve">    在全面自评的基础上，本部门选取了3个资金量大、社会关注度高、具有代表性的重点项目实施了部门重点评价。评价工作通过组建评价小组方式进行，确保了评价结果的客观性和公正性。</w:t>
        <w:br/>
        <w:t xml:space="preserve">    我部门组织对3个项目重点评价，结果显示，被评价项目整体绩效情况良好。其中：第一个重点项目为缴纳残疾人就业保障金（文行科），涉及资金4.62万元，评价平均分为99.77分，评级情况为优；第二个重点项目为信访维稳工作经费，涉及资金8.61万元，评价平均分为99.91分，评级情况为优。同时，评价也发现体育专项业务经费项目存在问题，如：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单位：辽宁省沈阳市浑南区文化旅游体育事务服务中心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564.81</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jc w:val="right"/>
            </w:pPr>
            <w:r>
              <w:rPr>
                <w:rFonts w:ascii="宋体" w:eastAsia="宋体" w:hAnsi="宋体" w:cs="宋体"/>
                <w:b w:val="0"/>
                <w:i w:val="0"/>
                <w:color w:val="000000"/>
                <w:sz w:val="16"/>
              </w:rPr>
              <w:t xml:space="preserve">386.76</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19.60</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104.18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20.72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53.31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584.41</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564.98</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7.17</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26.61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591.58</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591.58</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单位：辽宁省沈阳市浑南区文化旅游体育事务服务中心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584.41</w:t>
            </w:r>
          </w:p>
        </w:tc>
        <w:tc>
          <w:tcPr>
            <w:tcW w:w="960" w:type="dxa"/>
            <w:tcBorders/>
            <w:vAlign w:val="center"/>
          </w:tcPr>
          <w:p>
            <w:pPr>
              <w:jc w:val="right"/>
            </w:pPr>
            <w:r>
              <w:rPr>
                <w:rFonts w:ascii="宋体" w:eastAsia="宋体" w:hAnsi="宋体" w:cs="宋体"/>
                <w:b/>
                <w:i w:val="0"/>
                <w:color w:val="000000"/>
                <w:sz w:val="13"/>
              </w:rPr>
              <w:t xml:space="preserve">564.81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19.60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w:t>
            </w:r>
          </w:p>
        </w:tc>
        <w:tc>
          <w:tcPr>
            <w:tcW w:w="3200" w:type="dxa"/>
            <w:tcBorders/>
            <w:vAlign w:val="center"/>
          </w:tcPr>
          <w:p>
            <w:pPr>
              <w:jc w:val="left"/>
            </w:pPr>
            <w:r>
              <w:rPr>
                <w:rFonts w:ascii="宋体" w:eastAsia="宋体" w:hAnsi="宋体" w:cs="宋体"/>
                <w:b w:val="0"/>
                <w:i w:val="0"/>
                <w:color w:val="000000"/>
                <w:sz w:val="13"/>
              </w:rPr>
              <w:t xml:space="preserve">文化旅游体育与传媒支出</w:t>
            </w:r>
          </w:p>
        </w:tc>
        <w:tc>
          <w:tcPr>
            <w:tcW w:w="960" w:type="dxa"/>
            <w:tcBorders/>
            <w:vAlign w:val="center"/>
          </w:tcPr>
          <w:p>
            <w:pPr>
              <w:jc w:val="right"/>
            </w:pPr>
            <w:r>
              <w:rPr>
                <w:rFonts w:ascii="宋体" w:eastAsia="宋体" w:hAnsi="宋体" w:cs="宋体"/>
                <w:b w:val="0"/>
                <w:i w:val="0"/>
                <w:color w:val="000000"/>
                <w:sz w:val="13"/>
              </w:rPr>
              <w:t xml:space="preserve">406.20</w:t>
            </w:r>
          </w:p>
        </w:tc>
        <w:tc>
          <w:tcPr>
            <w:tcW w:w="960" w:type="dxa"/>
            <w:tcBorders/>
            <w:vAlign w:val="center"/>
          </w:tcPr>
          <w:p>
            <w:pPr>
              <w:jc w:val="right"/>
            </w:pPr>
            <w:r>
              <w:rPr>
                <w:rFonts w:ascii="宋体" w:eastAsia="宋体" w:hAnsi="宋体" w:cs="宋体"/>
                <w:b w:val="0"/>
                <w:i w:val="0"/>
                <w:color w:val="000000"/>
                <w:sz w:val="13"/>
              </w:rPr>
              <w:t xml:space="preserve">386.60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19.60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20701</w:t>
            </w:r>
          </w:p>
        </w:tc>
        <w:tc>
          <w:tcPr>
            <w:tcW w:w="3200" w:type="dxa"/>
            <w:tcBorders/>
            <w:vAlign w:val="center"/>
          </w:tcPr>
          <w:p>
            <w:pPr>
              <w:jc w:val="left"/>
            </w:pPr>
            <w:r>
              <w:rPr>
                <w:rFonts w:ascii="宋体" w:eastAsia="宋体" w:hAnsi="宋体" w:cs="宋体"/>
                <w:b w:val="0"/>
                <w:i w:val="0"/>
                <w:color w:val="000000"/>
                <w:sz w:val="13"/>
              </w:rPr>
              <w:t xml:space="preserve">文化和旅游</w:t>
            </w:r>
          </w:p>
        </w:tc>
        <w:tc>
          <w:tcPr>
            <w:tcW w:w="960" w:type="dxa"/>
            <w:tcBorders/>
            <w:vAlign w:val="center"/>
          </w:tcPr>
          <w:p>
            <w:pPr>
              <w:jc w:val="right"/>
            </w:pPr>
            <w:r>
              <w:rPr>
                <w:rFonts w:ascii="宋体" w:eastAsia="宋体" w:hAnsi="宋体" w:cs="宋体"/>
                <w:b w:val="0"/>
                <w:i w:val="0"/>
                <w:color w:val="000000"/>
                <w:sz w:val="13"/>
              </w:rPr>
              <w:t xml:space="preserve">406.20</w:t>
            </w:r>
          </w:p>
        </w:tc>
        <w:tc>
          <w:tcPr>
            <w:tcW w:w="960" w:type="dxa"/>
            <w:tcBorders/>
            <w:vAlign w:val="center"/>
          </w:tcPr>
          <w:p>
            <w:pPr>
              <w:jc w:val="right"/>
            </w:pPr>
            <w:r>
              <w:rPr>
                <w:rFonts w:ascii="宋体" w:eastAsia="宋体" w:hAnsi="宋体" w:cs="宋体"/>
                <w:b w:val="0"/>
                <w:i w:val="0"/>
                <w:color w:val="000000"/>
                <w:sz w:val="13"/>
              </w:rPr>
              <w:t xml:space="preserve">386.60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19.60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2070199</w:t>
            </w:r>
          </w:p>
        </w:tc>
        <w:tc>
          <w:tcPr>
            <w:tcW w:w="3200" w:type="dxa"/>
            <w:tcBorders/>
            <w:vAlign w:val="center"/>
          </w:tcPr>
          <w:p>
            <w:pPr>
              <w:jc w:val="left"/>
            </w:pPr>
            <w:r>
              <w:rPr>
                <w:rFonts w:ascii="宋体" w:eastAsia="宋体" w:hAnsi="宋体" w:cs="宋体"/>
                <w:b w:val="0"/>
                <w:i w:val="0"/>
                <w:color w:val="000000"/>
                <w:sz w:val="13"/>
              </w:rPr>
              <w:t xml:space="preserve">其他文化和旅游支出</w:t>
            </w:r>
          </w:p>
        </w:tc>
        <w:tc>
          <w:tcPr>
            <w:tcW w:w="960" w:type="dxa"/>
            <w:tcBorders/>
            <w:vAlign w:val="center"/>
          </w:tcPr>
          <w:p>
            <w:pPr>
              <w:jc w:val="right"/>
            </w:pPr>
            <w:r>
              <w:rPr>
                <w:rFonts w:ascii="宋体" w:eastAsia="宋体" w:hAnsi="宋体" w:cs="宋体"/>
                <w:b w:val="0"/>
                <w:i w:val="0"/>
                <w:color w:val="000000"/>
                <w:sz w:val="13"/>
              </w:rPr>
              <w:t xml:space="preserve">406.20</w:t>
            </w:r>
          </w:p>
        </w:tc>
        <w:tc>
          <w:tcPr>
            <w:tcW w:w="960" w:type="dxa"/>
            <w:tcBorders/>
            <w:vAlign w:val="center"/>
          </w:tcPr>
          <w:p>
            <w:pPr>
              <w:jc w:val="right"/>
            </w:pPr>
            <w:r>
              <w:rPr>
                <w:rFonts w:ascii="宋体" w:eastAsia="宋体" w:hAnsi="宋体" w:cs="宋体"/>
                <w:b w:val="0"/>
                <w:i w:val="0"/>
                <w:color w:val="000000"/>
                <w:sz w:val="13"/>
              </w:rPr>
              <w:t xml:space="preserve">386.60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19.60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104.19</w:t>
            </w:r>
          </w:p>
        </w:tc>
        <w:tc>
          <w:tcPr>
            <w:tcW w:w="960" w:type="dxa"/>
            <w:tcBorders/>
            <w:vAlign w:val="center"/>
          </w:tcPr>
          <w:p>
            <w:pPr>
              <w:jc w:val="right"/>
            </w:pPr>
            <w:r>
              <w:rPr>
                <w:rFonts w:ascii="宋体" w:eastAsia="宋体" w:hAnsi="宋体" w:cs="宋体"/>
                <w:b w:val="0"/>
                <w:i w:val="0"/>
                <w:color w:val="000000"/>
                <w:sz w:val="13"/>
              </w:rPr>
              <w:t xml:space="preserve">104.19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92.60</w:t>
            </w:r>
          </w:p>
        </w:tc>
        <w:tc>
          <w:tcPr>
            <w:tcW w:w="960" w:type="dxa"/>
            <w:tcBorders/>
            <w:vAlign w:val="center"/>
          </w:tcPr>
          <w:p>
            <w:pPr>
              <w:jc w:val="right"/>
            </w:pPr>
            <w:r>
              <w:rPr>
                <w:rFonts w:ascii="宋体" w:eastAsia="宋体" w:hAnsi="宋体" w:cs="宋体"/>
                <w:b w:val="0"/>
                <w:i w:val="0"/>
                <w:color w:val="000000"/>
                <w:sz w:val="13"/>
              </w:rPr>
              <w:t xml:space="preserve">92.60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10.56</w:t>
            </w:r>
          </w:p>
        </w:tc>
        <w:tc>
          <w:tcPr>
            <w:tcW w:w="960" w:type="dxa"/>
            <w:tcBorders/>
            <w:vAlign w:val="center"/>
          </w:tcPr>
          <w:p>
            <w:pPr>
              <w:jc w:val="right"/>
            </w:pPr>
            <w:r>
              <w:rPr>
                <w:rFonts w:ascii="宋体" w:eastAsia="宋体" w:hAnsi="宋体" w:cs="宋体"/>
                <w:b w:val="0"/>
                <w:i w:val="0"/>
                <w:color w:val="000000"/>
                <w:sz w:val="13"/>
              </w:rPr>
              <w:t xml:space="preserve">10.56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51.66</w:t>
            </w:r>
          </w:p>
        </w:tc>
        <w:tc>
          <w:tcPr>
            <w:tcW w:w="960" w:type="dxa"/>
            <w:tcBorders/>
            <w:vAlign w:val="center"/>
          </w:tcPr>
          <w:p>
            <w:pPr>
              <w:jc w:val="right"/>
            </w:pPr>
            <w:r>
              <w:rPr>
                <w:rFonts w:ascii="宋体" w:eastAsia="宋体" w:hAnsi="宋体" w:cs="宋体"/>
                <w:b w:val="0"/>
                <w:i w:val="0"/>
                <w:color w:val="000000"/>
                <w:sz w:val="13"/>
              </w:rPr>
              <w:t xml:space="preserve">51.66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30.38</w:t>
            </w:r>
          </w:p>
        </w:tc>
        <w:tc>
          <w:tcPr>
            <w:tcW w:w="960" w:type="dxa"/>
            <w:tcBorders/>
            <w:vAlign w:val="center"/>
          </w:tcPr>
          <w:p>
            <w:pPr>
              <w:jc w:val="right"/>
            </w:pPr>
            <w:r>
              <w:rPr>
                <w:rFonts w:ascii="宋体" w:eastAsia="宋体" w:hAnsi="宋体" w:cs="宋体"/>
                <w:b w:val="0"/>
                <w:i w:val="0"/>
                <w:color w:val="000000"/>
                <w:sz w:val="13"/>
              </w:rPr>
              <w:t xml:space="preserve">30.38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11.59</w:t>
            </w:r>
          </w:p>
        </w:tc>
        <w:tc>
          <w:tcPr>
            <w:tcW w:w="960" w:type="dxa"/>
            <w:tcBorders/>
            <w:vAlign w:val="center"/>
          </w:tcPr>
          <w:p>
            <w:pPr>
              <w:jc w:val="right"/>
            </w:pPr>
            <w:r>
              <w:rPr>
                <w:rFonts w:ascii="宋体" w:eastAsia="宋体" w:hAnsi="宋体" w:cs="宋体"/>
                <w:b w:val="0"/>
                <w:i w:val="0"/>
                <w:color w:val="000000"/>
                <w:sz w:val="13"/>
              </w:rPr>
              <w:t xml:space="preserve">11.59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2080801</w:t>
            </w:r>
          </w:p>
        </w:tc>
        <w:tc>
          <w:tcPr>
            <w:tcW w:w="3200" w:type="dxa"/>
            <w:tcBorders/>
            <w:vAlign w:val="center"/>
          </w:tcPr>
          <w:p>
            <w:pPr>
              <w:jc w:val="left"/>
            </w:pPr>
            <w:r>
              <w:rPr>
                <w:rFonts w:ascii="宋体" w:eastAsia="宋体" w:hAnsi="宋体" w:cs="宋体"/>
                <w:b w:val="0"/>
                <w:i w:val="0"/>
                <w:color w:val="000000"/>
                <w:sz w:val="13"/>
              </w:rPr>
              <w:t xml:space="preserve">死亡抚恤</w:t>
            </w:r>
          </w:p>
        </w:tc>
        <w:tc>
          <w:tcPr>
            <w:tcW w:w="960" w:type="dxa"/>
            <w:tcBorders/>
            <w:vAlign w:val="center"/>
          </w:tcPr>
          <w:p>
            <w:pPr>
              <w:jc w:val="right"/>
            </w:pPr>
            <w:r>
              <w:rPr>
                <w:rFonts w:ascii="宋体" w:eastAsia="宋体" w:hAnsi="宋体" w:cs="宋体"/>
                <w:b w:val="0"/>
                <w:i w:val="0"/>
                <w:color w:val="000000"/>
                <w:sz w:val="13"/>
              </w:rPr>
              <w:t xml:space="preserve">11.59</w:t>
            </w:r>
          </w:p>
        </w:tc>
        <w:tc>
          <w:tcPr>
            <w:tcW w:w="960" w:type="dxa"/>
            <w:tcBorders/>
            <w:vAlign w:val="center"/>
          </w:tcPr>
          <w:p>
            <w:pPr>
              <w:jc w:val="right"/>
            </w:pPr>
            <w:r>
              <w:rPr>
                <w:rFonts w:ascii="宋体" w:eastAsia="宋体" w:hAnsi="宋体" w:cs="宋体"/>
                <w:b w:val="0"/>
                <w:i w:val="0"/>
                <w:color w:val="000000"/>
                <w:sz w:val="13"/>
              </w:rPr>
              <w:t xml:space="preserve">11.59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20.72</w:t>
            </w:r>
          </w:p>
        </w:tc>
        <w:tc>
          <w:tcPr>
            <w:tcW w:w="960" w:type="dxa"/>
            <w:tcBorders/>
            <w:vAlign w:val="center"/>
          </w:tcPr>
          <w:p>
            <w:pPr>
              <w:jc w:val="right"/>
            </w:pPr>
            <w:r>
              <w:rPr>
                <w:rFonts w:ascii="宋体" w:eastAsia="宋体" w:hAnsi="宋体" w:cs="宋体"/>
                <w:b w:val="0"/>
                <w:i w:val="0"/>
                <w:color w:val="000000"/>
                <w:sz w:val="13"/>
              </w:rPr>
              <w:t xml:space="preserve">20.72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20.72</w:t>
            </w:r>
          </w:p>
        </w:tc>
        <w:tc>
          <w:tcPr>
            <w:tcW w:w="960" w:type="dxa"/>
            <w:tcBorders/>
            <w:vAlign w:val="center"/>
          </w:tcPr>
          <w:p>
            <w:pPr>
              <w:jc w:val="right"/>
            </w:pPr>
            <w:r>
              <w:rPr>
                <w:rFonts w:ascii="宋体" w:eastAsia="宋体" w:hAnsi="宋体" w:cs="宋体"/>
                <w:b w:val="0"/>
                <w:i w:val="0"/>
                <w:color w:val="000000"/>
                <w:sz w:val="13"/>
              </w:rPr>
              <w:t xml:space="preserve">20.72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20.72</w:t>
            </w:r>
          </w:p>
        </w:tc>
        <w:tc>
          <w:tcPr>
            <w:tcW w:w="960" w:type="dxa"/>
            <w:tcBorders/>
            <w:vAlign w:val="center"/>
          </w:tcPr>
          <w:p>
            <w:pPr>
              <w:jc w:val="right"/>
            </w:pPr>
            <w:r>
              <w:rPr>
                <w:rFonts w:ascii="宋体" w:eastAsia="宋体" w:hAnsi="宋体" w:cs="宋体"/>
                <w:b w:val="0"/>
                <w:i w:val="0"/>
                <w:color w:val="000000"/>
                <w:sz w:val="13"/>
              </w:rPr>
              <w:t xml:space="preserve">20.72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53.31</w:t>
            </w:r>
          </w:p>
        </w:tc>
        <w:tc>
          <w:tcPr>
            <w:tcW w:w="960" w:type="dxa"/>
            <w:tcBorders/>
            <w:vAlign w:val="center"/>
          </w:tcPr>
          <w:p>
            <w:pPr>
              <w:jc w:val="right"/>
            </w:pPr>
            <w:r>
              <w:rPr>
                <w:rFonts w:ascii="宋体" w:eastAsia="宋体" w:hAnsi="宋体" w:cs="宋体"/>
                <w:b w:val="0"/>
                <w:i w:val="0"/>
                <w:color w:val="000000"/>
                <w:sz w:val="13"/>
              </w:rPr>
              <w:t xml:space="preserve">53.31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53.31</w:t>
            </w:r>
          </w:p>
        </w:tc>
        <w:tc>
          <w:tcPr>
            <w:tcW w:w="960" w:type="dxa"/>
            <w:tcBorders/>
            <w:vAlign w:val="center"/>
          </w:tcPr>
          <w:p>
            <w:pPr>
              <w:jc w:val="right"/>
            </w:pPr>
            <w:r>
              <w:rPr>
                <w:rFonts w:ascii="宋体" w:eastAsia="宋体" w:hAnsi="宋体" w:cs="宋体"/>
                <w:b w:val="0"/>
                <w:i w:val="0"/>
                <w:color w:val="000000"/>
                <w:sz w:val="13"/>
              </w:rPr>
              <w:t xml:space="preserve">53.31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53.31</w:t>
            </w:r>
          </w:p>
        </w:tc>
        <w:tc>
          <w:tcPr>
            <w:tcW w:w="960" w:type="dxa"/>
            <w:tcBorders/>
            <w:vAlign w:val="center"/>
          </w:tcPr>
          <w:p>
            <w:pPr>
              <w:jc w:val="right"/>
            </w:pPr>
            <w:r>
              <w:rPr>
                <w:rFonts w:ascii="宋体" w:eastAsia="宋体" w:hAnsi="宋体" w:cs="宋体"/>
                <w:b w:val="0"/>
                <w:i w:val="0"/>
                <w:color w:val="000000"/>
                <w:sz w:val="13"/>
              </w:rPr>
              <w:t xml:space="preserve">53.31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单位：辽宁省沈阳市浑南区文化旅游体育事务服务中心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564.98</w:t>
            </w:r>
          </w:p>
        </w:tc>
        <w:tc>
          <w:tcPr>
            <w:tcW w:w="1060" w:type="dxa"/>
            <w:tcBorders/>
            <w:vAlign w:val="center"/>
          </w:tcPr>
          <w:p>
            <w:pPr>
              <w:jc w:val="right"/>
            </w:pPr>
            <w:r>
              <w:rPr>
                <w:rFonts w:ascii="宋体" w:eastAsia="宋体" w:hAnsi="宋体" w:cs="宋体"/>
                <w:b/>
                <w:i w:val="0"/>
                <w:color w:val="000000"/>
                <w:sz w:val="14"/>
              </w:rPr>
              <w:t xml:space="preserve">551.77</w:t>
            </w:r>
          </w:p>
        </w:tc>
        <w:tc>
          <w:tcPr>
            <w:tcW w:w="1060" w:type="dxa"/>
            <w:tcBorders/>
            <w:vAlign w:val="center"/>
          </w:tcPr>
          <w:p>
            <w:pPr>
              <w:jc w:val="right"/>
            </w:pPr>
            <w:r>
              <w:rPr>
                <w:rFonts w:ascii="宋体" w:eastAsia="宋体" w:hAnsi="宋体" w:cs="宋体"/>
                <w:b/>
                <w:i w:val="0"/>
                <w:color w:val="000000"/>
                <w:sz w:val="14"/>
              </w:rPr>
              <w:t xml:space="preserve">13.21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w:t>
            </w:r>
          </w:p>
        </w:tc>
        <w:tc>
          <w:tcPr>
            <w:tcW w:w="3440" w:type="dxa"/>
            <w:tcBorders/>
            <w:vAlign w:val="center"/>
          </w:tcPr>
          <w:p>
            <w:pPr>
              <w:jc w:val="left"/>
            </w:pPr>
            <w:r>
              <w:rPr>
                <w:rFonts w:ascii="宋体" w:eastAsia="宋体" w:hAnsi="宋体" w:cs="宋体"/>
                <w:b w:val="0"/>
                <w:i w:val="0"/>
                <w:color w:val="000000"/>
                <w:sz w:val="14"/>
              </w:rPr>
              <w:t xml:space="preserve">文化旅游体育与传媒支出</w:t>
            </w:r>
          </w:p>
        </w:tc>
        <w:tc>
          <w:tcPr>
            <w:tcW w:w="1060" w:type="dxa"/>
            <w:tcBorders/>
            <w:vAlign w:val="center"/>
          </w:tcPr>
          <w:p>
            <w:pPr>
              <w:jc w:val="right"/>
            </w:pPr>
            <w:r>
              <w:rPr>
                <w:rFonts w:ascii="宋体" w:eastAsia="宋体" w:hAnsi="宋体" w:cs="宋体"/>
                <w:b w:val="0"/>
                <w:i w:val="0"/>
                <w:color w:val="000000"/>
                <w:sz w:val="14"/>
              </w:rPr>
              <w:t xml:space="preserve">386.76</w:t>
            </w:r>
          </w:p>
        </w:tc>
        <w:tc>
          <w:tcPr>
            <w:tcW w:w="1060" w:type="dxa"/>
            <w:tcBorders/>
            <w:vAlign w:val="center"/>
          </w:tcPr>
          <w:p>
            <w:pPr>
              <w:jc w:val="right"/>
            </w:pPr>
            <w:r>
              <w:rPr>
                <w:rFonts w:ascii="宋体" w:eastAsia="宋体" w:hAnsi="宋体" w:cs="宋体"/>
                <w:b w:val="0"/>
                <w:i w:val="0"/>
                <w:color w:val="000000"/>
                <w:sz w:val="14"/>
              </w:rPr>
              <w:t xml:space="preserve">373.55</w:t>
            </w:r>
          </w:p>
        </w:tc>
        <w:tc>
          <w:tcPr>
            <w:tcW w:w="1060" w:type="dxa"/>
            <w:tcBorders/>
            <w:vAlign w:val="center"/>
          </w:tcPr>
          <w:p>
            <w:pPr>
              <w:jc w:val="right"/>
            </w:pPr>
            <w:r>
              <w:rPr>
                <w:rFonts w:ascii="宋体" w:eastAsia="宋体" w:hAnsi="宋体" w:cs="宋体"/>
                <w:b w:val="0"/>
                <w:i w:val="0"/>
                <w:color w:val="000000"/>
                <w:sz w:val="14"/>
              </w:rPr>
              <w:t xml:space="preserve">13.21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20701</w:t>
            </w:r>
          </w:p>
        </w:tc>
        <w:tc>
          <w:tcPr>
            <w:tcW w:w="3440" w:type="dxa"/>
            <w:tcBorders/>
            <w:vAlign w:val="center"/>
          </w:tcPr>
          <w:p>
            <w:pPr>
              <w:jc w:val="left"/>
            </w:pPr>
            <w:r>
              <w:rPr>
                <w:rFonts w:ascii="宋体" w:eastAsia="宋体" w:hAnsi="宋体" w:cs="宋体"/>
                <w:b w:val="0"/>
                <w:i w:val="0"/>
                <w:color w:val="000000"/>
                <w:sz w:val="14"/>
              </w:rPr>
              <w:t xml:space="preserve">文化和旅游</w:t>
            </w:r>
          </w:p>
        </w:tc>
        <w:tc>
          <w:tcPr>
            <w:tcW w:w="1060" w:type="dxa"/>
            <w:tcBorders/>
            <w:vAlign w:val="center"/>
          </w:tcPr>
          <w:p>
            <w:pPr>
              <w:jc w:val="right"/>
            </w:pPr>
            <w:r>
              <w:rPr>
                <w:rFonts w:ascii="宋体" w:eastAsia="宋体" w:hAnsi="宋体" w:cs="宋体"/>
                <w:b w:val="0"/>
                <w:i w:val="0"/>
                <w:color w:val="000000"/>
                <w:sz w:val="14"/>
              </w:rPr>
              <w:t xml:space="preserve">386.76</w:t>
            </w:r>
          </w:p>
        </w:tc>
        <w:tc>
          <w:tcPr>
            <w:tcW w:w="1060" w:type="dxa"/>
            <w:tcBorders/>
            <w:vAlign w:val="center"/>
          </w:tcPr>
          <w:p>
            <w:pPr>
              <w:jc w:val="right"/>
            </w:pPr>
            <w:r>
              <w:rPr>
                <w:rFonts w:ascii="宋体" w:eastAsia="宋体" w:hAnsi="宋体" w:cs="宋体"/>
                <w:b w:val="0"/>
                <w:i w:val="0"/>
                <w:color w:val="000000"/>
                <w:sz w:val="14"/>
              </w:rPr>
              <w:t xml:space="preserve">373.55</w:t>
            </w:r>
          </w:p>
        </w:tc>
        <w:tc>
          <w:tcPr>
            <w:tcW w:w="1060" w:type="dxa"/>
            <w:tcBorders/>
            <w:vAlign w:val="center"/>
          </w:tcPr>
          <w:p>
            <w:pPr>
              <w:jc w:val="right"/>
            </w:pPr>
            <w:r>
              <w:rPr>
                <w:rFonts w:ascii="宋体" w:eastAsia="宋体" w:hAnsi="宋体" w:cs="宋体"/>
                <w:b w:val="0"/>
                <w:i w:val="0"/>
                <w:color w:val="000000"/>
                <w:sz w:val="14"/>
              </w:rPr>
              <w:t xml:space="preserve">13.21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2070199</w:t>
            </w:r>
          </w:p>
        </w:tc>
        <w:tc>
          <w:tcPr>
            <w:tcW w:w="3440" w:type="dxa"/>
            <w:tcBorders/>
            <w:vAlign w:val="center"/>
          </w:tcPr>
          <w:p>
            <w:pPr>
              <w:jc w:val="left"/>
            </w:pPr>
            <w:r>
              <w:rPr>
                <w:rFonts w:ascii="宋体" w:eastAsia="宋体" w:hAnsi="宋体" w:cs="宋体"/>
                <w:b w:val="0"/>
                <w:i w:val="0"/>
                <w:color w:val="000000"/>
                <w:sz w:val="14"/>
              </w:rPr>
              <w:t xml:space="preserve">其他文化和旅游支出</w:t>
            </w:r>
          </w:p>
        </w:tc>
        <w:tc>
          <w:tcPr>
            <w:tcW w:w="1060" w:type="dxa"/>
            <w:tcBorders/>
            <w:vAlign w:val="center"/>
          </w:tcPr>
          <w:p>
            <w:pPr>
              <w:jc w:val="right"/>
            </w:pPr>
            <w:r>
              <w:rPr>
                <w:rFonts w:ascii="宋体" w:eastAsia="宋体" w:hAnsi="宋体" w:cs="宋体"/>
                <w:b w:val="0"/>
                <w:i w:val="0"/>
                <w:color w:val="000000"/>
                <w:sz w:val="14"/>
              </w:rPr>
              <w:t xml:space="preserve">386.76</w:t>
            </w:r>
          </w:p>
        </w:tc>
        <w:tc>
          <w:tcPr>
            <w:tcW w:w="1060" w:type="dxa"/>
            <w:tcBorders/>
            <w:vAlign w:val="center"/>
          </w:tcPr>
          <w:p>
            <w:pPr>
              <w:jc w:val="right"/>
            </w:pPr>
            <w:r>
              <w:rPr>
                <w:rFonts w:ascii="宋体" w:eastAsia="宋体" w:hAnsi="宋体" w:cs="宋体"/>
                <w:b w:val="0"/>
                <w:i w:val="0"/>
                <w:color w:val="000000"/>
                <w:sz w:val="14"/>
              </w:rPr>
              <w:t xml:space="preserve">373.55</w:t>
            </w:r>
          </w:p>
        </w:tc>
        <w:tc>
          <w:tcPr>
            <w:tcW w:w="1060" w:type="dxa"/>
            <w:tcBorders/>
            <w:vAlign w:val="center"/>
          </w:tcPr>
          <w:p>
            <w:pPr>
              <w:jc w:val="right"/>
            </w:pPr>
            <w:r>
              <w:rPr>
                <w:rFonts w:ascii="宋体" w:eastAsia="宋体" w:hAnsi="宋体" w:cs="宋体"/>
                <w:b w:val="0"/>
                <w:i w:val="0"/>
                <w:color w:val="000000"/>
                <w:sz w:val="14"/>
              </w:rPr>
              <w:t xml:space="preserve">13.21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104.19</w:t>
            </w:r>
          </w:p>
        </w:tc>
        <w:tc>
          <w:tcPr>
            <w:tcW w:w="1060" w:type="dxa"/>
            <w:tcBorders/>
            <w:vAlign w:val="center"/>
          </w:tcPr>
          <w:p>
            <w:pPr>
              <w:jc w:val="right"/>
            </w:pPr>
            <w:r>
              <w:rPr>
                <w:rFonts w:ascii="宋体" w:eastAsia="宋体" w:hAnsi="宋体" w:cs="宋体"/>
                <w:b w:val="0"/>
                <w:i w:val="0"/>
                <w:color w:val="000000"/>
                <w:sz w:val="14"/>
              </w:rPr>
              <w:t xml:space="preserve">104.19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92.60</w:t>
            </w:r>
          </w:p>
        </w:tc>
        <w:tc>
          <w:tcPr>
            <w:tcW w:w="1060" w:type="dxa"/>
            <w:tcBorders/>
            <w:vAlign w:val="center"/>
          </w:tcPr>
          <w:p>
            <w:pPr>
              <w:jc w:val="right"/>
            </w:pPr>
            <w:r>
              <w:rPr>
                <w:rFonts w:ascii="宋体" w:eastAsia="宋体" w:hAnsi="宋体" w:cs="宋体"/>
                <w:b w:val="0"/>
                <w:i w:val="0"/>
                <w:color w:val="000000"/>
                <w:sz w:val="14"/>
              </w:rPr>
              <w:t xml:space="preserve">92.60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10.56</w:t>
            </w:r>
          </w:p>
        </w:tc>
        <w:tc>
          <w:tcPr>
            <w:tcW w:w="1060" w:type="dxa"/>
            <w:tcBorders/>
            <w:vAlign w:val="center"/>
          </w:tcPr>
          <w:p>
            <w:pPr>
              <w:jc w:val="right"/>
            </w:pPr>
            <w:r>
              <w:rPr>
                <w:rFonts w:ascii="宋体" w:eastAsia="宋体" w:hAnsi="宋体" w:cs="宋体"/>
                <w:b w:val="0"/>
                <w:i w:val="0"/>
                <w:color w:val="000000"/>
                <w:sz w:val="14"/>
              </w:rPr>
              <w:t xml:space="preserve">10.56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51.66</w:t>
            </w:r>
          </w:p>
        </w:tc>
        <w:tc>
          <w:tcPr>
            <w:tcW w:w="1060" w:type="dxa"/>
            <w:tcBorders/>
            <w:vAlign w:val="center"/>
          </w:tcPr>
          <w:p>
            <w:pPr>
              <w:jc w:val="right"/>
            </w:pPr>
            <w:r>
              <w:rPr>
                <w:rFonts w:ascii="宋体" w:eastAsia="宋体" w:hAnsi="宋体" w:cs="宋体"/>
                <w:b w:val="0"/>
                <w:i w:val="0"/>
                <w:color w:val="000000"/>
                <w:sz w:val="14"/>
              </w:rPr>
              <w:t xml:space="preserve">51.66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30.38</w:t>
            </w:r>
          </w:p>
        </w:tc>
        <w:tc>
          <w:tcPr>
            <w:tcW w:w="1060" w:type="dxa"/>
            <w:tcBorders/>
            <w:vAlign w:val="center"/>
          </w:tcPr>
          <w:p>
            <w:pPr>
              <w:jc w:val="right"/>
            </w:pPr>
            <w:r>
              <w:rPr>
                <w:rFonts w:ascii="宋体" w:eastAsia="宋体" w:hAnsi="宋体" w:cs="宋体"/>
                <w:b w:val="0"/>
                <w:i w:val="0"/>
                <w:color w:val="000000"/>
                <w:sz w:val="14"/>
              </w:rPr>
              <w:t xml:space="preserve">30.38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11.59</w:t>
            </w:r>
          </w:p>
        </w:tc>
        <w:tc>
          <w:tcPr>
            <w:tcW w:w="1060" w:type="dxa"/>
            <w:tcBorders/>
            <w:vAlign w:val="center"/>
          </w:tcPr>
          <w:p>
            <w:pPr>
              <w:jc w:val="right"/>
            </w:pPr>
            <w:r>
              <w:rPr>
                <w:rFonts w:ascii="宋体" w:eastAsia="宋体" w:hAnsi="宋体" w:cs="宋体"/>
                <w:b w:val="0"/>
                <w:i w:val="0"/>
                <w:color w:val="000000"/>
                <w:sz w:val="14"/>
              </w:rPr>
              <w:t xml:space="preserve">11.59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2080801</w:t>
            </w:r>
          </w:p>
        </w:tc>
        <w:tc>
          <w:tcPr>
            <w:tcW w:w="3440" w:type="dxa"/>
            <w:tcBorders/>
            <w:vAlign w:val="center"/>
          </w:tcPr>
          <w:p>
            <w:pPr>
              <w:jc w:val="left"/>
            </w:pPr>
            <w:r>
              <w:rPr>
                <w:rFonts w:ascii="宋体" w:eastAsia="宋体" w:hAnsi="宋体" w:cs="宋体"/>
                <w:b w:val="0"/>
                <w:i w:val="0"/>
                <w:color w:val="000000"/>
                <w:sz w:val="14"/>
              </w:rPr>
              <w:t xml:space="preserve">死亡抚恤</w:t>
            </w:r>
          </w:p>
        </w:tc>
        <w:tc>
          <w:tcPr>
            <w:tcW w:w="1060" w:type="dxa"/>
            <w:tcBorders/>
            <w:vAlign w:val="center"/>
          </w:tcPr>
          <w:p>
            <w:pPr>
              <w:jc w:val="right"/>
            </w:pPr>
            <w:r>
              <w:rPr>
                <w:rFonts w:ascii="宋体" w:eastAsia="宋体" w:hAnsi="宋体" w:cs="宋体"/>
                <w:b w:val="0"/>
                <w:i w:val="0"/>
                <w:color w:val="000000"/>
                <w:sz w:val="14"/>
              </w:rPr>
              <w:t xml:space="preserve">11.59</w:t>
            </w:r>
          </w:p>
        </w:tc>
        <w:tc>
          <w:tcPr>
            <w:tcW w:w="1060" w:type="dxa"/>
            <w:tcBorders/>
            <w:vAlign w:val="center"/>
          </w:tcPr>
          <w:p>
            <w:pPr>
              <w:jc w:val="right"/>
            </w:pPr>
            <w:r>
              <w:rPr>
                <w:rFonts w:ascii="宋体" w:eastAsia="宋体" w:hAnsi="宋体" w:cs="宋体"/>
                <w:b w:val="0"/>
                <w:i w:val="0"/>
                <w:color w:val="000000"/>
                <w:sz w:val="14"/>
              </w:rPr>
              <w:t xml:space="preserve">11.59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20.72</w:t>
            </w:r>
          </w:p>
        </w:tc>
        <w:tc>
          <w:tcPr>
            <w:tcW w:w="1060" w:type="dxa"/>
            <w:tcBorders/>
            <w:vAlign w:val="center"/>
          </w:tcPr>
          <w:p>
            <w:pPr>
              <w:jc w:val="right"/>
            </w:pPr>
            <w:r>
              <w:rPr>
                <w:rFonts w:ascii="宋体" w:eastAsia="宋体" w:hAnsi="宋体" w:cs="宋体"/>
                <w:b w:val="0"/>
                <w:i w:val="0"/>
                <w:color w:val="000000"/>
                <w:sz w:val="14"/>
              </w:rPr>
              <w:t xml:space="preserve">20.72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20.72</w:t>
            </w:r>
          </w:p>
        </w:tc>
        <w:tc>
          <w:tcPr>
            <w:tcW w:w="1060" w:type="dxa"/>
            <w:tcBorders/>
            <w:vAlign w:val="center"/>
          </w:tcPr>
          <w:p>
            <w:pPr>
              <w:jc w:val="right"/>
            </w:pPr>
            <w:r>
              <w:rPr>
                <w:rFonts w:ascii="宋体" w:eastAsia="宋体" w:hAnsi="宋体" w:cs="宋体"/>
                <w:b w:val="0"/>
                <w:i w:val="0"/>
                <w:color w:val="000000"/>
                <w:sz w:val="14"/>
              </w:rPr>
              <w:t xml:space="preserve">20.72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20.72</w:t>
            </w:r>
          </w:p>
        </w:tc>
        <w:tc>
          <w:tcPr>
            <w:tcW w:w="1060" w:type="dxa"/>
            <w:tcBorders/>
            <w:vAlign w:val="center"/>
          </w:tcPr>
          <w:p>
            <w:pPr>
              <w:jc w:val="right"/>
            </w:pPr>
            <w:r>
              <w:rPr>
                <w:rFonts w:ascii="宋体" w:eastAsia="宋体" w:hAnsi="宋体" w:cs="宋体"/>
                <w:b w:val="0"/>
                <w:i w:val="0"/>
                <w:color w:val="000000"/>
                <w:sz w:val="14"/>
              </w:rPr>
              <w:t xml:space="preserve">20.72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53.31</w:t>
            </w:r>
          </w:p>
        </w:tc>
        <w:tc>
          <w:tcPr>
            <w:tcW w:w="1060" w:type="dxa"/>
            <w:tcBorders/>
            <w:vAlign w:val="center"/>
          </w:tcPr>
          <w:p>
            <w:pPr>
              <w:jc w:val="right"/>
            </w:pPr>
            <w:r>
              <w:rPr>
                <w:rFonts w:ascii="宋体" w:eastAsia="宋体" w:hAnsi="宋体" w:cs="宋体"/>
                <w:b w:val="0"/>
                <w:i w:val="0"/>
                <w:color w:val="000000"/>
                <w:sz w:val="14"/>
              </w:rPr>
              <w:t xml:space="preserve">53.31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53.31</w:t>
            </w:r>
          </w:p>
        </w:tc>
        <w:tc>
          <w:tcPr>
            <w:tcW w:w="1060" w:type="dxa"/>
            <w:tcBorders/>
            <w:vAlign w:val="center"/>
          </w:tcPr>
          <w:p>
            <w:pPr>
              <w:jc w:val="right"/>
            </w:pPr>
            <w:r>
              <w:rPr>
                <w:rFonts w:ascii="宋体" w:eastAsia="宋体" w:hAnsi="宋体" w:cs="宋体"/>
                <w:b w:val="0"/>
                <w:i w:val="0"/>
                <w:color w:val="000000"/>
                <w:sz w:val="14"/>
              </w:rPr>
              <w:t xml:space="preserve">53.31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53.31</w:t>
            </w:r>
          </w:p>
        </w:tc>
        <w:tc>
          <w:tcPr>
            <w:tcW w:w="1060" w:type="dxa"/>
            <w:tcBorders/>
            <w:vAlign w:val="center"/>
          </w:tcPr>
          <w:p>
            <w:pPr>
              <w:jc w:val="right"/>
            </w:pPr>
            <w:r>
              <w:rPr>
                <w:rFonts w:ascii="宋体" w:eastAsia="宋体" w:hAnsi="宋体" w:cs="宋体"/>
                <w:b w:val="0"/>
                <w:i w:val="0"/>
                <w:color w:val="000000"/>
                <w:sz w:val="14"/>
              </w:rPr>
              <w:t xml:space="preserve">53.31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单位：辽宁省沈阳市浑南区文化旅游体育事务服务中心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564.81</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jc w:val="right"/>
            </w:pPr>
            <w:r>
              <w:rPr>
                <w:rFonts w:ascii="宋体" w:eastAsia="宋体" w:hAnsi="宋体" w:cs="宋体"/>
                <w:b w:val="0"/>
                <w:i w:val="0"/>
                <w:color w:val="000000"/>
                <w:sz w:val="14"/>
              </w:rPr>
              <w:t xml:space="preserve">386.60</w:t>
            </w:r>
          </w:p>
        </w:tc>
        <w:tc>
          <w:tcPr>
            <w:tcW w:w="1100" w:type="dxa"/>
            <w:tcBorders/>
            <w:vAlign w:val="center"/>
          </w:tcPr>
          <w:p>
            <w:pPr>
              <w:jc w:val="right"/>
            </w:pPr>
            <w:r>
              <w:rPr>
                <w:rFonts w:ascii="宋体" w:eastAsia="宋体" w:hAnsi="宋体" w:cs="宋体"/>
                <w:b w:val="0"/>
                <w:i w:val="0"/>
                <w:color w:val="000000"/>
                <w:sz w:val="14"/>
              </w:rPr>
              <w:t xml:space="preserve">386.60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104.18</w:t>
            </w:r>
          </w:p>
        </w:tc>
        <w:tc>
          <w:tcPr>
            <w:tcW w:w="1100" w:type="dxa"/>
            <w:tcBorders/>
            <w:vAlign w:val="center"/>
          </w:tcPr>
          <w:p>
            <w:pPr>
              <w:jc w:val="right"/>
            </w:pPr>
            <w:r>
              <w:rPr>
                <w:rFonts w:ascii="宋体" w:eastAsia="宋体" w:hAnsi="宋体" w:cs="宋体"/>
                <w:b w:val="0"/>
                <w:i w:val="0"/>
                <w:color w:val="000000"/>
                <w:sz w:val="14"/>
              </w:rPr>
              <w:t xml:space="preserve">104.18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20.72</w:t>
            </w:r>
          </w:p>
        </w:tc>
        <w:tc>
          <w:tcPr>
            <w:tcW w:w="1100" w:type="dxa"/>
            <w:tcBorders/>
            <w:vAlign w:val="center"/>
          </w:tcPr>
          <w:p>
            <w:pPr>
              <w:jc w:val="right"/>
            </w:pPr>
            <w:r>
              <w:rPr>
                <w:rFonts w:ascii="宋体" w:eastAsia="宋体" w:hAnsi="宋体" w:cs="宋体"/>
                <w:b w:val="0"/>
                <w:i w:val="0"/>
                <w:color w:val="000000"/>
                <w:sz w:val="14"/>
              </w:rPr>
              <w:t xml:space="preserve">20.72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53.31</w:t>
            </w:r>
          </w:p>
        </w:tc>
        <w:tc>
          <w:tcPr>
            <w:tcW w:w="1100" w:type="dxa"/>
            <w:tcBorders/>
            <w:vAlign w:val="center"/>
          </w:tcPr>
          <w:p>
            <w:pPr>
              <w:jc w:val="right"/>
            </w:pPr>
            <w:r>
              <w:rPr>
                <w:rFonts w:ascii="宋体" w:eastAsia="宋体" w:hAnsi="宋体" w:cs="宋体"/>
                <w:b w:val="0"/>
                <w:i w:val="0"/>
                <w:color w:val="000000"/>
                <w:sz w:val="14"/>
              </w:rPr>
              <w:t xml:space="preserve">53.31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564.81</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564.81</w:t>
            </w:r>
          </w:p>
        </w:tc>
        <w:tc>
          <w:tcPr>
            <w:tcW w:w="1100" w:type="dxa"/>
            <w:tcBorders/>
            <w:vAlign w:val="center"/>
          </w:tcPr>
          <w:p>
            <w:pPr>
              <w:jc w:val="right"/>
            </w:pPr>
            <w:r>
              <w:rPr>
                <w:rFonts w:ascii="宋体" w:eastAsia="宋体" w:hAnsi="宋体" w:cs="宋体"/>
                <w:b w:val="0"/>
                <w:i w:val="0"/>
                <w:color w:val="000000"/>
                <w:sz w:val="14"/>
              </w:rPr>
              <w:t xml:space="preserve">564.81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564.81</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564.81</w:t>
            </w:r>
          </w:p>
        </w:tc>
        <w:tc>
          <w:tcPr>
            <w:tcW w:w="1100" w:type="dxa"/>
            <w:tcBorders/>
            <w:vAlign w:val="center"/>
          </w:tcPr>
          <w:p>
            <w:pPr>
              <w:jc w:val="right"/>
            </w:pPr>
            <w:r>
              <w:rPr>
                <w:rFonts w:ascii="宋体" w:eastAsia="宋体" w:hAnsi="宋体" w:cs="宋体"/>
                <w:b w:val="0"/>
                <w:i w:val="0"/>
                <w:color w:val="000000"/>
                <w:sz w:val="14"/>
              </w:rPr>
              <w:t xml:space="preserve">564.81</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单位：辽宁省沈阳市浑南区文化旅游体育事务服务中心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564.81</w:t>
            </w:r>
          </w:p>
        </w:tc>
        <w:tc>
          <w:tcPr>
            <w:tcW w:w="1780" w:type="dxa"/>
            <w:tcBorders/>
            <w:vAlign w:val="center"/>
          </w:tcPr>
          <w:p>
            <w:pPr>
              <w:jc w:val="right"/>
            </w:pPr>
            <w:r>
              <w:rPr>
                <w:rFonts w:ascii="宋体" w:eastAsia="宋体" w:hAnsi="宋体" w:cs="宋体"/>
                <w:b/>
                <w:i w:val="0"/>
                <w:color w:val="000000"/>
                <w:sz w:val="18"/>
              </w:rPr>
              <w:t xml:space="preserve">551.77</w:t>
            </w:r>
          </w:p>
        </w:tc>
        <w:tc>
          <w:tcPr>
            <w:tcW w:w="1772" w:type="dxa"/>
            <w:tcBorders/>
            <w:vAlign w:val="center"/>
          </w:tcPr>
          <w:p>
            <w:pPr>
              <w:jc w:val="right"/>
            </w:pPr>
            <w:r>
              <w:rPr>
                <w:rFonts w:ascii="宋体" w:eastAsia="宋体" w:hAnsi="宋体" w:cs="宋体"/>
                <w:b/>
                <w:i w:val="0"/>
                <w:color w:val="000000"/>
                <w:sz w:val="18"/>
              </w:rPr>
              <w:t xml:space="preserve">13.04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w:t>
            </w:r>
          </w:p>
        </w:tc>
        <w:tc>
          <w:tcPr>
            <w:tcW w:w="4300" w:type="dxa"/>
            <w:tcBorders/>
            <w:vAlign w:val="center"/>
          </w:tcPr>
          <w:p>
            <w:pPr>
              <w:jc w:val="left"/>
            </w:pPr>
            <w:r>
              <w:rPr>
                <w:rFonts w:ascii="宋体" w:eastAsia="宋体" w:hAnsi="宋体" w:cs="宋体"/>
                <w:b w:val="0"/>
                <w:i w:val="0"/>
                <w:color w:val="000000"/>
                <w:sz w:val="18"/>
              </w:rPr>
              <w:t xml:space="preserve">文化旅游体育与传媒支出</w:t>
            </w:r>
          </w:p>
        </w:tc>
        <w:tc>
          <w:tcPr>
            <w:tcW w:w="1780" w:type="dxa"/>
            <w:tcBorders/>
            <w:vAlign w:val="center"/>
          </w:tcPr>
          <w:p>
            <w:pPr>
              <w:jc w:val="right"/>
            </w:pPr>
            <w:r>
              <w:rPr>
                <w:rFonts w:ascii="宋体" w:eastAsia="宋体" w:hAnsi="宋体" w:cs="宋体"/>
                <w:b w:val="0"/>
                <w:i w:val="0"/>
                <w:color w:val="000000"/>
                <w:sz w:val="18"/>
              </w:rPr>
              <w:t xml:space="preserve">386.60</w:t>
            </w:r>
          </w:p>
        </w:tc>
        <w:tc>
          <w:tcPr>
            <w:tcW w:w="1780" w:type="dxa"/>
            <w:tcBorders/>
            <w:vAlign w:val="center"/>
          </w:tcPr>
          <w:p>
            <w:pPr>
              <w:jc w:val="right"/>
            </w:pPr>
            <w:r>
              <w:rPr>
                <w:rFonts w:ascii="宋体" w:eastAsia="宋体" w:hAnsi="宋体" w:cs="宋体"/>
                <w:b w:val="0"/>
                <w:i w:val="0"/>
                <w:color w:val="000000"/>
                <w:sz w:val="18"/>
              </w:rPr>
              <w:t xml:space="preserve">373.55</w:t>
            </w:r>
          </w:p>
        </w:tc>
        <w:tc>
          <w:tcPr>
            <w:tcW w:w="1772" w:type="dxa"/>
            <w:tcBorders/>
            <w:vAlign w:val="center"/>
          </w:tcPr>
          <w:p>
            <w:pPr>
              <w:jc w:val="right"/>
            </w:pPr>
            <w:r>
              <w:rPr>
                <w:rFonts w:ascii="宋体" w:eastAsia="宋体" w:hAnsi="宋体" w:cs="宋体"/>
                <w:b w:val="0"/>
                <w:i w:val="0"/>
                <w:color w:val="000000"/>
                <w:sz w:val="18"/>
              </w:rPr>
              <w:t xml:space="preserve">13.04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20701</w:t>
            </w:r>
          </w:p>
        </w:tc>
        <w:tc>
          <w:tcPr>
            <w:tcW w:w="4300" w:type="dxa"/>
            <w:tcBorders/>
            <w:vAlign w:val="center"/>
          </w:tcPr>
          <w:p>
            <w:pPr>
              <w:jc w:val="left"/>
            </w:pPr>
            <w:r>
              <w:rPr>
                <w:rFonts w:ascii="宋体" w:eastAsia="宋体" w:hAnsi="宋体" w:cs="宋体"/>
                <w:b w:val="0"/>
                <w:i w:val="0"/>
                <w:color w:val="000000"/>
                <w:sz w:val="18"/>
              </w:rPr>
              <w:t xml:space="preserve">文化和旅游</w:t>
            </w:r>
          </w:p>
        </w:tc>
        <w:tc>
          <w:tcPr>
            <w:tcW w:w="1780" w:type="dxa"/>
            <w:tcBorders/>
            <w:vAlign w:val="center"/>
          </w:tcPr>
          <w:p>
            <w:pPr>
              <w:jc w:val="right"/>
            </w:pPr>
            <w:r>
              <w:rPr>
                <w:rFonts w:ascii="宋体" w:eastAsia="宋体" w:hAnsi="宋体" w:cs="宋体"/>
                <w:b w:val="0"/>
                <w:i w:val="0"/>
                <w:color w:val="000000"/>
                <w:sz w:val="18"/>
              </w:rPr>
              <w:t xml:space="preserve">386.60</w:t>
            </w:r>
          </w:p>
        </w:tc>
        <w:tc>
          <w:tcPr>
            <w:tcW w:w="1780" w:type="dxa"/>
            <w:tcBorders/>
            <w:vAlign w:val="center"/>
          </w:tcPr>
          <w:p>
            <w:pPr>
              <w:jc w:val="right"/>
            </w:pPr>
            <w:r>
              <w:rPr>
                <w:rFonts w:ascii="宋体" w:eastAsia="宋体" w:hAnsi="宋体" w:cs="宋体"/>
                <w:b w:val="0"/>
                <w:i w:val="0"/>
                <w:color w:val="000000"/>
                <w:sz w:val="18"/>
              </w:rPr>
              <w:t xml:space="preserve">373.55</w:t>
            </w:r>
          </w:p>
        </w:tc>
        <w:tc>
          <w:tcPr>
            <w:tcW w:w="1772" w:type="dxa"/>
            <w:tcBorders/>
            <w:vAlign w:val="center"/>
          </w:tcPr>
          <w:p>
            <w:pPr>
              <w:jc w:val="right"/>
            </w:pPr>
            <w:r>
              <w:rPr>
                <w:rFonts w:ascii="宋体" w:eastAsia="宋体" w:hAnsi="宋体" w:cs="宋体"/>
                <w:b w:val="0"/>
                <w:i w:val="0"/>
                <w:color w:val="000000"/>
                <w:sz w:val="18"/>
              </w:rPr>
              <w:t xml:space="preserve">13.04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2070199</w:t>
            </w:r>
          </w:p>
        </w:tc>
        <w:tc>
          <w:tcPr>
            <w:tcW w:w="4300" w:type="dxa"/>
            <w:tcBorders/>
            <w:vAlign w:val="center"/>
          </w:tcPr>
          <w:p>
            <w:pPr>
              <w:jc w:val="left"/>
            </w:pPr>
            <w:r>
              <w:rPr>
                <w:rFonts w:ascii="宋体" w:eastAsia="宋体" w:hAnsi="宋体" w:cs="宋体"/>
                <w:b w:val="0"/>
                <w:i w:val="0"/>
                <w:color w:val="000000"/>
                <w:sz w:val="18"/>
              </w:rPr>
              <w:t xml:space="preserve">其他文化和旅游支出</w:t>
            </w:r>
          </w:p>
        </w:tc>
        <w:tc>
          <w:tcPr>
            <w:tcW w:w="1780" w:type="dxa"/>
            <w:tcBorders/>
            <w:vAlign w:val="center"/>
          </w:tcPr>
          <w:p>
            <w:pPr>
              <w:jc w:val="right"/>
            </w:pPr>
            <w:r>
              <w:rPr>
                <w:rFonts w:ascii="宋体" w:eastAsia="宋体" w:hAnsi="宋体" w:cs="宋体"/>
                <w:b w:val="0"/>
                <w:i w:val="0"/>
                <w:color w:val="000000"/>
                <w:sz w:val="18"/>
              </w:rPr>
              <w:t xml:space="preserve">386.60</w:t>
            </w:r>
          </w:p>
        </w:tc>
        <w:tc>
          <w:tcPr>
            <w:tcW w:w="1780" w:type="dxa"/>
            <w:tcBorders/>
            <w:vAlign w:val="center"/>
          </w:tcPr>
          <w:p>
            <w:pPr>
              <w:jc w:val="right"/>
            </w:pPr>
            <w:r>
              <w:rPr>
                <w:rFonts w:ascii="宋体" w:eastAsia="宋体" w:hAnsi="宋体" w:cs="宋体"/>
                <w:b w:val="0"/>
                <w:i w:val="0"/>
                <w:color w:val="000000"/>
                <w:sz w:val="18"/>
              </w:rPr>
              <w:t xml:space="preserve">373.55</w:t>
            </w:r>
          </w:p>
        </w:tc>
        <w:tc>
          <w:tcPr>
            <w:tcW w:w="1772" w:type="dxa"/>
            <w:tcBorders/>
            <w:vAlign w:val="center"/>
          </w:tcPr>
          <w:p>
            <w:pPr>
              <w:jc w:val="right"/>
            </w:pPr>
            <w:r>
              <w:rPr>
                <w:rFonts w:ascii="宋体" w:eastAsia="宋体" w:hAnsi="宋体" w:cs="宋体"/>
                <w:b w:val="0"/>
                <w:i w:val="0"/>
                <w:color w:val="000000"/>
                <w:sz w:val="18"/>
              </w:rPr>
              <w:t xml:space="preserve">13.04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104.19</w:t>
            </w:r>
          </w:p>
        </w:tc>
        <w:tc>
          <w:tcPr>
            <w:tcW w:w="1780" w:type="dxa"/>
            <w:tcBorders/>
            <w:vAlign w:val="center"/>
          </w:tcPr>
          <w:p>
            <w:pPr>
              <w:jc w:val="right"/>
            </w:pPr>
            <w:r>
              <w:rPr>
                <w:rFonts w:ascii="宋体" w:eastAsia="宋体" w:hAnsi="宋体" w:cs="宋体"/>
                <w:b w:val="0"/>
                <w:i w:val="0"/>
                <w:color w:val="000000"/>
                <w:sz w:val="18"/>
              </w:rPr>
              <w:t xml:space="preserve">104.19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92.60</w:t>
            </w:r>
          </w:p>
        </w:tc>
        <w:tc>
          <w:tcPr>
            <w:tcW w:w="1780" w:type="dxa"/>
            <w:tcBorders/>
            <w:vAlign w:val="center"/>
          </w:tcPr>
          <w:p>
            <w:pPr>
              <w:jc w:val="right"/>
            </w:pPr>
            <w:r>
              <w:rPr>
                <w:rFonts w:ascii="宋体" w:eastAsia="宋体" w:hAnsi="宋体" w:cs="宋体"/>
                <w:b w:val="0"/>
                <w:i w:val="0"/>
                <w:color w:val="000000"/>
                <w:sz w:val="18"/>
              </w:rPr>
              <w:t xml:space="preserve">92.60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10.56</w:t>
            </w:r>
          </w:p>
        </w:tc>
        <w:tc>
          <w:tcPr>
            <w:tcW w:w="1780" w:type="dxa"/>
            <w:tcBorders/>
            <w:vAlign w:val="center"/>
          </w:tcPr>
          <w:p>
            <w:pPr>
              <w:jc w:val="right"/>
            </w:pPr>
            <w:r>
              <w:rPr>
                <w:rFonts w:ascii="宋体" w:eastAsia="宋体" w:hAnsi="宋体" w:cs="宋体"/>
                <w:b w:val="0"/>
                <w:i w:val="0"/>
                <w:color w:val="000000"/>
                <w:sz w:val="18"/>
              </w:rPr>
              <w:t xml:space="preserve">10.56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51.66</w:t>
            </w:r>
          </w:p>
        </w:tc>
        <w:tc>
          <w:tcPr>
            <w:tcW w:w="1780" w:type="dxa"/>
            <w:tcBorders/>
            <w:vAlign w:val="center"/>
          </w:tcPr>
          <w:p>
            <w:pPr>
              <w:jc w:val="right"/>
            </w:pPr>
            <w:r>
              <w:rPr>
                <w:rFonts w:ascii="宋体" w:eastAsia="宋体" w:hAnsi="宋体" w:cs="宋体"/>
                <w:b w:val="0"/>
                <w:i w:val="0"/>
                <w:color w:val="000000"/>
                <w:sz w:val="18"/>
              </w:rPr>
              <w:t xml:space="preserve">51.66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30.38</w:t>
            </w:r>
          </w:p>
        </w:tc>
        <w:tc>
          <w:tcPr>
            <w:tcW w:w="1780" w:type="dxa"/>
            <w:tcBorders/>
            <w:vAlign w:val="center"/>
          </w:tcPr>
          <w:p>
            <w:pPr>
              <w:jc w:val="right"/>
            </w:pPr>
            <w:r>
              <w:rPr>
                <w:rFonts w:ascii="宋体" w:eastAsia="宋体" w:hAnsi="宋体" w:cs="宋体"/>
                <w:b w:val="0"/>
                <w:i w:val="0"/>
                <w:color w:val="000000"/>
                <w:sz w:val="18"/>
              </w:rPr>
              <w:t xml:space="preserve">30.38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11.59</w:t>
            </w:r>
          </w:p>
        </w:tc>
        <w:tc>
          <w:tcPr>
            <w:tcW w:w="1780" w:type="dxa"/>
            <w:tcBorders/>
            <w:vAlign w:val="center"/>
          </w:tcPr>
          <w:p>
            <w:pPr>
              <w:jc w:val="right"/>
            </w:pPr>
            <w:r>
              <w:rPr>
                <w:rFonts w:ascii="宋体" w:eastAsia="宋体" w:hAnsi="宋体" w:cs="宋体"/>
                <w:b w:val="0"/>
                <w:i w:val="0"/>
                <w:color w:val="000000"/>
                <w:sz w:val="18"/>
              </w:rPr>
              <w:t xml:space="preserve">11.59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2080801</w:t>
            </w:r>
          </w:p>
        </w:tc>
        <w:tc>
          <w:tcPr>
            <w:tcW w:w="4300" w:type="dxa"/>
            <w:tcBorders/>
            <w:vAlign w:val="center"/>
          </w:tcPr>
          <w:p>
            <w:pPr>
              <w:jc w:val="left"/>
            </w:pPr>
            <w:r>
              <w:rPr>
                <w:rFonts w:ascii="宋体" w:eastAsia="宋体" w:hAnsi="宋体" w:cs="宋体"/>
                <w:b w:val="0"/>
                <w:i w:val="0"/>
                <w:color w:val="000000"/>
                <w:sz w:val="18"/>
              </w:rPr>
              <w:t xml:space="preserve">死亡抚恤</w:t>
            </w:r>
          </w:p>
        </w:tc>
        <w:tc>
          <w:tcPr>
            <w:tcW w:w="1780" w:type="dxa"/>
            <w:tcBorders/>
            <w:vAlign w:val="center"/>
          </w:tcPr>
          <w:p>
            <w:pPr>
              <w:jc w:val="right"/>
            </w:pPr>
            <w:r>
              <w:rPr>
                <w:rFonts w:ascii="宋体" w:eastAsia="宋体" w:hAnsi="宋体" w:cs="宋体"/>
                <w:b w:val="0"/>
                <w:i w:val="0"/>
                <w:color w:val="000000"/>
                <w:sz w:val="18"/>
              </w:rPr>
              <w:t xml:space="preserve">11.59</w:t>
            </w:r>
          </w:p>
        </w:tc>
        <w:tc>
          <w:tcPr>
            <w:tcW w:w="1780" w:type="dxa"/>
            <w:tcBorders/>
            <w:vAlign w:val="center"/>
          </w:tcPr>
          <w:p>
            <w:pPr>
              <w:jc w:val="right"/>
            </w:pPr>
            <w:r>
              <w:rPr>
                <w:rFonts w:ascii="宋体" w:eastAsia="宋体" w:hAnsi="宋体" w:cs="宋体"/>
                <w:b w:val="0"/>
                <w:i w:val="0"/>
                <w:color w:val="000000"/>
                <w:sz w:val="18"/>
              </w:rPr>
              <w:t xml:space="preserve">11.59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20.72</w:t>
            </w:r>
          </w:p>
        </w:tc>
        <w:tc>
          <w:tcPr>
            <w:tcW w:w="1780" w:type="dxa"/>
            <w:tcBorders/>
            <w:vAlign w:val="center"/>
          </w:tcPr>
          <w:p>
            <w:pPr>
              <w:jc w:val="right"/>
            </w:pPr>
            <w:r>
              <w:rPr>
                <w:rFonts w:ascii="宋体" w:eastAsia="宋体" w:hAnsi="宋体" w:cs="宋体"/>
                <w:b w:val="0"/>
                <w:i w:val="0"/>
                <w:color w:val="000000"/>
                <w:sz w:val="18"/>
              </w:rPr>
              <w:t xml:space="preserve">20.72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20.72</w:t>
            </w:r>
          </w:p>
        </w:tc>
        <w:tc>
          <w:tcPr>
            <w:tcW w:w="1780" w:type="dxa"/>
            <w:tcBorders/>
            <w:vAlign w:val="center"/>
          </w:tcPr>
          <w:p>
            <w:pPr>
              <w:jc w:val="right"/>
            </w:pPr>
            <w:r>
              <w:rPr>
                <w:rFonts w:ascii="宋体" w:eastAsia="宋体" w:hAnsi="宋体" w:cs="宋体"/>
                <w:b w:val="0"/>
                <w:i w:val="0"/>
                <w:color w:val="000000"/>
                <w:sz w:val="18"/>
              </w:rPr>
              <w:t xml:space="preserve">20.72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20.72</w:t>
            </w:r>
          </w:p>
        </w:tc>
        <w:tc>
          <w:tcPr>
            <w:tcW w:w="1780" w:type="dxa"/>
            <w:tcBorders/>
            <w:vAlign w:val="center"/>
          </w:tcPr>
          <w:p>
            <w:pPr>
              <w:jc w:val="right"/>
            </w:pPr>
            <w:r>
              <w:rPr>
                <w:rFonts w:ascii="宋体" w:eastAsia="宋体" w:hAnsi="宋体" w:cs="宋体"/>
                <w:b w:val="0"/>
                <w:i w:val="0"/>
                <w:color w:val="000000"/>
                <w:sz w:val="18"/>
              </w:rPr>
              <w:t xml:space="preserve">20.72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53.31</w:t>
            </w:r>
          </w:p>
        </w:tc>
        <w:tc>
          <w:tcPr>
            <w:tcW w:w="1780" w:type="dxa"/>
            <w:tcBorders/>
            <w:vAlign w:val="center"/>
          </w:tcPr>
          <w:p>
            <w:pPr>
              <w:jc w:val="right"/>
            </w:pPr>
            <w:r>
              <w:rPr>
                <w:rFonts w:ascii="宋体" w:eastAsia="宋体" w:hAnsi="宋体" w:cs="宋体"/>
                <w:b w:val="0"/>
                <w:i w:val="0"/>
                <w:color w:val="000000"/>
                <w:sz w:val="18"/>
              </w:rPr>
              <w:t xml:space="preserve">53.31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53.31</w:t>
            </w:r>
          </w:p>
        </w:tc>
        <w:tc>
          <w:tcPr>
            <w:tcW w:w="1780" w:type="dxa"/>
            <w:tcBorders/>
            <w:vAlign w:val="center"/>
          </w:tcPr>
          <w:p>
            <w:pPr>
              <w:jc w:val="right"/>
            </w:pPr>
            <w:r>
              <w:rPr>
                <w:rFonts w:ascii="宋体" w:eastAsia="宋体" w:hAnsi="宋体" w:cs="宋体"/>
                <w:b w:val="0"/>
                <w:i w:val="0"/>
                <w:color w:val="000000"/>
                <w:sz w:val="18"/>
              </w:rPr>
              <w:t xml:space="preserve">53.31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53.31</w:t>
            </w:r>
          </w:p>
        </w:tc>
        <w:tc>
          <w:tcPr>
            <w:tcW w:w="1780" w:type="dxa"/>
            <w:tcBorders/>
            <w:vAlign w:val="center"/>
          </w:tcPr>
          <w:p>
            <w:pPr>
              <w:jc w:val="right"/>
            </w:pPr>
            <w:r>
              <w:rPr>
                <w:rFonts w:ascii="宋体" w:eastAsia="宋体" w:hAnsi="宋体" w:cs="宋体"/>
                <w:b w:val="0"/>
                <w:i w:val="0"/>
                <w:color w:val="000000"/>
                <w:sz w:val="18"/>
              </w:rPr>
              <w:t xml:space="preserve">53.31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单位：辽宁省沈阳市浑南区文化旅游体育事务服务中心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498.39</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29.99</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143.10</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5.83</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17.80</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10.67</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167.55</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51.66</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30.38</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17.11</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20.72</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3.21</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0.68</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53.31</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23.38</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10.56</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11.59</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1.24</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2.90</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3.47</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521.77</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29.99</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单位：辽宁省沈阳市浑南区文化旅游体育事务服务中心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单位：辽宁省沈阳市浑南区文化旅游体育事务服务中心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单位：辽宁省沈阳市浑南区文化旅游体育事务服务中心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018002沈阳市浑南区文化旅游体育事务服务中心-210112000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606.78</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606.78</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10.13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10.12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16.39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16.39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120.33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120.33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404.92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404.92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按计划完成全年工作任务。</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2024年度我单位已按照计划完成全年工作目标.</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经济效益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旅游投诉案件数量降低率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活动参与者满意度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全民健身参与人员满意度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推进体育公共服务和体育体制改革</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持续完善</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建立绩效激励机制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持续完善</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保障国家一级图书馆建设经费-文旅中心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沈阳市浑南区文化旅游体育事务服务中心-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公共文化机构的基本职能作用,增强公共文化服务能力和管理水平,健全和增强服务项目、服务能力，与建立公共文化服务体系经费保障机制相结合,努力实现图书馆、文化馆、免费开放。健全基本文化服务项目并免费向群众开放,使免费服务成为政府的重要民生项目和公共文化服务品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2023年保障国家一级图书馆建设工作，全年绩效工作已完成.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图书馆流通人次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基层图书馆实施互联互通数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提高广大群众精神文化生活需求</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数字图书馆访问率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提高公共图书馆美术馆文化馆影响</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沈阳市浑南区文化旅游体育事务服务中心-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97.66%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编制。</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为保障我单位正常工作，缴纳残疾人就业保障金请继续全额安排资金下达，已按照实际发生额支付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残疾人群众性体育比赛举办场次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组织省级以上残疾人体育比赛数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丰富残疾人文体生活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残疾人健身周宣传覆盖率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残疾人幸福感提升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逐步提高残疾人生活质量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群众文化及培训演出活动-文旅中心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沈阳市浑南区文化旅游体育事务服务中心-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《沈阳市委办公厅沈阳市人民政府办公厅关于加快构建现代公共文化服务体系的实施意见》（沈委办发[2017]45号）、关于印发《沈阳市艺术惠民“双百万”工程项目经费管理细则》的通知，沈宣【2021】282号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2023年群众文化及培训演出活动，全年绩效工作已完成.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文化馆站文化惠民服务人次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公共文化服务活动举办次数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文化送温暖观众上座率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群众文化演出活动合</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文化产品惠民程度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丰富人民群众精神文化生活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体育专项业务经费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沈阳市浑南区文化旅游体育事务服务中心-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上级要求代表浑南区参加沈阳市运动会少年组相关项目比赛，完成报名、运动员注册、组队、集训、比赛等各环节任务。保障教练员、运动员正常开展训练，积极提高相关运动项目竞技水，增强运动员体能、力量、技术等能力。保障参赛项目正常完赛，提高我区少年儿童竞技体育水平。</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2023年体育专项工作，因政策原因本年度未开展.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体育设施采购数量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其他:2024年体育专项工作，因政策原因本年度未开展。后续讲按照政策重新安排，请继续安排资金。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其他:2024年体育专项工作，因政策原因本年度未开展。后续讲按照政策重新安排，请继续安排资金。</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馆内体育设施数量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其他:2024年体育专项工作，因政策原因本年度未开展。后续讲按照政策重新安排，请继续安排资金。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其他:2024年体育专项工作，因政策原因本年度未开展。后续讲按照政策重新安排，请继续安排资金。</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体育设施完好率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其他:2024年体育专项工作，因政策原因本年度未开展。后续讲按照政策重新安排，请继续安排资金。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其他:2024年体育专项工作，因政策原因本年度未开展。后续讲按照政策重新安排，请继续安排资金。</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体育活动任务完成率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其他:2024年体育专项工作，因政策原因本年度未开展。后续讲按照政策重新安排，请继续安排资金。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其他:2024年体育专项工作，因政策原因本年度未开展。后续讲按照政策重新安排，请继续安排资金。</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对竞技体育可持续发展影响程度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其他:2024年体育专项工作，因政策原因本年度未开展。后续讲按照政策重新安排，请继续安排资金。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其他:2024年体育专项工作，因政策原因本年度未开展。后续讲按照政策重新安排，请继续安排资金。</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对竞技体育正向促进作用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其他:2024年体育专项工作，因政策原因本年度未开展。后续讲按照政策重新安排，请继续安排资金。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其他:2024年体育专项工作，因政策原因本年度未开展。后续讲按照政策重新安排，请继续安排资金。</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信访维稳工作经费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沈阳市浑南区文化旅游体育事务服务中心-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99.08%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（1）.2023年度刘云山困难救助款45864元/年；（2）.2023年度刘素云困难救助款和居民医保（个人）费用40224元/年。合计：86088元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为保障我单位正常工作，信访维稳工作经费请继续全额安排资金下达，已按照实际发生额支付。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补助个人（家庭）数量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领取补助人数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领取补助人数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补助发放准确度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补助资金下达及时率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人均补助金额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4.3044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4.3044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补助资金实际发放金额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86088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个人年度累计报销限额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43044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43044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个人负担比例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改善补助人群（家庭）生活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领取生活补助的人数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发放补助资金逐年增长率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补助对象家属满意度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受惠群众满意度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99.91</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艺术生产和艺术惠民专项-文旅中心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沈阳市浑南区文化旅游体育事务服务中心-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委办公厅沈阳市人民政府办公厅关于加快构建现代公共文化服务体系的实施意见》（沈委办发[2017]45号）、关于《沈阳市艺术惠民“双百万”工程实施方案》沈宣【2021】282号。沈阳市基本公共文化服务实施标准《沈阳市加快推进县级文化馆总分馆制建设实施方案》的通知，沈文旅广电发【2020】20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2023年艺术生产和艺术惠民专项工作，全年绩效工作已完成。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举办艺术人才培训班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期</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文化馆站文化惠民服务人次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优秀舞台艺术作品展演活动完成率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老艺术家专业水平认可度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培养艺术人才数量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艺术普及活动次数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