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仿宋_GB2312" w:eastAsia="宋体"/>
          <w:b/>
          <w:sz w:val="52"/>
          <w:lang w:eastAsia="zh-CN"/>
        </w:rPr>
      </w:pPr>
      <w:r>
        <w:rPr>
          <w:rFonts w:ascii="宋体" w:hAnsi="宋体"/>
          <w:b/>
          <w:sz w:val="48"/>
          <w:szCs w:val="48"/>
        </w:rPr>
        <w:t>沈阳市浑南区公共服务综合指挥中心</w:t>
      </w:r>
      <w:r>
        <w:rPr>
          <w:rFonts w:ascii="宋体" w:hAnsi="宋体"/>
          <w:b/>
          <w:sz w:val="52"/>
          <w:szCs w:val="52"/>
        </w:rPr>
        <w:t>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浑南区公共服务综合指挥中心部门概况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 xml:space="preserve">第四部分 </w:t>
      </w:r>
      <w:r>
        <w:rPr>
          <w:rFonts w:ascii="黑体" w:hAnsi="宋体" w:eastAsia="黑体"/>
          <w:sz w:val="32"/>
        </w:rPr>
        <w:t>浑南区公共服务综合指挥中心</w:t>
      </w:r>
      <w:r>
        <w:rPr>
          <w:rFonts w:ascii="黑体" w:hAnsi="黑体" w:eastAsia="黑体"/>
          <w:sz w:val="32"/>
          <w:szCs w:val="32"/>
        </w:rPr>
        <w:t>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沈阳市浑南区公共服务综合指挥中心概况</w:t>
      </w:r>
    </w:p>
    <w:p>
      <w:pPr>
        <w:pStyle w:val="6"/>
        <w:spacing w:line="560" w:lineRule="exact"/>
        <w:jc w:val="center"/>
        <w:rPr>
          <w:rFonts w:hint="default"/>
          <w:b/>
          <w:sz w:val="36"/>
        </w:rPr>
      </w:pPr>
    </w:p>
    <w:p>
      <w:pPr>
        <w:pStyle w:val="6"/>
        <w:spacing w:line="560" w:lineRule="exact"/>
        <w:ind w:firstLine="640"/>
        <w:rPr>
          <w:rFonts w:hint="default" w:ascii="黑体" w:hAnsi="黑体" w:eastAsia="黑体" w:cs="黑体"/>
          <w:b/>
          <w:bCs/>
          <w:color w:val="FF0000"/>
          <w:sz w:val="32"/>
          <w:szCs w:val="32"/>
        </w:rPr>
      </w:pPr>
      <w:r>
        <w:rPr>
          <w:rFonts w:ascii="黑体" w:eastAsia="黑体"/>
          <w:sz w:val="32"/>
        </w:rPr>
        <w:t>一、主要职责</w:t>
      </w:r>
    </w:p>
    <w:p>
      <w:pPr>
        <w:widowControl/>
        <w:spacing w:line="216" w:lineRule="auto"/>
        <w:ind w:left="802"/>
        <w:jc w:val="left"/>
        <w:rPr>
          <w:rFonts w:hint="default"/>
        </w:rPr>
      </w:pPr>
      <w:r>
        <w:rPr>
          <w:rFonts w:ascii="仿宋_GB2312" w:hAnsi="仿宋_GB2312" w:eastAsia="仿宋_GB2312" w:cs="仿宋_GB2312"/>
          <w:sz w:val="32"/>
          <w:szCs w:val="32"/>
        </w:rPr>
        <w:t>（一）</w:t>
      </w:r>
      <w:r>
        <w:rPr>
          <w:rFonts w:ascii="微软雅黑" w:hAnsi="微软雅黑" w:eastAsia="微软雅黑" w:cs="微软雅黑"/>
          <w:sz w:val="28"/>
        </w:rPr>
        <w:t>代表区委、区政府负责对全区热线服务工作的统筹协调，承担区“ 12345 "热线平台的日常管理和服务。</w:t>
      </w:r>
    </w:p>
    <w:p>
      <w:pPr>
        <w:widowControl/>
        <w:spacing w:line="271" w:lineRule="auto"/>
        <w:ind w:left="802"/>
        <w:jc w:val="left"/>
        <w:rPr>
          <w:rFonts w:hint="default"/>
        </w:rPr>
      </w:pPr>
      <w:r>
        <w:rPr>
          <w:rFonts w:ascii="仿宋_GB2312" w:hAnsi="仿宋_GB2312" w:eastAsia="仿宋_GB2312" w:cs="仿宋_GB2312"/>
          <w:sz w:val="32"/>
          <w:szCs w:val="32"/>
        </w:rPr>
        <w:t>（二）</w:t>
      </w:r>
      <w:r>
        <w:rPr>
          <w:rFonts w:ascii="微软雅黑" w:hAnsi="微软雅黑" w:eastAsia="微软雅黑" w:cs="微软雅黑"/>
          <w:sz w:val="28"/>
        </w:rPr>
        <w:t>负责对网格巡查员上报及市智慧城管（一网统管）平台下派等多渠道的城市管理案件及国家、省、市、区等多渠道转办的民意诉求案件的接收、确责、派遣、审核工作。</w:t>
      </w:r>
    </w:p>
    <w:p>
      <w:pPr>
        <w:widowControl/>
        <w:spacing w:after="107" w:line="249" w:lineRule="auto"/>
        <w:ind w:left="15" w:firstLine="640" w:firstLineChars="200"/>
        <w:jc w:val="left"/>
        <w:rPr>
          <w:rFonts w:hint="default"/>
        </w:rPr>
      </w:pPr>
      <w:r>
        <w:rPr>
          <w:rFonts w:ascii="仿宋_GB2312" w:hAnsi="仿宋_GB2312" w:eastAsia="仿宋_GB2312" w:cs="仿宋_GB2312"/>
          <w:sz w:val="32"/>
          <w:szCs w:val="32"/>
        </w:rPr>
        <w:t>（三）</w:t>
      </w:r>
      <w:r>
        <w:rPr>
          <w:rFonts w:ascii="微软雅黑" w:hAnsi="微软雅黑" w:eastAsia="微软雅黑" w:cs="微软雅黑"/>
          <w:sz w:val="30"/>
        </w:rPr>
        <w:t>负责生态环保1 1 0平台和1 1 0非警务警情联动处置平台值守，对非环保类诉求和非警务警情案件的接收、派遣、反馈等工作。</w:t>
      </w:r>
    </w:p>
    <w:p>
      <w:pPr>
        <w:widowControl/>
        <w:spacing w:after="3" w:line="249" w:lineRule="auto"/>
        <w:ind w:left="802"/>
        <w:jc w:val="left"/>
        <w:rPr>
          <w:rFonts w:hint="default"/>
        </w:rPr>
      </w:pPr>
      <w:r>
        <w:rPr>
          <w:rFonts w:ascii="仿宋_GB2312" w:hAnsi="仿宋_GB2312" w:eastAsia="仿宋_GB2312" w:cs="仿宋_GB2312"/>
          <w:sz w:val="32"/>
          <w:szCs w:val="32"/>
        </w:rPr>
        <w:t>（四）</w:t>
      </w:r>
      <w:r>
        <w:rPr>
          <w:rFonts w:ascii="微软雅黑" w:hAnsi="微软雅黑" w:eastAsia="微软雅黑" w:cs="微软雅黑"/>
          <w:sz w:val="30"/>
        </w:rPr>
        <w:t>负责制定智慧城管（一网统管）平台及民意诉求平台案件办理工作方案及责任清单工作。</w:t>
      </w:r>
    </w:p>
    <w:p>
      <w:pPr>
        <w:pStyle w:val="10"/>
        <w:spacing w:line="271" w:lineRule="auto"/>
        <w:ind w:left="435" w:firstLine="320" w:firstLineChars="100"/>
        <w:rPr>
          <w:rFonts w:hint="default"/>
        </w:rPr>
      </w:pPr>
      <w:r>
        <w:rPr>
          <w:rFonts w:ascii="仿宋_GB2312" w:hAnsi="仿宋_GB2312" w:eastAsia="仿宋_GB2312" w:cs="仿宋_GB2312"/>
          <w:sz w:val="32"/>
          <w:szCs w:val="32"/>
        </w:rPr>
        <w:t>（五）</w:t>
      </w:r>
      <w:r>
        <w:rPr>
          <w:rFonts w:ascii="微软雅黑" w:hAnsi="微软雅黑" w:eastAsia="微软雅黑" w:cs="微软雅黑"/>
          <w:sz w:val="28"/>
        </w:rPr>
        <w:t>负责智慧城管 （一网统管 ） 平台及民意诉求平台案件的统计、分析和总结研判工作。</w:t>
      </w:r>
    </w:p>
    <w:p>
      <w:pPr>
        <w:pStyle w:val="10"/>
        <w:spacing w:after="133" w:line="249" w:lineRule="auto"/>
        <w:ind w:left="987" w:firstLine="0" w:firstLineChars="0"/>
        <w:rPr>
          <w:rFonts w:hint="default"/>
        </w:rPr>
      </w:pPr>
      <w:r>
        <w:rPr>
          <w:rFonts w:ascii="微软雅黑" w:hAnsi="微软雅黑" w:eastAsia="微软雅黑" w:cs="微软雅黑"/>
          <w:sz w:val="30"/>
        </w:rPr>
        <w:t>（六 ） 负责智慧城管 （一网统管 ） 平台、 民意诉求平台案件办理等工作的督查、 督办及考核评价工作。</w:t>
      </w:r>
    </w:p>
    <w:p>
      <w:pPr>
        <w:spacing w:after="3" w:line="249" w:lineRule="auto"/>
        <w:ind w:firstLine="900" w:firstLineChars="300"/>
        <w:rPr>
          <w:rFonts w:hint="default"/>
        </w:rPr>
      </w:pPr>
      <w:r>
        <w:rPr>
          <w:rFonts w:ascii="微软雅黑" w:hAnsi="微软雅黑" w:eastAsia="微软雅黑" w:cs="微软雅黑"/>
          <w:sz w:val="30"/>
        </w:rPr>
        <w:t>（七）承担指挥大厅日常管理及应急指挥服务工作。</w:t>
      </w:r>
      <w:r>
        <w:drawing>
          <wp:inline distT="0" distB="0" distL="0" distR="0">
            <wp:extent cx="38100" cy="64770"/>
            <wp:effectExtent l="0" t="0" r="0" b="0"/>
            <wp:docPr id="24341" name="Picture 24341"/>
            <wp:cNvGraphicFramePr/>
            <a:graphic xmlns:a="http://schemas.openxmlformats.org/drawingml/2006/main">
              <a:graphicData uri="http://schemas.openxmlformats.org/drawingml/2006/picture">
                <pic:pic xmlns:pic="http://schemas.openxmlformats.org/drawingml/2006/picture">
                  <pic:nvPicPr>
                    <pic:cNvPr id="24341" name="Picture 24341"/>
                    <pic:cNvPicPr/>
                  </pic:nvPicPr>
                  <pic:blipFill>
                    <a:blip r:embed="rId5"/>
                    <a:stretch>
                      <a:fillRect/>
                    </a:stretch>
                  </pic:blipFill>
                  <pic:spPr>
                    <a:xfrm>
                      <a:off x="0" y="0"/>
                      <a:ext cx="38100" cy="64770"/>
                    </a:xfrm>
                    <a:prstGeom prst="rect">
                      <a:avLst/>
                    </a:prstGeom>
                  </pic:spPr>
                </pic:pic>
              </a:graphicData>
            </a:graphic>
          </wp:inline>
        </w:drawing>
      </w:r>
    </w:p>
    <w:p>
      <w:pPr>
        <w:pStyle w:val="10"/>
        <w:spacing w:after="65" w:line="271" w:lineRule="auto"/>
        <w:ind w:left="987" w:right="108" w:firstLine="0" w:firstLineChars="0"/>
        <w:rPr>
          <w:rFonts w:hint="default"/>
        </w:rPr>
      </w:pPr>
      <w:r>
        <w:rPr>
          <w:rFonts w:ascii="微软雅黑" w:hAnsi="微软雅黑" w:eastAsia="微软雅黑" w:cs="微软雅黑"/>
          <w:sz w:val="28"/>
        </w:rPr>
        <w:t>（八）负责区12345进社区工作领导小组办公室相关工作，贯彻落实市、区领导小组的部署要求 ， 统筹协调各单位推进12345 进社区工作。完成区委、区政府交办的其他任务。</w:t>
      </w:r>
    </w:p>
    <w:p>
      <w:pPr>
        <w:spacing w:after="3" w:line="249" w:lineRule="auto"/>
        <w:ind w:left="660" w:firstLine="420" w:firstLineChars="200"/>
        <w:rPr>
          <w:rFonts w:hint="default"/>
        </w:rPr>
      </w:pPr>
      <w:r>
        <w:drawing>
          <wp:anchor distT="0" distB="0" distL="114300" distR="114300" simplePos="0" relativeHeight="251659264" behindDoc="0" locked="0" layoutInCell="1" allowOverlap="0">
            <wp:simplePos x="0" y="0"/>
            <wp:positionH relativeFrom="page">
              <wp:posOffset>7021830</wp:posOffset>
            </wp:positionH>
            <wp:positionV relativeFrom="page">
              <wp:posOffset>8812530</wp:posOffset>
            </wp:positionV>
            <wp:extent cx="3810" cy="3810"/>
            <wp:effectExtent l="0" t="0" r="0" b="0"/>
            <wp:wrapSquare wrapText="bothSides"/>
            <wp:docPr id="7563" name="Picture 7563"/>
            <wp:cNvGraphicFramePr/>
            <a:graphic xmlns:a="http://schemas.openxmlformats.org/drawingml/2006/main">
              <a:graphicData uri="http://schemas.openxmlformats.org/drawingml/2006/picture">
                <pic:pic xmlns:pic="http://schemas.openxmlformats.org/drawingml/2006/picture">
                  <pic:nvPicPr>
                    <pic:cNvPr id="7563" name="Picture 7563"/>
                    <pic:cNvPicPr/>
                  </pic:nvPicPr>
                  <pic:blipFill>
                    <a:blip r:embed="rId6"/>
                    <a:stretch>
                      <a:fillRect/>
                    </a:stretch>
                  </pic:blipFill>
                  <pic:spPr>
                    <a:xfrm>
                      <a:off x="0" y="0"/>
                      <a:ext cx="3810" cy="3810"/>
                    </a:xfrm>
                    <a:prstGeom prst="rect">
                      <a:avLst/>
                    </a:prstGeom>
                  </pic:spPr>
                </pic:pic>
              </a:graphicData>
            </a:graphic>
          </wp:anchor>
        </w:drawing>
      </w:r>
      <w:r>
        <w:rPr>
          <w:rFonts w:ascii="微软雅黑" w:hAnsi="微软雅黑" w:eastAsia="微软雅黑" w:cs="微软雅黑"/>
          <w:sz w:val="30"/>
        </w:rPr>
        <w:t>区公共服务综合指挥中心设下列内设机构：</w:t>
      </w:r>
    </w:p>
    <w:p>
      <w:pPr>
        <w:spacing w:after="3" w:line="249" w:lineRule="auto"/>
        <w:ind w:left="15" w:firstLine="788"/>
        <w:rPr>
          <w:rFonts w:hint="default"/>
        </w:rPr>
      </w:pPr>
      <w:r>
        <w:rPr>
          <w:rFonts w:ascii="微软雅黑" w:hAnsi="微软雅黑" w:eastAsia="微软雅黑" w:cs="微软雅黑"/>
          <w:sz w:val="30"/>
        </w:rPr>
        <w:t>（一）综合办公室。负责各类信息上传下达；负责中心文字综合、文电、政府采购、公共服务、后勤保障、宣传接待、组织培训等日常工作；负责中心党建党务、群团外联、工会管理工作；</w:t>
      </w:r>
      <w:r>
        <w:drawing>
          <wp:inline distT="0" distB="0" distL="0" distR="0">
            <wp:extent cx="3810" cy="3810"/>
            <wp:effectExtent l="0" t="0" r="0" b="0"/>
            <wp:docPr id="7549" name="Picture 7549"/>
            <wp:cNvGraphicFramePr/>
            <a:graphic xmlns:a="http://schemas.openxmlformats.org/drawingml/2006/main">
              <a:graphicData uri="http://schemas.openxmlformats.org/drawingml/2006/picture">
                <pic:pic xmlns:pic="http://schemas.openxmlformats.org/drawingml/2006/picture">
                  <pic:nvPicPr>
                    <pic:cNvPr id="7549" name="Picture 7549"/>
                    <pic:cNvPicPr/>
                  </pic:nvPicPr>
                  <pic:blipFill>
                    <a:blip r:embed="rId7"/>
                    <a:stretch>
                      <a:fillRect/>
                    </a:stretch>
                  </pic:blipFill>
                  <pic:spPr>
                    <a:xfrm>
                      <a:off x="0" y="0"/>
                      <a:ext cx="3810" cy="3811"/>
                    </a:xfrm>
                    <a:prstGeom prst="rect">
                      <a:avLst/>
                    </a:prstGeom>
                  </pic:spPr>
                </pic:pic>
              </a:graphicData>
            </a:graphic>
          </wp:inline>
        </w:drawing>
      </w:r>
      <w:r>
        <w:rPr>
          <w:rFonts w:ascii="微软雅黑" w:hAnsi="微软雅黑" w:eastAsia="微软雅黑" w:cs="微软雅黑"/>
          <w:sz w:val="30"/>
        </w:rPr>
        <w:t>负责本单位绩效考评、政务公开、信访、人大代表建议、政协委员提案的办理工作；负责中心人事管理、财务管理、资产管理工作。负责退休老干部管理工作；负责领导交办的其他工作。人员编制9名，主任1名。</w:t>
      </w:r>
    </w:p>
    <w:p>
      <w:pPr>
        <w:pStyle w:val="10"/>
        <w:numPr>
          <w:ilvl w:val="0"/>
          <w:numId w:val="1"/>
        </w:numPr>
        <w:spacing w:after="3" w:line="249" w:lineRule="auto"/>
        <w:ind w:firstLineChars="0"/>
        <w:rPr>
          <w:rFonts w:hint="default" w:ascii="微软雅黑" w:hAnsi="微软雅黑" w:eastAsia="微软雅黑" w:cs="微软雅黑"/>
          <w:sz w:val="30"/>
        </w:rPr>
      </w:pPr>
      <w:r>
        <w:rPr>
          <w:rFonts w:ascii="微软雅黑" w:hAnsi="微软雅黑" w:eastAsia="微软雅黑" w:cs="微软雅黑"/>
          <w:sz w:val="30"/>
        </w:rPr>
        <w:t>二）12345进社区工作部。负责区12345进社区工作领导小组办公室具体工作，贯彻落实市、区领导小组的部署要求，统筹协调各单位推进12345进社区工作。</w:t>
      </w:r>
      <w:r>
        <w:drawing>
          <wp:inline distT="0" distB="0" distL="0" distR="0">
            <wp:extent cx="22860" cy="41910"/>
            <wp:effectExtent l="0" t="0" r="0" b="0"/>
            <wp:docPr id="24350" name="Picture 24350"/>
            <wp:cNvGraphicFramePr/>
            <a:graphic xmlns:a="http://schemas.openxmlformats.org/drawingml/2006/main">
              <a:graphicData uri="http://schemas.openxmlformats.org/drawingml/2006/picture">
                <pic:pic xmlns:pic="http://schemas.openxmlformats.org/drawingml/2006/picture">
                  <pic:nvPicPr>
                    <pic:cNvPr id="24350" name="Picture 24350"/>
                    <pic:cNvPicPr/>
                  </pic:nvPicPr>
                  <pic:blipFill>
                    <a:blip r:embed="rId8"/>
                    <a:stretch>
                      <a:fillRect/>
                    </a:stretch>
                  </pic:blipFill>
                  <pic:spPr>
                    <a:xfrm>
                      <a:off x="0" y="0"/>
                      <a:ext cx="22860" cy="41910"/>
                    </a:xfrm>
                    <a:prstGeom prst="rect">
                      <a:avLst/>
                    </a:prstGeom>
                  </pic:spPr>
                </pic:pic>
              </a:graphicData>
            </a:graphic>
          </wp:inline>
        </w:drawing>
      </w:r>
      <w:r>
        <w:rPr>
          <w:rFonts w:ascii="微软雅黑" w:hAnsi="微软雅黑" w:eastAsia="微软雅黑" w:cs="微软雅黑"/>
          <w:sz w:val="28"/>
        </w:rPr>
        <w:t>人员编制 6名 ， 部长 1 名 ， 副部长 1 名。</w:t>
      </w:r>
    </w:p>
    <w:p>
      <w:pPr>
        <w:spacing w:after="45" w:line="249" w:lineRule="auto"/>
        <w:ind w:right="294"/>
        <w:rPr>
          <w:rFonts w:hint="default"/>
        </w:rPr>
      </w:pPr>
      <w:r>
        <w:rPr>
          <w:rFonts w:ascii="微软雅黑" w:hAnsi="微软雅黑" w:eastAsia="微软雅黑" w:cs="微软雅黑"/>
          <w:sz w:val="30"/>
        </w:rPr>
        <w:t>（ 三 ） 民意诉求受理部。 负责制定民意诉求平台案件办理工作方案 ； 负责国家和省、 市、 区等多渠道转办的民意诉求案件的接收、 确责、 派遣、 审核工作； 负责二级平台业务指导等相关工作； 负责民意诉求大厅坐席员日常管理 ， 平台值班值守工作； 生态环保110平台值守及对非环保类诉求案件的接收、派遣、反馈工作；110非警务警情联动处置平台值守及案件的签收、回访、处置、反馈等工作。</w:t>
      </w:r>
      <w:r>
        <w:rPr>
          <w:rFonts w:ascii="微软雅黑" w:hAnsi="微软雅黑" w:eastAsia="微软雅黑" w:cs="微软雅黑"/>
          <w:sz w:val="28"/>
        </w:rPr>
        <w:t>人员编制6名，部长1名，副部长1名。</w:t>
      </w:r>
    </w:p>
    <w:p>
      <w:pPr>
        <w:widowControl/>
        <w:spacing w:after="3" w:line="249" w:lineRule="auto"/>
        <w:ind w:right="237"/>
        <w:rPr>
          <w:rFonts w:hint="default"/>
        </w:rPr>
      </w:pPr>
      <w:r>
        <w:rPr>
          <w:rFonts w:ascii="微软雅黑" w:hAnsi="微软雅黑" w:eastAsia="微软雅黑" w:cs="微软雅黑"/>
          <w:sz w:val="30"/>
        </w:rPr>
        <w:t>智慧城管（一网统管）受理部。负责制定智慧城管（一网统管）平台案件办理工作方案；负责市平台转办和网格员上报的城市精细化管理案件的受理、立案、派遣、复核、督办工作；负责二级平台业务指导等相关工作；负责智慧城管（一网统管）</w:t>
      </w:r>
      <w:r>
        <w:drawing>
          <wp:inline distT="0" distB="0" distL="0" distR="0">
            <wp:extent cx="3810" cy="7620"/>
            <wp:effectExtent l="0" t="0" r="0" b="0"/>
            <wp:docPr id="11096" name="Picture 11096"/>
            <wp:cNvGraphicFramePr/>
            <a:graphic xmlns:a="http://schemas.openxmlformats.org/drawingml/2006/main">
              <a:graphicData uri="http://schemas.openxmlformats.org/drawingml/2006/picture">
                <pic:pic xmlns:pic="http://schemas.openxmlformats.org/drawingml/2006/picture">
                  <pic:nvPicPr>
                    <pic:cNvPr id="11096" name="Picture 11096"/>
                    <pic:cNvPicPr/>
                  </pic:nvPicPr>
                  <pic:blipFill>
                    <a:blip r:embed="rId9"/>
                    <a:stretch>
                      <a:fillRect/>
                    </a:stretch>
                  </pic:blipFill>
                  <pic:spPr>
                    <a:xfrm>
                      <a:off x="0" y="0"/>
                      <a:ext cx="3810" cy="7620"/>
                    </a:xfrm>
                    <a:prstGeom prst="rect">
                      <a:avLst/>
                    </a:prstGeom>
                  </pic:spPr>
                </pic:pic>
              </a:graphicData>
            </a:graphic>
          </wp:inline>
        </w:drawing>
      </w:r>
      <w:r>
        <w:rPr>
          <w:rFonts w:ascii="微软雅黑" w:hAnsi="微软雅黑" w:eastAsia="微软雅黑" w:cs="微软雅黑"/>
          <w:sz w:val="30"/>
        </w:rPr>
        <w:t>大厅坐席员日常管理，平台值班值守工作。</w:t>
      </w:r>
      <w:r>
        <w:rPr>
          <w:rFonts w:ascii="微软雅黑" w:hAnsi="微软雅黑" w:eastAsia="微软雅黑" w:cs="微软雅黑"/>
          <w:sz w:val="28"/>
        </w:rPr>
        <w:t>人员编制5名，部长1名。</w:t>
      </w:r>
    </w:p>
    <w:p>
      <w:pPr>
        <w:widowControl/>
        <w:spacing w:after="55" w:line="249" w:lineRule="auto"/>
        <w:ind w:right="237"/>
        <w:rPr>
          <w:rFonts w:hint="default" w:ascii="微软雅黑" w:hAnsi="微软雅黑" w:eastAsia="微软雅黑" w:cs="微软雅黑"/>
          <w:sz w:val="30"/>
        </w:rPr>
      </w:pPr>
      <w:r>
        <w:rPr>
          <w:rFonts w:ascii="微软雅黑" w:hAnsi="微软雅黑" w:eastAsia="微软雅黑" w:cs="微软雅黑"/>
          <w:sz w:val="30"/>
        </w:rPr>
        <w:t>综合协调部。负责承担指挥大厅日常管理及应急指挥服务；负责保障中心网络、智慧城管（一网统管）、民意诉求等平台稳定运行。</w:t>
      </w:r>
    </w:p>
    <w:p>
      <w:pPr>
        <w:widowControl/>
        <w:spacing w:after="55" w:line="249" w:lineRule="auto"/>
        <w:ind w:right="237"/>
        <w:rPr>
          <w:rFonts w:hint="default" w:ascii="微软雅黑" w:hAnsi="微软雅黑" w:eastAsia="微软雅黑" w:cs="微软雅黑"/>
          <w:sz w:val="30"/>
        </w:rPr>
      </w:pPr>
      <w:r>
        <w:rPr>
          <w:rFonts w:ascii="微软雅黑" w:hAnsi="微软雅黑" w:eastAsia="微软雅黑" w:cs="微软雅黑"/>
          <w:sz w:val="30"/>
        </w:rPr>
        <w:t>人员编制5名，部长1名。</w:t>
      </w:r>
    </w:p>
    <w:p>
      <w:pPr>
        <w:widowControl/>
        <w:spacing w:after="3" w:line="249" w:lineRule="auto"/>
        <w:ind w:right="237"/>
        <w:rPr>
          <w:rFonts w:hint="default"/>
        </w:rPr>
      </w:pPr>
      <w:r>
        <w:rPr>
          <w:rFonts w:ascii="微软雅黑" w:hAnsi="微软雅黑" w:eastAsia="微软雅黑" w:cs="微软雅黑"/>
          <w:sz w:val="30"/>
        </w:rPr>
        <w:t>督导考评部。负责智慧城管（一网统管）、民意诉求</w:t>
      </w:r>
      <w:r>
        <w:drawing>
          <wp:inline distT="0" distB="0" distL="0" distR="0">
            <wp:extent cx="11430" cy="7620"/>
            <wp:effectExtent l="0" t="0" r="0" b="0"/>
            <wp:docPr id="11097" name="Picture 11097"/>
            <wp:cNvGraphicFramePr/>
            <a:graphic xmlns:a="http://schemas.openxmlformats.org/drawingml/2006/main">
              <a:graphicData uri="http://schemas.openxmlformats.org/drawingml/2006/picture">
                <pic:pic xmlns:pic="http://schemas.openxmlformats.org/drawingml/2006/picture">
                  <pic:nvPicPr>
                    <pic:cNvPr id="11097" name="Picture 11097"/>
                    <pic:cNvPicPr/>
                  </pic:nvPicPr>
                  <pic:blipFill>
                    <a:blip r:embed="rId10"/>
                    <a:stretch>
                      <a:fillRect/>
                    </a:stretch>
                  </pic:blipFill>
                  <pic:spPr>
                    <a:xfrm>
                      <a:off x="0" y="0"/>
                      <a:ext cx="11430" cy="7620"/>
                    </a:xfrm>
                    <a:prstGeom prst="rect">
                      <a:avLst/>
                    </a:prstGeom>
                  </pic:spPr>
                </pic:pic>
              </a:graphicData>
            </a:graphic>
          </wp:inline>
        </w:drawing>
      </w:r>
      <w:r>
        <w:rPr>
          <w:rFonts w:ascii="微软雅黑" w:hAnsi="微软雅黑" w:eastAsia="微软雅黑" w:cs="微软雅黑"/>
          <w:sz w:val="30"/>
        </w:rPr>
        <w:t>等平台案件办理工作的督查、督办及考核评价工作。建立12345 进社区工作监督体系。</w:t>
      </w:r>
      <w:r>
        <w:rPr>
          <w:rFonts w:ascii="微软雅黑" w:hAnsi="微软雅黑" w:eastAsia="微软雅黑" w:cs="微软雅黑"/>
          <w:sz w:val="28"/>
        </w:rPr>
        <w:t>人员编制6名，部长1名。</w:t>
      </w:r>
    </w:p>
    <w:p>
      <w:pPr>
        <w:widowControl/>
        <w:spacing w:after="74" w:line="249" w:lineRule="auto"/>
        <w:ind w:right="237"/>
        <w:rPr>
          <w:rFonts w:hint="default"/>
        </w:rPr>
      </w:pPr>
      <w:r>
        <w:rPr>
          <w:rFonts w:ascii="微软雅黑" w:hAnsi="微软雅黑" w:eastAsia="微软雅黑" w:cs="微软雅黑"/>
          <w:sz w:val="30"/>
        </w:rPr>
        <w:t>分析研判部。负责智慧城管（一网统管）、民意诉求等平台案件统计汇总工作；负责疑难案件分析研判工作；负责案件数据周报、月报、年报和专报编制工作；负责案件确责清单编制工作。</w:t>
      </w:r>
      <w:r>
        <w:rPr>
          <w:rFonts w:ascii="微软雅黑" w:hAnsi="微软雅黑" w:eastAsia="微软雅黑" w:cs="微软雅黑"/>
          <w:sz w:val="28"/>
        </w:rPr>
        <w:t>人员编制5名，部长1名。</w:t>
      </w:r>
    </w:p>
    <w:p>
      <w:pPr>
        <w:spacing w:after="40" w:line="249" w:lineRule="auto"/>
        <w:ind w:right="456"/>
        <w:rPr>
          <w:rFonts w:hint="default"/>
        </w:rPr>
      </w:pPr>
      <w:r>
        <w:rPr>
          <w:rFonts w:ascii="微软雅黑" w:hAnsi="微软雅黑" w:eastAsia="微软雅黑" w:cs="微软雅黑"/>
          <w:sz w:val="30"/>
        </w:rPr>
        <w:t>第五条区公共服务综合指挥中心设下列直属机构：街路网格管理部。负责划分智慧城管街路网格；负责组建街路网格巡查队伍，确定网格员巡查员职责；负责网格巡查员指导和培训工作。</w:t>
      </w:r>
      <w:r>
        <w:rPr>
          <w:rFonts w:ascii="微软雅黑" w:hAnsi="微软雅黑" w:eastAsia="微软雅黑" w:cs="微软雅黑"/>
          <w:sz w:val="28"/>
        </w:rPr>
        <w:t>人员编制5名，部长1名。</w:t>
      </w:r>
    </w:p>
    <w:p>
      <w:pPr>
        <w:spacing w:after="3" w:line="249" w:lineRule="auto"/>
        <w:ind w:right="414"/>
        <w:rPr>
          <w:rFonts w:hint="default" w:ascii="仿宋_GB2312" w:hAnsi="仿宋_GB2312" w:eastAsia="仿宋_GB2312" w:cs="仿宋_GB2312"/>
          <w:b/>
          <w:bCs/>
          <w:color w:val="FF0000"/>
          <w:sz w:val="32"/>
          <w:szCs w:val="32"/>
        </w:rPr>
      </w:pPr>
      <w:r>
        <w:rPr>
          <w:rFonts w:ascii="微软雅黑" w:hAnsi="微软雅黑" w:eastAsia="微软雅黑" w:cs="微软雅黑"/>
          <w:sz w:val="30"/>
        </w:rPr>
        <w:t>第六条区公共服务综合指挥中心核定全额拨款事业编制51 名。核定主任1名（正处级），副主任3名（副处级）；核定内设及直属机构领导职数10名（正科级8名、副科级2名）</w:t>
      </w:r>
      <w:r>
        <w:rPr>
          <w:rFonts w:ascii="黑体" w:eastAsia="黑体"/>
          <w:sz w:val="32"/>
        </w:rPr>
        <w:t>二、决算单位构成</w:t>
      </w:r>
    </w:p>
    <w:p>
      <w:pPr>
        <w:pStyle w:val="6"/>
        <w:spacing w:line="560" w:lineRule="exact"/>
        <w:ind w:firstLine="640"/>
        <w:rPr>
          <w:rFonts w:hint="default" w:ascii="仿宋_GB2312" w:eastAsia="仿宋_GB2312"/>
          <w:b w:val="0"/>
          <w:bCs w:val="0"/>
          <w:sz w:val="32"/>
          <w:szCs w:val="32"/>
        </w:rPr>
      </w:pPr>
      <w:r>
        <w:rPr>
          <w:rFonts w:ascii="仿宋_GB2312" w:eastAsia="仿宋_GB2312"/>
          <w:b w:val="0"/>
          <w:bCs w:val="0"/>
          <w:sz w:val="32"/>
          <w:szCs w:val="32"/>
        </w:rPr>
        <w:t>纳入本</w:t>
      </w:r>
      <w:r>
        <w:rPr>
          <w:rFonts w:hint="eastAsia" w:ascii="仿宋_GB2312" w:eastAsia="仿宋_GB2312"/>
          <w:b w:val="0"/>
          <w:bCs w:val="0"/>
          <w:sz w:val="32"/>
          <w:szCs w:val="32"/>
          <w:lang w:eastAsia="zh-CN"/>
        </w:rPr>
        <w:t>部门</w:t>
      </w:r>
      <w:r>
        <w:rPr>
          <w:rFonts w:ascii="仿宋_GB2312" w:eastAsia="仿宋_GB2312"/>
          <w:b w:val="0"/>
          <w:bCs w:val="0"/>
          <w:sz w:val="32"/>
          <w:szCs w:val="32"/>
        </w:rPr>
        <w:t>2022年决算编制范围的是浑南区公共服务综合指挥中心本级，本</w:t>
      </w:r>
      <w:r>
        <w:rPr>
          <w:rFonts w:hint="eastAsia" w:ascii="仿宋_GB2312" w:eastAsia="仿宋_GB2312"/>
          <w:b w:val="0"/>
          <w:bCs w:val="0"/>
          <w:sz w:val="32"/>
          <w:szCs w:val="32"/>
          <w:lang w:eastAsia="zh-CN"/>
        </w:rPr>
        <w:t>部门</w:t>
      </w:r>
      <w:r>
        <w:rPr>
          <w:rFonts w:ascii="仿宋_GB2312" w:eastAsia="仿宋_GB2312"/>
          <w:b w:val="0"/>
          <w:bCs w:val="0"/>
          <w:sz w:val="32"/>
          <w:szCs w:val="32"/>
        </w:rPr>
        <w:t>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第二部分 浑南区公共服务综合指挥中心2022年决算情况说明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2664</w:t>
      </w:r>
      <w:r>
        <w:rPr>
          <w:rFonts w:ascii="楷体_GB2312" w:eastAsia="楷体_GB2312"/>
          <w:b/>
          <w:sz w:val="32"/>
        </w:rPr>
        <w:t>万元，包含年初结转结余金额0</w:t>
      </w:r>
      <w:r>
        <w:rPr>
          <w:rFonts w:hint="default" w:ascii="楷体_GB2312" w:eastAsia="楷体_GB2312"/>
          <w:b/>
          <w:sz w:val="32"/>
        </w:rPr>
        <w:t>.5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2663.5</w:t>
      </w:r>
      <w:r>
        <w:rPr>
          <w:rFonts w:ascii="仿宋_GB2312" w:eastAsia="仿宋_GB2312"/>
          <w:sz w:val="32"/>
        </w:rPr>
        <w:t>万元，占收入总计的</w:t>
      </w:r>
      <w:r>
        <w:rPr>
          <w:rFonts w:hint="default" w:ascii="仿宋_GB2312" w:eastAsia="仿宋_GB2312"/>
          <w:sz w:val="32"/>
        </w:rPr>
        <w:t>99.98</w:t>
      </w:r>
      <w:r>
        <w:rPr>
          <w:rFonts w:ascii="仿宋_GB2312" w:eastAsia="仿宋_GB2312"/>
          <w:sz w:val="32"/>
        </w:rPr>
        <w:t>%。其中：一般公共预算财政拨款收入</w:t>
      </w:r>
      <w:r>
        <w:rPr>
          <w:rFonts w:hint="default" w:ascii="仿宋_GB2312" w:eastAsia="仿宋_GB2312"/>
          <w:sz w:val="32"/>
        </w:rPr>
        <w:t>2663.5</w:t>
      </w:r>
      <w:r>
        <w:rPr>
          <w:rFonts w:ascii="仿宋_GB2312" w:eastAsia="仿宋_GB2312"/>
          <w:sz w:val="32"/>
        </w:rPr>
        <w:t>万元，政府性基金收入</w:t>
      </w:r>
      <w:r>
        <w:rPr>
          <w:rFonts w:hint="default" w:ascii="仿宋_GB2312" w:eastAsia="仿宋_GB2312"/>
          <w:sz w:val="32"/>
        </w:rPr>
        <w:t>0</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6"/>
        <w:spacing w:line="560" w:lineRule="exact"/>
        <w:ind w:firstLine="640" w:firstLineChars="20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default" w:ascii="仿宋_GB2312" w:eastAsia="仿宋_GB2312"/>
          <w:sz w:val="32"/>
        </w:rPr>
        <w:t>0.5</w:t>
      </w:r>
      <w:r>
        <w:rPr>
          <w:rFonts w:ascii="仿宋_GB2312" w:eastAsia="仿宋_GB2312"/>
          <w:sz w:val="32"/>
        </w:rPr>
        <w:t>万元，占收入总计的</w:t>
      </w:r>
      <w:r>
        <w:rPr>
          <w:rFonts w:hint="default" w:ascii="仿宋_GB2312" w:eastAsia="仿宋_GB2312"/>
          <w:sz w:val="32"/>
        </w:rPr>
        <w:t>0.02</w:t>
      </w:r>
      <w:r>
        <w:rPr>
          <w:rFonts w:ascii="仿宋_GB2312" w:eastAsia="仿宋_GB2312"/>
          <w:sz w:val="32"/>
        </w:rPr>
        <w:t>%。主要是上年拨付的党建经费未支出。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与上年相比，今年收入减少</w:t>
      </w:r>
      <w:r>
        <w:rPr>
          <w:rFonts w:hint="default" w:ascii="仿宋_GB2312" w:eastAsia="仿宋_GB2312"/>
          <w:sz w:val="32"/>
        </w:rPr>
        <w:t>1896.51</w:t>
      </w:r>
      <w:r>
        <w:rPr>
          <w:rFonts w:ascii="仿宋_GB2312" w:eastAsia="仿宋_GB2312"/>
          <w:sz w:val="32"/>
        </w:rPr>
        <w:t>万元，降低</w:t>
      </w:r>
      <w:r>
        <w:rPr>
          <w:rFonts w:hint="default" w:ascii="仿宋_GB2312" w:eastAsia="仿宋_GB2312"/>
          <w:sz w:val="32"/>
        </w:rPr>
        <w:t>41.58</w:t>
      </w:r>
      <w:r>
        <w:rPr>
          <w:rFonts w:ascii="仿宋_GB2312" w:eastAsia="仿宋_GB2312"/>
          <w:sz w:val="32"/>
        </w:rPr>
        <w:t>%，主要原因：</w:t>
      </w:r>
      <w:r>
        <w:rPr>
          <w:rFonts w:ascii="黑体" w:eastAsia="黑体"/>
          <w:sz w:val="32"/>
        </w:rPr>
        <w:t>一是事业单位改革，机构重整</w:t>
      </w:r>
      <w:r>
        <w:rPr>
          <w:rFonts w:ascii="仿宋_GB2312" w:eastAsia="仿宋_GB2312"/>
          <w:sz w:val="32"/>
        </w:rPr>
        <w:t>；</w:t>
      </w:r>
      <w:r>
        <w:rPr>
          <w:rFonts w:ascii="黑体" w:eastAsia="黑体"/>
          <w:sz w:val="32"/>
        </w:rPr>
        <w:t>二是人员调转减少</w:t>
      </w:r>
      <w:r>
        <w:rPr>
          <w:rFonts w:ascii="仿宋_GB2312" w:eastAsia="仿宋_GB2312"/>
          <w:sz w:val="32"/>
        </w:rPr>
        <w:t>。</w:t>
      </w:r>
    </w:p>
    <w:p>
      <w:pPr>
        <w:pStyle w:val="6"/>
        <w:spacing w:line="560" w:lineRule="exact"/>
        <w:ind w:firstLine="660"/>
        <w:rPr>
          <w:rFonts w:hint="default" w:ascii="仿宋_GB2312" w:eastAsia="仿宋_GB2312"/>
          <w:sz w:val="32"/>
        </w:rPr>
      </w:pPr>
      <w:r>
        <w:rPr>
          <w:rFonts w:ascii="楷体_GB2312" w:eastAsia="楷体_GB2312"/>
          <w:b/>
          <w:sz w:val="32"/>
        </w:rPr>
        <w:t>（二）支出总计</w:t>
      </w:r>
      <w:r>
        <w:rPr>
          <w:rFonts w:hint="default" w:ascii="楷体_GB2312" w:eastAsia="楷体_GB2312"/>
          <w:b/>
          <w:sz w:val="32"/>
        </w:rPr>
        <w:t>2664</w:t>
      </w:r>
      <w:r>
        <w:rPr>
          <w:rFonts w:ascii="楷体_GB2312" w:eastAsia="楷体_GB2312"/>
          <w:b/>
          <w:sz w:val="32"/>
        </w:rPr>
        <w:t>万元，包括：</w:t>
      </w:r>
      <w:r>
        <w:rPr>
          <w:rFonts w:ascii="仿宋_GB2312" w:eastAsia="仿宋_GB2312"/>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default" w:ascii="仿宋_GB2312" w:eastAsia="仿宋_GB2312"/>
          <w:sz w:val="32"/>
        </w:rPr>
        <w:t>1497.46</w:t>
      </w:r>
      <w:r>
        <w:rPr>
          <w:rFonts w:ascii="仿宋_GB2312" w:eastAsia="仿宋_GB2312"/>
          <w:sz w:val="32"/>
        </w:rPr>
        <w:t>万元，占支出总计的</w:t>
      </w:r>
      <w:r>
        <w:rPr>
          <w:rFonts w:hint="default" w:ascii="仿宋_GB2312" w:eastAsia="仿宋_GB2312"/>
          <w:sz w:val="32"/>
        </w:rPr>
        <w:t>56.23</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1389.27</w:t>
      </w:r>
      <w:r>
        <w:rPr>
          <w:rFonts w:ascii="仿宋_GB2312" w:eastAsia="仿宋_GB2312"/>
          <w:sz w:val="32"/>
        </w:rPr>
        <w:t>万元，对个人和家庭的补助支出</w:t>
      </w:r>
      <w:r>
        <w:rPr>
          <w:rFonts w:hint="default" w:ascii="仿宋_GB2312" w:eastAsia="仿宋_GB2312"/>
          <w:sz w:val="32"/>
        </w:rPr>
        <w:t>3.03</w:t>
      </w:r>
      <w:r>
        <w:rPr>
          <w:rFonts w:ascii="仿宋_GB2312" w:eastAsia="仿宋_GB2312"/>
          <w:sz w:val="32"/>
        </w:rPr>
        <w:t>万元，商品和服务支出</w:t>
      </w:r>
      <w:r>
        <w:rPr>
          <w:rFonts w:hint="default" w:ascii="仿宋_GB2312" w:eastAsia="仿宋_GB2312"/>
          <w:sz w:val="32"/>
        </w:rPr>
        <w:t>86.12</w:t>
      </w:r>
      <w:r>
        <w:rPr>
          <w:rFonts w:ascii="仿宋_GB2312" w:eastAsia="仿宋_GB2312"/>
          <w:sz w:val="32"/>
        </w:rPr>
        <w:t>万元，资本性支出1</w:t>
      </w:r>
      <w:r>
        <w:rPr>
          <w:rFonts w:hint="default" w:ascii="仿宋_GB2312" w:eastAsia="仿宋_GB2312"/>
          <w:sz w:val="32"/>
        </w:rPr>
        <w:t>9.05</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1166.05</w:t>
      </w:r>
      <w:r>
        <w:rPr>
          <w:rFonts w:ascii="仿宋_GB2312" w:eastAsia="仿宋_GB2312"/>
          <w:sz w:val="32"/>
        </w:rPr>
        <w:t>万元，占支出总计的</w:t>
      </w:r>
      <w:r>
        <w:rPr>
          <w:rFonts w:hint="default" w:ascii="仿宋_GB2312" w:eastAsia="仿宋_GB2312"/>
          <w:sz w:val="32"/>
        </w:rPr>
        <w:t>43.77</w:t>
      </w:r>
      <w:r>
        <w:rPr>
          <w:rFonts w:ascii="仿宋_GB2312" w:eastAsia="仿宋_GB2312"/>
          <w:sz w:val="32"/>
        </w:rPr>
        <w:t>%。主要包括其他应急管理支出和其他城乡社区公共设施支出业务支出。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w:t>
      </w:r>
      <w:r>
        <w:rPr>
          <w:rFonts w:hint="default" w:ascii="仿宋_GB2312" w:eastAsia="仿宋_GB2312"/>
          <w:sz w:val="32"/>
        </w:rPr>
        <w:t>1896.01</w:t>
      </w:r>
      <w:r>
        <w:rPr>
          <w:rFonts w:ascii="仿宋_GB2312" w:eastAsia="仿宋_GB2312"/>
          <w:sz w:val="32"/>
        </w:rPr>
        <w:t>万元，降低</w:t>
      </w:r>
      <w:r>
        <w:rPr>
          <w:rFonts w:hint="default" w:ascii="仿宋_GB2312" w:eastAsia="仿宋_GB2312"/>
          <w:sz w:val="32"/>
        </w:rPr>
        <w:t>41.58</w:t>
      </w:r>
      <w:r>
        <w:rPr>
          <w:rFonts w:ascii="仿宋_GB2312" w:eastAsia="仿宋_GB2312"/>
          <w:sz w:val="32"/>
        </w:rPr>
        <w:t>%，主要原因：</w:t>
      </w:r>
      <w:r>
        <w:rPr>
          <w:rFonts w:ascii="黑体" w:eastAsia="黑体"/>
          <w:sz w:val="32"/>
        </w:rPr>
        <w:t>一是事业单位改革，机构重整</w:t>
      </w:r>
      <w:r>
        <w:rPr>
          <w:rFonts w:ascii="仿宋_GB2312" w:eastAsia="仿宋_GB2312"/>
          <w:sz w:val="32"/>
        </w:rPr>
        <w:t>；</w:t>
      </w:r>
      <w:r>
        <w:rPr>
          <w:rFonts w:ascii="黑体" w:eastAsia="黑体"/>
          <w:sz w:val="32"/>
        </w:rPr>
        <w:t>二是人员调转减少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w:t>
      </w:r>
      <w:r>
        <w:rPr>
          <w:rFonts w:hint="default" w:ascii="楷体_GB2312" w:eastAsia="楷体_GB2312"/>
          <w:b/>
          <w:sz w:val="32"/>
        </w:rPr>
        <w:t>.5</w:t>
      </w:r>
      <w:r>
        <w:rPr>
          <w:rFonts w:ascii="楷体_GB2312" w:eastAsia="楷体_GB2312"/>
          <w:b/>
          <w:sz w:val="32"/>
        </w:rPr>
        <w:t>万元</w:t>
      </w:r>
    </w:p>
    <w:p>
      <w:pPr>
        <w:spacing w:line="540" w:lineRule="exact"/>
        <w:ind w:firstLine="660"/>
        <w:rPr>
          <w:rFonts w:hint="default" w:ascii="仿宋_GB2312" w:hAnsi="宋体" w:eastAsia="仿宋_GB2312"/>
          <w:sz w:val="32"/>
          <w:szCs w:val="32"/>
        </w:rPr>
      </w:pPr>
      <w:r>
        <w:rPr>
          <w:rFonts w:ascii="仿宋_GB2312" w:eastAsia="仿宋_GB2312"/>
          <w:sz w:val="32"/>
        </w:rPr>
        <w:t>主要是</w:t>
      </w:r>
      <w:r>
        <w:rPr>
          <w:rFonts w:ascii="仿宋_GB2312" w:hAnsi="宋体" w:eastAsia="仿宋_GB2312"/>
          <w:sz w:val="32"/>
          <w:szCs w:val="32"/>
        </w:rPr>
        <w:t>区组织部转让“党支部规范化建设示范点”经费未使用形成的结余。与上年相比，今年结转结余与上年持平。</w:t>
      </w:r>
    </w:p>
    <w:p>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hint="default" w:ascii="仿宋_GB2312" w:eastAsia="仿宋_GB2312"/>
          <w:sz w:val="32"/>
        </w:rPr>
        <w:t>2663.5</w:t>
      </w:r>
      <w:r>
        <w:rPr>
          <w:rFonts w:ascii="仿宋_GB2312" w:eastAsia="仿宋_GB2312"/>
          <w:sz w:val="32"/>
        </w:rPr>
        <w:t>万元，其中：基本支出</w:t>
      </w:r>
      <w:r>
        <w:rPr>
          <w:rFonts w:hint="default" w:ascii="仿宋_GB2312" w:eastAsia="仿宋_GB2312"/>
          <w:sz w:val="32"/>
        </w:rPr>
        <w:t>1497.46</w:t>
      </w:r>
      <w:r>
        <w:rPr>
          <w:rFonts w:ascii="仿宋_GB2312" w:eastAsia="仿宋_GB2312"/>
          <w:sz w:val="32"/>
        </w:rPr>
        <w:t>万元，项目支出</w:t>
      </w:r>
      <w:r>
        <w:rPr>
          <w:rFonts w:hint="default" w:ascii="仿宋_GB2312" w:eastAsia="仿宋_GB2312"/>
          <w:sz w:val="32"/>
        </w:rPr>
        <w:t>1166.05</w:t>
      </w:r>
      <w:r>
        <w:rPr>
          <w:rFonts w:ascii="仿宋_GB2312" w:eastAsia="仿宋_GB2312"/>
          <w:sz w:val="32"/>
        </w:rPr>
        <w:t>万元。与上年相比，财政拨款支出减少</w:t>
      </w:r>
      <w:r>
        <w:rPr>
          <w:rFonts w:hint="default" w:ascii="仿宋_GB2312" w:eastAsia="仿宋_GB2312"/>
          <w:sz w:val="32"/>
        </w:rPr>
        <w:t>1896.01</w:t>
      </w:r>
      <w:r>
        <w:rPr>
          <w:rFonts w:ascii="仿宋_GB2312" w:eastAsia="仿宋_GB2312"/>
          <w:sz w:val="32"/>
        </w:rPr>
        <w:t>万元，降低</w:t>
      </w:r>
      <w:r>
        <w:rPr>
          <w:rFonts w:hint="default" w:ascii="仿宋_GB2312" w:eastAsia="仿宋_GB2312"/>
          <w:sz w:val="32"/>
        </w:rPr>
        <w:t>41.58</w:t>
      </w:r>
      <w:r>
        <w:rPr>
          <w:rFonts w:ascii="仿宋_GB2312" w:eastAsia="仿宋_GB2312"/>
          <w:sz w:val="32"/>
        </w:rPr>
        <w:t>%，主要原因：</w:t>
      </w:r>
      <w:r>
        <w:rPr>
          <w:rFonts w:ascii="黑体" w:eastAsia="黑体"/>
          <w:sz w:val="32"/>
        </w:rPr>
        <w:t>一是事业单位改革，机构重整</w:t>
      </w:r>
      <w:r>
        <w:rPr>
          <w:rFonts w:ascii="仿宋_GB2312" w:eastAsia="仿宋_GB2312"/>
          <w:sz w:val="32"/>
        </w:rPr>
        <w:t>；</w:t>
      </w:r>
      <w:r>
        <w:rPr>
          <w:rFonts w:ascii="黑体" w:eastAsia="黑体"/>
          <w:sz w:val="32"/>
        </w:rPr>
        <w:t>二是人员调转减少</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与年初预算相比，2022年度财政拨款支出完成年初预算的</w:t>
      </w:r>
      <w:r>
        <w:rPr>
          <w:rFonts w:hint="default" w:ascii="仿宋_GB2312" w:eastAsia="仿宋_GB2312"/>
          <w:sz w:val="32"/>
        </w:rPr>
        <w:t>100</w:t>
      </w:r>
      <w:r>
        <w:rPr>
          <w:rFonts w:ascii="仿宋_GB2312" w:eastAsia="仿宋_GB2312"/>
          <w:sz w:val="32"/>
        </w:rPr>
        <w:t>%，其中：基本支出完成年初预算的</w:t>
      </w:r>
      <w:r>
        <w:rPr>
          <w:rFonts w:hint="default" w:ascii="仿宋_GB2312" w:eastAsia="仿宋_GB2312"/>
          <w:sz w:val="32"/>
        </w:rPr>
        <w:t>100</w:t>
      </w:r>
      <w:r>
        <w:rPr>
          <w:rFonts w:ascii="仿宋_GB2312" w:eastAsia="仿宋_GB2312"/>
          <w:sz w:val="32"/>
        </w:rPr>
        <w:t>%，项目支出完成年初预算的</w:t>
      </w:r>
      <w:r>
        <w:rPr>
          <w:rFonts w:hint="default" w:ascii="仿宋_GB2312" w:eastAsia="仿宋_GB2312"/>
          <w:sz w:val="32"/>
        </w:rPr>
        <w:t>100</w:t>
      </w:r>
      <w:r>
        <w:rPr>
          <w:rFonts w:ascii="仿宋_GB2312" w:eastAsia="仿宋_GB2312"/>
          <w:sz w:val="32"/>
        </w:rPr>
        <w:t>%。</w:t>
      </w:r>
    </w:p>
    <w:p>
      <w:pPr>
        <w:pStyle w:val="6"/>
        <w:spacing w:line="560" w:lineRule="exact"/>
        <w:ind w:firstLine="660"/>
        <w:rPr>
          <w:rFonts w:hint="default" w:ascii="仿宋_GB2312" w:eastAsia="仿宋_GB2312"/>
          <w:sz w:val="32"/>
        </w:rPr>
      </w:pP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widowControl/>
        <w:rPr>
          <w:rFonts w:hint="default" w:ascii="宋体" w:hAnsi="宋体" w:cs="Arial"/>
          <w:color w:val="000000"/>
          <w:kern w:val="0"/>
          <w:sz w:val="22"/>
        </w:rPr>
      </w:pPr>
      <w:r>
        <w:rPr>
          <w:rFonts w:ascii="仿宋_GB2312" w:hAnsi="宋体" w:eastAsia="仿宋_GB2312"/>
          <w:sz w:val="32"/>
          <w:szCs w:val="32"/>
        </w:rPr>
        <w:t>2022年度一般公共预算财政拨款支出2</w:t>
      </w:r>
      <w:r>
        <w:rPr>
          <w:rFonts w:hint="default" w:ascii="仿宋_GB2312" w:hAnsi="宋体" w:eastAsia="仿宋_GB2312"/>
          <w:sz w:val="32"/>
          <w:szCs w:val="32"/>
        </w:rPr>
        <w:t>663.5</w:t>
      </w:r>
      <w:r>
        <w:rPr>
          <w:rFonts w:ascii="仿宋_GB2312" w:hAnsi="宋体" w:eastAsia="仿宋_GB2312"/>
          <w:sz w:val="32"/>
          <w:szCs w:val="32"/>
        </w:rPr>
        <w:t>万元，按支出功能分类科目分，包括：</w:t>
      </w:r>
      <w:r>
        <w:rPr>
          <w:rFonts w:ascii="仿宋_GB2312" w:hAnsi="仿宋_GB2312" w:eastAsia="仿宋_GB2312" w:cs="仿宋_GB2312"/>
          <w:sz w:val="32"/>
          <w:szCs w:val="32"/>
        </w:rPr>
        <w:t>社会保障和就业支出</w:t>
      </w:r>
      <w:r>
        <w:rPr>
          <w:rFonts w:hint="default" w:ascii="仿宋_GB2312" w:hAnsi="宋体" w:eastAsia="仿宋_GB2312"/>
          <w:sz w:val="32"/>
        </w:rPr>
        <w:t>125.17</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4.70</w:t>
      </w:r>
      <w:r>
        <w:rPr>
          <w:rFonts w:ascii="仿宋_GB2312" w:hAnsi="宋体" w:eastAsia="仿宋_GB2312"/>
          <w:sz w:val="32"/>
          <w:szCs w:val="32"/>
        </w:rPr>
        <w:t>%；</w:t>
      </w:r>
      <w:r>
        <w:rPr>
          <w:rFonts w:ascii="仿宋_GB2312" w:hAnsi="仿宋_GB2312" w:eastAsia="仿宋_GB2312" w:cs="仿宋_GB2312"/>
          <w:sz w:val="32"/>
          <w:szCs w:val="32"/>
        </w:rPr>
        <w:t>卫生健康支出</w:t>
      </w:r>
      <w:r>
        <w:rPr>
          <w:rFonts w:ascii="仿宋_GB2312" w:hAnsi="宋体" w:eastAsia="仿宋_GB2312"/>
          <w:sz w:val="32"/>
        </w:rPr>
        <w:t>4</w:t>
      </w:r>
      <w:r>
        <w:rPr>
          <w:rFonts w:hint="default" w:ascii="仿宋_GB2312" w:hAnsi="宋体" w:eastAsia="仿宋_GB2312"/>
          <w:sz w:val="32"/>
        </w:rPr>
        <w:t>8</w:t>
      </w:r>
      <w:r>
        <w:rPr>
          <w:rFonts w:ascii="仿宋_GB2312" w:hAnsi="宋体" w:eastAsia="仿宋_GB2312"/>
          <w:sz w:val="32"/>
        </w:rPr>
        <w:t>.</w:t>
      </w:r>
      <w:r>
        <w:rPr>
          <w:rFonts w:hint="default" w:ascii="仿宋_GB2312" w:hAnsi="宋体" w:eastAsia="仿宋_GB2312"/>
          <w:sz w:val="32"/>
        </w:rPr>
        <w:t>59</w:t>
      </w:r>
      <w:r>
        <w:rPr>
          <w:rFonts w:ascii="仿宋_GB2312" w:hAnsi="仿宋_GB2312" w:eastAsia="仿宋_GB2312" w:cs="仿宋_GB2312"/>
          <w:sz w:val="32"/>
          <w:szCs w:val="32"/>
        </w:rPr>
        <w:t>万元，</w:t>
      </w:r>
      <w:r>
        <w:rPr>
          <w:rFonts w:ascii="仿宋_GB2312" w:hAnsi="宋体" w:eastAsia="仿宋_GB2312"/>
          <w:sz w:val="32"/>
          <w:szCs w:val="32"/>
        </w:rPr>
        <w:t>占1.</w:t>
      </w:r>
      <w:r>
        <w:rPr>
          <w:rFonts w:hint="default" w:ascii="仿宋_GB2312" w:hAnsi="宋体" w:eastAsia="仿宋_GB2312"/>
          <w:sz w:val="32"/>
          <w:szCs w:val="32"/>
        </w:rPr>
        <w:t>82</w:t>
      </w:r>
      <w:r>
        <w:rPr>
          <w:rFonts w:ascii="仿宋_GB2312" w:hAnsi="宋体" w:eastAsia="仿宋_GB2312"/>
          <w:sz w:val="32"/>
          <w:szCs w:val="32"/>
        </w:rPr>
        <w:t>%；</w:t>
      </w:r>
      <w:r>
        <w:rPr>
          <w:rFonts w:ascii="仿宋_GB2312" w:hAnsi="仿宋_GB2312" w:eastAsia="仿宋_GB2312" w:cs="仿宋_GB2312"/>
          <w:sz w:val="32"/>
          <w:szCs w:val="32"/>
        </w:rPr>
        <w:t>城乡社区支出</w:t>
      </w:r>
      <w:r>
        <w:rPr>
          <w:rFonts w:hint="default" w:ascii="仿宋_GB2312" w:hAnsi="宋体" w:eastAsia="仿宋_GB2312"/>
          <w:sz w:val="32"/>
        </w:rPr>
        <w:t>60.06</w:t>
      </w:r>
      <w:r>
        <w:rPr>
          <w:rFonts w:ascii="仿宋_GB2312" w:hAnsi="宋体" w:eastAsia="仿宋_GB2312"/>
          <w:sz w:val="32"/>
        </w:rPr>
        <w:t>万</w:t>
      </w:r>
      <w:r>
        <w:rPr>
          <w:rFonts w:ascii="仿宋_GB2312" w:hAnsi="仿宋_GB2312" w:eastAsia="仿宋_GB2312" w:cs="仿宋_GB2312"/>
          <w:sz w:val="32"/>
          <w:szCs w:val="32"/>
        </w:rPr>
        <w:t>元，</w:t>
      </w:r>
      <w:r>
        <w:rPr>
          <w:rFonts w:ascii="仿宋_GB2312" w:hAnsi="宋体" w:eastAsia="仿宋_GB2312"/>
          <w:sz w:val="32"/>
          <w:szCs w:val="32"/>
        </w:rPr>
        <w:t>占</w:t>
      </w:r>
      <w:r>
        <w:rPr>
          <w:rFonts w:hint="default" w:ascii="仿宋_GB2312" w:hAnsi="宋体" w:eastAsia="仿宋_GB2312"/>
          <w:sz w:val="32"/>
          <w:szCs w:val="32"/>
        </w:rPr>
        <w:t>2.25</w:t>
      </w:r>
      <w:r>
        <w:rPr>
          <w:rFonts w:ascii="仿宋_GB2312" w:hAnsi="宋体" w:eastAsia="仿宋_GB2312"/>
          <w:sz w:val="32"/>
          <w:szCs w:val="32"/>
        </w:rPr>
        <w:t>%；</w:t>
      </w:r>
      <w:r>
        <w:rPr>
          <w:rFonts w:ascii="仿宋_GB2312" w:hAnsi="仿宋_GB2312" w:eastAsia="仿宋_GB2312" w:cs="仿宋_GB2312"/>
          <w:sz w:val="32"/>
          <w:szCs w:val="32"/>
        </w:rPr>
        <w:t>住房保障支出</w:t>
      </w:r>
      <w:r>
        <w:rPr>
          <w:rFonts w:ascii="仿宋_GB2312" w:hAnsi="宋体" w:eastAsia="仿宋_GB2312"/>
          <w:sz w:val="32"/>
        </w:rPr>
        <w:t>1</w:t>
      </w:r>
      <w:r>
        <w:rPr>
          <w:rFonts w:hint="default" w:ascii="仿宋_GB2312" w:hAnsi="宋体" w:eastAsia="仿宋_GB2312"/>
          <w:sz w:val="32"/>
        </w:rPr>
        <w:t>5</w:t>
      </w:r>
      <w:r>
        <w:rPr>
          <w:rFonts w:ascii="仿宋_GB2312" w:hAnsi="宋体" w:eastAsia="仿宋_GB2312"/>
          <w:sz w:val="32"/>
        </w:rPr>
        <w:t>0.</w:t>
      </w:r>
      <w:r>
        <w:rPr>
          <w:rFonts w:hint="default" w:ascii="仿宋_GB2312" w:hAnsi="宋体" w:eastAsia="仿宋_GB2312"/>
          <w:sz w:val="32"/>
        </w:rPr>
        <w:t>32</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5.65</w:t>
      </w:r>
      <w:r>
        <w:rPr>
          <w:rFonts w:ascii="仿宋_GB2312" w:hAnsi="宋体" w:eastAsia="仿宋_GB2312"/>
          <w:sz w:val="32"/>
          <w:szCs w:val="32"/>
        </w:rPr>
        <w:t>%；</w:t>
      </w:r>
      <w:r>
        <w:rPr>
          <w:rFonts w:ascii="仿宋_GB2312" w:hAnsi="仿宋_GB2312" w:eastAsia="仿宋_GB2312" w:cs="仿宋_GB2312"/>
          <w:sz w:val="32"/>
          <w:szCs w:val="32"/>
        </w:rPr>
        <w:t>灾害防治及应急管理支出</w:t>
      </w:r>
      <w:r>
        <w:rPr>
          <w:rFonts w:hint="default" w:ascii="仿宋_GB2312" w:hAnsi="宋体" w:eastAsia="仿宋_GB2312"/>
          <w:sz w:val="32"/>
        </w:rPr>
        <w:t>2279.38</w:t>
      </w:r>
      <w:r>
        <w:rPr>
          <w:rFonts w:ascii="仿宋_GB2312" w:hAnsi="仿宋_GB2312" w:eastAsia="仿宋_GB2312" w:cs="仿宋_GB2312"/>
          <w:sz w:val="32"/>
          <w:szCs w:val="32"/>
        </w:rPr>
        <w:t>万元，</w:t>
      </w:r>
      <w:r>
        <w:rPr>
          <w:rFonts w:ascii="仿宋_GB2312" w:hAnsi="宋体" w:eastAsia="仿宋_GB2312"/>
          <w:sz w:val="32"/>
          <w:szCs w:val="32"/>
        </w:rPr>
        <w:t>占</w:t>
      </w:r>
      <w:r>
        <w:rPr>
          <w:rFonts w:hint="default" w:ascii="仿宋_GB2312" w:hAnsi="宋体" w:eastAsia="仿宋_GB2312"/>
          <w:sz w:val="32"/>
          <w:szCs w:val="32"/>
        </w:rPr>
        <w:t>85.58</w:t>
      </w:r>
      <w:r>
        <w:rPr>
          <w:rFonts w:ascii="仿宋_GB2312" w:hAnsi="宋体" w:eastAsia="仿宋_GB2312"/>
          <w:sz w:val="32"/>
          <w:szCs w:val="32"/>
        </w:rPr>
        <w:t>%。</w:t>
      </w:r>
    </w:p>
    <w:p>
      <w:pPr>
        <w:pStyle w:val="6"/>
        <w:numPr>
          <w:ilvl w:val="0"/>
          <w:numId w:val="2"/>
        </w:numPr>
        <w:spacing w:line="560" w:lineRule="atLeast"/>
        <w:ind w:firstLine="660"/>
        <w:rPr>
          <w:rFonts w:hint="default" w:ascii="仿宋_GB2312" w:hAnsi="仿宋_GB2312" w:eastAsia="仿宋_GB2312" w:cs="仿宋_GB2312"/>
          <w:sz w:val="32"/>
          <w:szCs w:val="32"/>
        </w:rPr>
      </w:pPr>
      <w:r>
        <w:rPr>
          <w:rFonts w:ascii="仿宋_GB2312" w:hAnsi="仿宋_GB2312" w:eastAsia="仿宋_GB2312" w:cs="仿宋_GB2312"/>
          <w:sz w:val="32"/>
          <w:szCs w:val="32"/>
        </w:rPr>
        <w:t>社会保障和就业支出</w:t>
      </w:r>
      <w:r>
        <w:rPr>
          <w:rFonts w:hint="default" w:ascii="仿宋_GB2312" w:eastAsia="仿宋_GB2312"/>
          <w:sz w:val="32"/>
        </w:rPr>
        <w:t>125</w:t>
      </w:r>
      <w:r>
        <w:rPr>
          <w:rFonts w:ascii="仿宋_GB2312" w:eastAsia="仿宋_GB2312"/>
          <w:sz w:val="32"/>
        </w:rPr>
        <w:t>.</w:t>
      </w:r>
      <w:r>
        <w:rPr>
          <w:rFonts w:hint="default" w:ascii="仿宋_GB2312" w:eastAsia="仿宋_GB2312"/>
          <w:sz w:val="32"/>
        </w:rPr>
        <w:t>1</w:t>
      </w:r>
      <w:r>
        <w:rPr>
          <w:rFonts w:ascii="仿宋_GB2312" w:eastAsia="仿宋_GB2312"/>
          <w:sz w:val="32"/>
        </w:rPr>
        <w:t>7</w:t>
      </w:r>
      <w:r>
        <w:rPr>
          <w:rFonts w:ascii="仿宋_GB2312" w:hAnsi="仿宋_GB2312" w:eastAsia="仿宋_GB2312" w:cs="仿宋_GB2312"/>
          <w:sz w:val="32"/>
          <w:szCs w:val="32"/>
        </w:rPr>
        <w:t>万元，包括：</w:t>
      </w:r>
    </w:p>
    <w:p>
      <w:pPr>
        <w:widowControl/>
        <w:rPr>
          <w:rFonts w:hint="default" w:ascii="宋体" w:hAnsi="宋体" w:cs="Arial"/>
          <w:color w:val="000000"/>
          <w:kern w:val="0"/>
          <w:sz w:val="22"/>
        </w:rPr>
      </w:pPr>
      <w:r>
        <w:rPr>
          <w:rFonts w:ascii="仿宋_GB2312" w:hAnsi="仿宋_GB2312" w:eastAsia="仿宋_GB2312" w:cs="仿宋_GB2312"/>
          <w:sz w:val="32"/>
          <w:szCs w:val="32"/>
        </w:rPr>
        <w:t>（1）</w:t>
      </w:r>
      <w:r>
        <w:rPr>
          <w:rFonts w:ascii="仿宋_GB2312" w:hAnsi="宋体" w:eastAsia="仿宋_GB2312"/>
          <w:sz w:val="32"/>
          <w:szCs w:val="32"/>
        </w:rPr>
        <w:t>社会保障和就业支出，</w:t>
      </w:r>
      <w:r>
        <w:rPr>
          <w:rFonts w:ascii="仿宋_GB2312" w:hAnsi="仿宋_GB2312" w:eastAsia="仿宋_GB2312" w:cs="仿宋_GB2312"/>
          <w:sz w:val="32"/>
          <w:szCs w:val="32"/>
        </w:rPr>
        <w:t>机关事业单位基本养老保险缴费支出</w:t>
      </w:r>
      <w:r>
        <w:rPr>
          <w:rFonts w:hint="default" w:ascii="仿宋_GB2312" w:hAnsi="宋体" w:eastAsia="仿宋_GB2312"/>
          <w:sz w:val="32"/>
        </w:rPr>
        <w:t>117.86</w:t>
      </w:r>
      <w:r>
        <w:rPr>
          <w:rFonts w:ascii="仿宋_GB2312" w:hAnsi="仿宋_GB2312" w:eastAsia="仿宋_GB2312" w:cs="仿宋_GB2312"/>
          <w:sz w:val="32"/>
          <w:szCs w:val="32"/>
        </w:rPr>
        <w:t>万元，</w:t>
      </w:r>
      <w:r>
        <w:rPr>
          <w:rFonts w:ascii="仿宋_GB2312" w:hAnsi="仿宋_GB2312" w:eastAsia="仿宋_GB2312" w:cs="仿宋_GB2312"/>
          <w:bCs/>
          <w:sz w:val="32"/>
          <w:szCs w:val="32"/>
        </w:rPr>
        <w:t>完成年初预算的</w:t>
      </w:r>
      <w:r>
        <w:rPr>
          <w:rFonts w:hint="default" w:ascii="仿宋_GB2312" w:hAnsi="仿宋_GB2312" w:eastAsia="仿宋_GB2312" w:cs="仿宋_GB2312"/>
          <w:bCs/>
          <w:sz w:val="32"/>
          <w:szCs w:val="32"/>
        </w:rPr>
        <w:t>94</w:t>
      </w:r>
      <w:r>
        <w:rPr>
          <w:rFonts w:ascii="仿宋_GB2312" w:hAnsi="仿宋_GB2312" w:eastAsia="仿宋_GB2312" w:cs="仿宋_GB2312"/>
          <w:bCs/>
          <w:sz w:val="32"/>
          <w:szCs w:val="32"/>
        </w:rPr>
        <w:t>.</w:t>
      </w:r>
      <w:r>
        <w:rPr>
          <w:rFonts w:hint="default" w:ascii="仿宋_GB2312" w:hAnsi="仿宋_GB2312" w:eastAsia="仿宋_GB2312" w:cs="仿宋_GB2312"/>
          <w:bCs/>
          <w:sz w:val="32"/>
          <w:szCs w:val="32"/>
        </w:rPr>
        <w:t>16</w:t>
      </w:r>
      <w:r>
        <w:rPr>
          <w:rFonts w:ascii="仿宋_GB2312" w:hAnsi="仿宋_GB2312" w:eastAsia="仿宋_GB2312" w:cs="仿宋_GB2312"/>
          <w:bCs/>
          <w:sz w:val="32"/>
          <w:szCs w:val="32"/>
        </w:rPr>
        <w:t>%，</w:t>
      </w:r>
      <w:r>
        <w:rPr>
          <w:rFonts w:ascii="仿宋_GB2312" w:hAnsi="宋体" w:eastAsia="仿宋_GB2312"/>
          <w:sz w:val="32"/>
          <w:szCs w:val="32"/>
        </w:rPr>
        <w:t>决算数小于年初预算数</w:t>
      </w:r>
      <w:r>
        <w:rPr>
          <w:rFonts w:ascii="仿宋_GB2312" w:hAnsi="仿宋_GB2312" w:eastAsia="仿宋_GB2312" w:cs="仿宋_GB2312"/>
          <w:sz w:val="32"/>
          <w:szCs w:val="32"/>
        </w:rPr>
        <w:t>主要是</w:t>
      </w:r>
      <w:r>
        <w:rPr>
          <w:rFonts w:ascii="仿宋_GB2312" w:hAnsi="宋体" w:eastAsia="仿宋_GB2312"/>
          <w:sz w:val="32"/>
          <w:szCs w:val="32"/>
        </w:rPr>
        <w:t>单位人员变化，养老保险缴费基数的变化，导致实际支出小于年初预算数。</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（2）社会保障和就业支出</w:t>
      </w:r>
      <w:r>
        <w:rPr>
          <w:rFonts w:ascii="仿宋_GB2312" w:eastAsia="仿宋_GB2312"/>
          <w:sz w:val="32"/>
          <w:szCs w:val="32"/>
        </w:rPr>
        <w:t>，</w:t>
      </w:r>
      <w:r>
        <w:rPr>
          <w:rFonts w:ascii="仿宋_GB2312" w:hAnsi="仿宋_GB2312" w:eastAsia="仿宋_GB2312" w:cs="仿宋_GB2312"/>
          <w:sz w:val="32"/>
          <w:szCs w:val="32"/>
        </w:rPr>
        <w:t>机关事业单位职业年金缴费支出</w:t>
      </w:r>
      <w:r>
        <w:rPr>
          <w:rFonts w:hint="default" w:ascii="仿宋_GB2312" w:hAnsi="仿宋_GB2312" w:eastAsia="仿宋_GB2312" w:cs="仿宋_GB2312"/>
          <w:sz w:val="32"/>
          <w:szCs w:val="32"/>
        </w:rPr>
        <w:t>5.43</w:t>
      </w:r>
      <w:r>
        <w:rPr>
          <w:rFonts w:ascii="仿宋_GB2312" w:hAnsi="仿宋_GB2312" w:eastAsia="仿宋_GB2312" w:cs="仿宋_GB2312"/>
          <w:sz w:val="32"/>
          <w:szCs w:val="32"/>
        </w:rPr>
        <w:t>万元。主要用于</w:t>
      </w:r>
      <w:r>
        <w:rPr>
          <w:rFonts w:ascii="仿宋_GB2312" w:hAnsi="宋体" w:eastAsia="仿宋_GB2312"/>
          <w:sz w:val="32"/>
          <w:szCs w:val="32"/>
        </w:rPr>
        <w:t>单位职业年金</w:t>
      </w:r>
      <w:r>
        <w:rPr>
          <w:rFonts w:ascii="仿宋_GB2312" w:hAnsi="仿宋_GB2312" w:eastAsia="仿宋_GB2312" w:cs="仿宋_GB2312"/>
          <w:sz w:val="32"/>
          <w:szCs w:val="32"/>
        </w:rPr>
        <w:t>的个人职业年金支出。</w:t>
      </w:r>
      <w:r>
        <w:rPr>
          <w:rFonts w:ascii="仿宋_GB2312" w:hAnsi="仿宋_GB2312" w:eastAsia="仿宋_GB2312" w:cs="仿宋_GB2312"/>
          <w:bCs/>
          <w:sz w:val="32"/>
          <w:szCs w:val="32"/>
        </w:rPr>
        <w:t>完成年初预算的98.10%，</w:t>
      </w:r>
      <w:r>
        <w:rPr>
          <w:rFonts w:ascii="仿宋_GB2312" w:hAnsi="宋体" w:eastAsia="仿宋_GB2312"/>
          <w:sz w:val="32"/>
          <w:szCs w:val="32"/>
        </w:rPr>
        <w:t>决算数小于年初预算数的原因主要是按照要求在职人员暂时只缴纳个人部分，对当年退休人员补缴单位部分及利息款，导致决算数小于预算数。</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（3）社会保障和就业支出事业单位养老支出离退休（项）</w:t>
      </w:r>
      <w:r>
        <w:rPr>
          <w:rFonts w:hint="default" w:ascii="仿宋_GB2312" w:hAnsi="宋体" w:eastAsia="仿宋_GB2312"/>
          <w:sz w:val="32"/>
          <w:szCs w:val="32"/>
        </w:rPr>
        <w:t>1.87</w:t>
      </w:r>
      <w:r>
        <w:rPr>
          <w:rFonts w:ascii="仿宋_GB2312" w:hAnsi="宋体" w:eastAsia="仿宋_GB2312"/>
          <w:sz w:val="32"/>
          <w:szCs w:val="32"/>
        </w:rPr>
        <w:t>万元，主要是离退休人员取暖费、大额医保等支出，完成年初预算的9</w:t>
      </w:r>
      <w:r>
        <w:rPr>
          <w:rFonts w:hint="default" w:ascii="仿宋_GB2312" w:hAnsi="宋体" w:eastAsia="仿宋_GB2312"/>
          <w:sz w:val="32"/>
          <w:szCs w:val="32"/>
        </w:rPr>
        <w:t>3</w:t>
      </w:r>
      <w:r>
        <w:rPr>
          <w:rFonts w:ascii="仿宋_GB2312" w:hAnsi="宋体" w:eastAsia="仿宋_GB2312"/>
          <w:sz w:val="32"/>
          <w:szCs w:val="32"/>
        </w:rPr>
        <w:t>%，决算数小于年初预算数的原因主要是有退休人员过世，退休人数减少，导致经费小于年初预算数。</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2、卫生健康支出4</w:t>
      </w:r>
      <w:r>
        <w:rPr>
          <w:rFonts w:hint="default" w:ascii="仿宋_GB2312" w:hAnsi="宋体" w:eastAsia="仿宋_GB2312"/>
          <w:sz w:val="32"/>
          <w:szCs w:val="32"/>
        </w:rPr>
        <w:t>8.59</w:t>
      </w:r>
      <w:r>
        <w:rPr>
          <w:rFonts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（1）卫生健康支出（类）事业单位医疗（款）单位医疗支出（项）4</w:t>
      </w:r>
      <w:r>
        <w:rPr>
          <w:rFonts w:hint="default" w:ascii="仿宋_GB2312" w:hAnsi="宋体" w:eastAsia="仿宋_GB2312"/>
          <w:sz w:val="32"/>
          <w:szCs w:val="32"/>
        </w:rPr>
        <w:t>5.54</w:t>
      </w:r>
      <w:r>
        <w:rPr>
          <w:rFonts w:ascii="仿宋_GB2312" w:hAnsi="宋体" w:eastAsia="仿宋_GB2312"/>
          <w:sz w:val="32"/>
          <w:szCs w:val="32"/>
        </w:rPr>
        <w:t>万元，主要是在职人员医疗保险费用支出支出，完成年初预算的9</w:t>
      </w:r>
      <w:r>
        <w:rPr>
          <w:rFonts w:hint="default" w:ascii="仿宋_GB2312" w:hAnsi="宋体" w:eastAsia="仿宋_GB2312"/>
          <w:sz w:val="32"/>
          <w:szCs w:val="32"/>
        </w:rPr>
        <w:t>3</w:t>
      </w:r>
      <w:r>
        <w:rPr>
          <w:rFonts w:ascii="仿宋_GB2312" w:hAnsi="宋体" w:eastAsia="仿宋_GB2312"/>
          <w:sz w:val="32"/>
          <w:szCs w:val="32"/>
        </w:rPr>
        <w:t>.</w:t>
      </w:r>
      <w:r>
        <w:rPr>
          <w:rFonts w:hint="default" w:ascii="仿宋_GB2312" w:hAnsi="宋体" w:eastAsia="仿宋_GB2312"/>
          <w:sz w:val="32"/>
          <w:szCs w:val="32"/>
        </w:rPr>
        <w:t>72</w:t>
      </w:r>
      <w:r>
        <w:rPr>
          <w:rFonts w:ascii="仿宋_GB2312" w:hAnsi="宋体" w:eastAsia="仿宋_GB2312"/>
          <w:sz w:val="32"/>
          <w:szCs w:val="32"/>
        </w:rPr>
        <w:t>%，决算数小于年初预算数的原因主要是人员变化，医保缴费基数变化导致。</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）卫生健康支出（类）其他行政事业单位医疗支出（项）</w:t>
      </w:r>
      <w:r>
        <w:rPr>
          <w:rFonts w:hint="default" w:ascii="仿宋_GB2312" w:hAnsi="宋体" w:eastAsia="仿宋_GB2312"/>
          <w:sz w:val="32"/>
          <w:szCs w:val="32"/>
        </w:rPr>
        <w:t>3</w:t>
      </w:r>
      <w:r>
        <w:rPr>
          <w:rFonts w:ascii="仿宋_GB2312" w:hAnsi="宋体" w:eastAsia="仿宋_GB2312"/>
          <w:sz w:val="32"/>
          <w:szCs w:val="32"/>
        </w:rPr>
        <w:t>.</w:t>
      </w:r>
      <w:r>
        <w:rPr>
          <w:rFonts w:hint="default" w:ascii="仿宋_GB2312" w:hAnsi="宋体" w:eastAsia="仿宋_GB2312"/>
          <w:sz w:val="32"/>
          <w:szCs w:val="32"/>
        </w:rPr>
        <w:t>05</w:t>
      </w:r>
      <w:r>
        <w:rPr>
          <w:rFonts w:ascii="仿宋_GB2312" w:hAnsi="宋体" w:eastAsia="仿宋_GB2312"/>
          <w:sz w:val="32"/>
          <w:szCs w:val="32"/>
        </w:rPr>
        <w:t>万元，主要是在职及退休人员医疗补助费用等支出，完成年初预算的9</w:t>
      </w:r>
      <w:r>
        <w:rPr>
          <w:rFonts w:hint="default" w:ascii="仿宋_GB2312" w:hAnsi="宋体" w:eastAsia="仿宋_GB2312"/>
          <w:sz w:val="32"/>
          <w:szCs w:val="32"/>
        </w:rPr>
        <w:t>8</w:t>
      </w:r>
      <w:r>
        <w:rPr>
          <w:rFonts w:ascii="仿宋_GB2312" w:hAnsi="宋体" w:eastAsia="仿宋_GB2312"/>
          <w:sz w:val="32"/>
          <w:szCs w:val="32"/>
        </w:rPr>
        <w:t>.3%，决算数小于年初预算数的原因主要是</w:t>
      </w:r>
      <w:bookmarkStart w:id="1" w:name="_GoBack"/>
      <w:bookmarkEnd w:id="1"/>
      <w:r>
        <w:rPr>
          <w:rFonts w:hint="eastAsia" w:ascii="仿宋_GB2312" w:hAnsi="宋体" w:eastAsia="仿宋_GB2312"/>
          <w:sz w:val="32"/>
          <w:szCs w:val="32"/>
          <w:lang w:eastAsia="zh-CN"/>
        </w:rPr>
        <w:t>厉行节约</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3、城乡社区支出</w:t>
      </w:r>
      <w:r>
        <w:rPr>
          <w:rFonts w:hint="default" w:ascii="仿宋_GB2312" w:hAnsi="宋体" w:eastAsia="仿宋_GB2312"/>
          <w:sz w:val="32"/>
          <w:szCs w:val="32"/>
        </w:rPr>
        <w:t>60.06</w:t>
      </w:r>
      <w:r>
        <w:rPr>
          <w:rFonts w:ascii="仿宋_GB2312" w:hAnsi="宋体" w:eastAsia="仿宋_GB2312"/>
          <w:sz w:val="32"/>
          <w:szCs w:val="32"/>
        </w:rPr>
        <w:t>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城乡社区支出（类）城乡社区管理事务（款）其他城乡社区管理事务支出（项）</w:t>
      </w:r>
      <w:r>
        <w:rPr>
          <w:rFonts w:hint="default" w:ascii="仿宋_GB2312" w:hAnsi="宋体" w:eastAsia="仿宋_GB2312"/>
          <w:sz w:val="32"/>
          <w:szCs w:val="32"/>
        </w:rPr>
        <w:t>60.06</w:t>
      </w:r>
      <w:r>
        <w:rPr>
          <w:rFonts w:ascii="仿宋_GB2312" w:hAnsi="宋体" w:eastAsia="仿宋_GB2312"/>
          <w:sz w:val="32"/>
          <w:szCs w:val="32"/>
        </w:rPr>
        <w:t xml:space="preserve">万元，主要是单位项目拆除、安装费等支出，完成年初预算的100%，决算数等于年初预算数的原因是此业务年初预算列入政府专项，决算列入部门预算。           </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4、住房保障支出1</w:t>
      </w:r>
      <w:r>
        <w:rPr>
          <w:rFonts w:hint="default" w:ascii="仿宋_GB2312" w:hAnsi="宋体" w:eastAsia="仿宋_GB2312"/>
          <w:sz w:val="32"/>
          <w:szCs w:val="32"/>
        </w:rPr>
        <w:t>50</w:t>
      </w:r>
      <w:r>
        <w:rPr>
          <w:rFonts w:ascii="仿宋_GB2312" w:hAnsi="宋体" w:eastAsia="仿宋_GB2312"/>
          <w:sz w:val="32"/>
          <w:szCs w:val="32"/>
        </w:rPr>
        <w:t>.</w:t>
      </w:r>
      <w:r>
        <w:rPr>
          <w:rFonts w:hint="default" w:ascii="仿宋_GB2312" w:hAnsi="宋体" w:eastAsia="仿宋_GB2312"/>
          <w:sz w:val="32"/>
          <w:szCs w:val="32"/>
        </w:rPr>
        <w:t>32</w:t>
      </w:r>
      <w:r>
        <w:rPr>
          <w:rFonts w:ascii="仿宋_GB2312" w:hAnsi="宋体" w:eastAsia="仿宋_GB2312"/>
          <w:sz w:val="32"/>
          <w:szCs w:val="32"/>
        </w:rPr>
        <w:t>万元，具体包括：</w:t>
      </w:r>
    </w:p>
    <w:p>
      <w:pPr>
        <w:spacing w:line="540" w:lineRule="exact"/>
        <w:ind w:firstLine="320" w:firstLineChars="100"/>
        <w:rPr>
          <w:rFonts w:hint="default" w:ascii="仿宋_GB2312" w:hAnsi="宋体" w:eastAsia="仿宋_GB2312"/>
          <w:sz w:val="32"/>
          <w:szCs w:val="32"/>
        </w:rPr>
      </w:pPr>
      <w:r>
        <w:rPr>
          <w:rFonts w:ascii="仿宋_GB2312" w:hAnsi="宋体" w:eastAsia="仿宋_GB2312"/>
          <w:sz w:val="32"/>
          <w:szCs w:val="32"/>
        </w:rPr>
        <w:t>住房保障支出（类）住房改革支出（款）住房公积金（项）1</w:t>
      </w:r>
      <w:r>
        <w:rPr>
          <w:rFonts w:hint="default" w:ascii="仿宋_GB2312" w:hAnsi="宋体" w:eastAsia="仿宋_GB2312"/>
          <w:sz w:val="32"/>
          <w:szCs w:val="32"/>
        </w:rPr>
        <w:t>50</w:t>
      </w:r>
      <w:r>
        <w:rPr>
          <w:rFonts w:ascii="仿宋_GB2312" w:hAnsi="宋体" w:eastAsia="仿宋_GB2312"/>
          <w:sz w:val="32"/>
          <w:szCs w:val="32"/>
        </w:rPr>
        <w:t>.</w:t>
      </w:r>
      <w:r>
        <w:rPr>
          <w:rFonts w:hint="default" w:ascii="仿宋_GB2312" w:hAnsi="宋体" w:eastAsia="仿宋_GB2312"/>
          <w:sz w:val="32"/>
          <w:szCs w:val="32"/>
        </w:rPr>
        <w:t>32</w:t>
      </w:r>
      <w:r>
        <w:rPr>
          <w:rFonts w:ascii="仿宋_GB2312" w:hAnsi="宋体" w:eastAsia="仿宋_GB2312"/>
          <w:sz w:val="32"/>
          <w:szCs w:val="32"/>
        </w:rPr>
        <w:t>万元，主要是单位职工住房公积金支出，完成年初预算的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%，决算数等于年初预算数的原因是单位人员无变化，公积金缴费基数变更。</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5、灾害防治及应急管理支出</w:t>
      </w:r>
      <w:r>
        <w:rPr>
          <w:rFonts w:hint="default" w:ascii="仿宋_GB2312" w:hAnsi="宋体" w:eastAsia="仿宋_GB2312"/>
          <w:sz w:val="32"/>
          <w:szCs w:val="32"/>
        </w:rPr>
        <w:t>2279</w:t>
      </w:r>
      <w:r>
        <w:rPr>
          <w:rFonts w:ascii="仿宋_GB2312" w:hAnsi="宋体" w:eastAsia="仿宋_GB2312"/>
          <w:sz w:val="32"/>
          <w:szCs w:val="32"/>
        </w:rPr>
        <w:t>.</w:t>
      </w:r>
      <w:r>
        <w:rPr>
          <w:rFonts w:hint="default" w:ascii="仿宋_GB2312" w:hAnsi="宋体" w:eastAsia="仿宋_GB2312"/>
          <w:sz w:val="32"/>
          <w:szCs w:val="32"/>
        </w:rPr>
        <w:t>38</w:t>
      </w:r>
      <w:r>
        <w:rPr>
          <w:rFonts w:ascii="仿宋_GB2312" w:hAnsi="宋体" w:eastAsia="仿宋_GB2312"/>
          <w:sz w:val="32"/>
          <w:szCs w:val="32"/>
        </w:rPr>
        <w:t>万元，具体包括：</w:t>
      </w:r>
    </w:p>
    <w:p>
      <w:pPr>
        <w:spacing w:line="560" w:lineRule="exact"/>
        <w:ind w:firstLine="660"/>
        <w:outlineLvl w:val="2"/>
        <w:rPr>
          <w:rFonts w:hint="default" w:ascii="仿宋_GB2312" w:hAnsi="宋体" w:eastAsia="仿宋_GB2312"/>
          <w:sz w:val="32"/>
          <w:szCs w:val="32"/>
        </w:rPr>
      </w:pPr>
      <w:r>
        <w:rPr>
          <w:rFonts w:ascii="仿宋_GB2312" w:hAnsi="宋体" w:eastAsia="仿宋_GB2312"/>
          <w:sz w:val="32"/>
          <w:szCs w:val="32"/>
        </w:rPr>
        <w:t>灾害防治及应急管理支出（类）应急管理事务（款） 包括事业运行</w:t>
      </w:r>
      <w:r>
        <w:rPr>
          <w:rFonts w:hint="default" w:ascii="仿宋_GB2312" w:hAnsi="宋体" w:eastAsia="仿宋_GB2312"/>
          <w:sz w:val="32"/>
          <w:szCs w:val="32"/>
        </w:rPr>
        <w:t>1158.48</w:t>
      </w:r>
      <w:r>
        <w:rPr>
          <w:rFonts w:ascii="仿宋_GB2312" w:hAnsi="宋体" w:eastAsia="仿宋_GB2312"/>
          <w:sz w:val="32"/>
          <w:szCs w:val="32"/>
        </w:rPr>
        <w:t>万元， 其他应急管理支出（项）</w:t>
      </w:r>
      <w:r>
        <w:rPr>
          <w:rFonts w:hint="default" w:ascii="仿宋_GB2312" w:hAnsi="宋体" w:eastAsia="仿宋_GB2312"/>
          <w:sz w:val="32"/>
          <w:szCs w:val="32"/>
        </w:rPr>
        <w:t>1120.9</w:t>
      </w:r>
      <w:r>
        <w:rPr>
          <w:rFonts w:ascii="仿宋_GB2312" w:hAnsi="宋体" w:eastAsia="仿宋_GB2312"/>
          <w:sz w:val="32"/>
          <w:szCs w:val="32"/>
        </w:rPr>
        <w:t>万元，主要是单位安全奖支出、防汛抗灾应急项目等支出，完成年初预算的100%。</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2022年度政府性基金预算财政拨款支出</w:t>
      </w:r>
      <w:r>
        <w:rPr>
          <w:rFonts w:hint="default" w:ascii="仿宋_GB2312" w:hAnsi="宋体" w:eastAsia="仿宋_GB2312"/>
          <w:sz w:val="32"/>
          <w:szCs w:val="32"/>
        </w:rPr>
        <w:t>0</w:t>
      </w:r>
      <w:r>
        <w:rPr>
          <w:rFonts w:ascii="仿宋_GB2312" w:hAnsi="宋体" w:eastAsia="仿宋_GB2312"/>
          <w:sz w:val="32"/>
          <w:szCs w:val="32"/>
        </w:rPr>
        <w:t>万元，本年未发生此项资金。</w:t>
      </w:r>
    </w:p>
    <w:p>
      <w:pPr>
        <w:spacing w:line="560" w:lineRule="exact"/>
        <w:ind w:firstLine="660"/>
        <w:rPr>
          <w:rFonts w:hint="default" w:ascii="仿宋_GB2312" w:hAnsi="宋体" w:eastAsia="仿宋_GB2312"/>
          <w:sz w:val="32"/>
          <w:szCs w:val="32"/>
        </w:rPr>
      </w:pP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2022年度国有资本经营预算财政拨款支出</w:t>
      </w:r>
      <w:r>
        <w:rPr>
          <w:rFonts w:hint="default" w:ascii="仿宋_GB2312" w:hAnsi="宋体" w:eastAsia="仿宋_GB2312"/>
          <w:sz w:val="32"/>
          <w:szCs w:val="32"/>
        </w:rPr>
        <w:t>0</w:t>
      </w:r>
      <w:r>
        <w:rPr>
          <w:rFonts w:ascii="仿宋_GB2312" w:hAnsi="宋体" w:eastAsia="仿宋_GB2312"/>
          <w:sz w:val="32"/>
          <w:szCs w:val="32"/>
        </w:rPr>
        <w:t>万元，本年未发生此项资金。</w:t>
      </w:r>
    </w:p>
    <w:p>
      <w:pPr>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default" w:ascii="仿宋_GB2312" w:hAnsi="仿宋_GB2312" w:eastAsia="仿宋_GB2312" w:cs="仿宋_GB2312"/>
          <w:b/>
          <w:bCs/>
          <w:color w:val="FF0000"/>
          <w:sz w:val="32"/>
          <w:szCs w:val="32"/>
        </w:rPr>
      </w:pPr>
      <w:r>
        <w:rPr>
          <w:rFonts w:ascii="仿宋_GB2312" w:hAnsi="宋体" w:eastAsia="仿宋_GB2312"/>
          <w:sz w:val="32"/>
          <w:szCs w:val="32"/>
        </w:rPr>
        <w:t>2022年度一般公共预算财政拨款安排的“三公”经费支出</w:t>
      </w:r>
      <w:r>
        <w:rPr>
          <w:rFonts w:hint="default" w:ascii="仿宋_GB2312" w:hAnsi="宋体" w:eastAsia="仿宋_GB2312"/>
          <w:sz w:val="32"/>
          <w:szCs w:val="32"/>
        </w:rPr>
        <w:t>0</w:t>
      </w:r>
      <w:r>
        <w:rPr>
          <w:rFonts w:ascii="仿宋_GB2312" w:hAnsi="宋体" w:eastAsia="仿宋_GB2312"/>
          <w:sz w:val="32"/>
          <w:szCs w:val="32"/>
        </w:rPr>
        <w:t>万元，完成全年预算的</w:t>
      </w:r>
      <w:r>
        <w:rPr>
          <w:rFonts w:hint="default" w:ascii="仿宋_GB2312" w:hAnsi="宋体" w:eastAsia="仿宋_GB2312"/>
          <w:sz w:val="32"/>
          <w:szCs w:val="32"/>
        </w:rPr>
        <w:t>0</w:t>
      </w:r>
      <w:r>
        <w:rPr>
          <w:rFonts w:ascii="仿宋_GB2312" w:hAnsi="宋体" w:eastAsia="仿宋_GB2312"/>
          <w:sz w:val="32"/>
          <w:szCs w:val="32"/>
        </w:rPr>
        <w:t>%，决算数0，决算数等于全年预算数的主要原因是无此业务。其中：因公出国（境）费</w:t>
      </w:r>
      <w:r>
        <w:rPr>
          <w:rFonts w:hint="default" w:ascii="仿宋_GB2312" w:hAnsi="宋体" w:eastAsia="仿宋_GB2312"/>
          <w:sz w:val="32"/>
          <w:szCs w:val="32"/>
        </w:rPr>
        <w:t>0</w:t>
      </w:r>
      <w:r>
        <w:rPr>
          <w:rFonts w:ascii="仿宋_GB2312" w:hAnsi="宋体" w:eastAsia="仿宋_GB2312"/>
          <w:sz w:val="32"/>
          <w:szCs w:val="32"/>
        </w:rPr>
        <w:t>万元，公务接待费</w:t>
      </w:r>
      <w:r>
        <w:rPr>
          <w:rFonts w:hint="default" w:ascii="仿宋_GB2312" w:hAnsi="宋体" w:eastAsia="仿宋_GB2312"/>
          <w:sz w:val="32"/>
          <w:szCs w:val="32"/>
        </w:rPr>
        <w:t>0</w:t>
      </w:r>
      <w:r>
        <w:rPr>
          <w:rFonts w:ascii="仿宋_GB2312" w:hAnsi="宋体" w:eastAsia="仿宋_GB2312"/>
          <w:sz w:val="32"/>
          <w:szCs w:val="32"/>
        </w:rPr>
        <w:t>万元，公务用车购置及运行维护费</w:t>
      </w:r>
      <w:r>
        <w:rPr>
          <w:rFonts w:hint="default" w:ascii="仿宋_GB2312" w:hAnsi="宋体" w:eastAsia="仿宋_GB2312"/>
          <w:sz w:val="32"/>
          <w:szCs w:val="32"/>
        </w:rPr>
        <w:t>0</w:t>
      </w:r>
      <w:r>
        <w:rPr>
          <w:rFonts w:ascii="仿宋_GB2312" w:hAnsi="宋体" w:eastAsia="仿宋_GB2312"/>
          <w:sz w:val="32"/>
          <w:szCs w:val="32"/>
        </w:rPr>
        <w:t>万元。</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w:t>
      </w:r>
      <w:r>
        <w:rPr>
          <w:rFonts w:hint="default" w:ascii="仿宋_GB2312" w:hAnsi="宋体" w:eastAsia="仿宋_GB2312"/>
          <w:sz w:val="32"/>
          <w:szCs w:val="32"/>
        </w:rPr>
        <w:t>0</w:t>
      </w:r>
      <w:r>
        <w:rPr>
          <w:rFonts w:ascii="仿宋_GB2312" w:hAnsi="宋体" w:eastAsia="仿宋_GB2312"/>
          <w:sz w:val="32"/>
          <w:szCs w:val="32"/>
        </w:rPr>
        <w:t>万元，占“三公”经费支出的</w:t>
      </w:r>
      <w:r>
        <w:rPr>
          <w:rFonts w:hint="default" w:ascii="仿宋_GB2312" w:hAnsi="宋体" w:eastAsia="仿宋_GB2312"/>
          <w:sz w:val="32"/>
          <w:szCs w:val="32"/>
        </w:rPr>
        <w:t>0</w:t>
      </w:r>
      <w:r>
        <w:rPr>
          <w:rFonts w:ascii="仿宋_GB2312" w:hAnsi="宋体" w:eastAsia="仿宋_GB2312"/>
          <w:sz w:val="32"/>
          <w:szCs w:val="32"/>
        </w:rPr>
        <w:t>%。完成全年预算的</w:t>
      </w:r>
      <w:r>
        <w:rPr>
          <w:rFonts w:hint="default" w:ascii="仿宋_GB2312" w:hAnsi="宋体" w:eastAsia="仿宋_GB2312"/>
          <w:sz w:val="32"/>
          <w:szCs w:val="32"/>
        </w:rPr>
        <w:t>0</w:t>
      </w:r>
      <w:r>
        <w:rPr>
          <w:rFonts w:ascii="仿宋_GB2312" w:hAnsi="宋体" w:eastAsia="仿宋_GB2312"/>
          <w:sz w:val="32"/>
          <w:szCs w:val="32"/>
        </w:rPr>
        <w:t>%，决算数等于全年预算数的主要原因是无此业务。2022年参加出国（境）团组</w:t>
      </w:r>
      <w:r>
        <w:rPr>
          <w:rFonts w:hint="default" w:ascii="仿宋_GB2312" w:hAnsi="宋体" w:eastAsia="仿宋_GB2312"/>
          <w:sz w:val="32"/>
          <w:szCs w:val="32"/>
        </w:rPr>
        <w:t>0</w:t>
      </w:r>
      <w:r>
        <w:rPr>
          <w:rFonts w:ascii="仿宋_GB2312" w:hAnsi="宋体" w:eastAsia="仿宋_GB2312"/>
          <w:sz w:val="32"/>
          <w:szCs w:val="32"/>
        </w:rPr>
        <w:t>个，累计</w:t>
      </w:r>
      <w:r>
        <w:rPr>
          <w:rFonts w:hint="default" w:ascii="仿宋_GB2312" w:hAnsi="宋体" w:eastAsia="仿宋_GB2312"/>
          <w:sz w:val="32"/>
          <w:szCs w:val="32"/>
        </w:rPr>
        <w:t>0</w:t>
      </w:r>
      <w:r>
        <w:rPr>
          <w:rFonts w:ascii="仿宋_GB2312" w:hAnsi="宋体" w:eastAsia="仿宋_GB2312"/>
          <w:sz w:val="32"/>
          <w:szCs w:val="32"/>
        </w:rPr>
        <w:t>人次。2022年因公出国（境）费比上年减少</w:t>
      </w:r>
      <w:r>
        <w:rPr>
          <w:rFonts w:hint="default" w:ascii="仿宋_GB2312" w:hAnsi="宋体" w:eastAsia="仿宋_GB2312"/>
          <w:sz w:val="32"/>
          <w:szCs w:val="32"/>
        </w:rPr>
        <w:t>0</w:t>
      </w:r>
      <w:r>
        <w:rPr>
          <w:rFonts w:ascii="仿宋_GB2312" w:hAnsi="宋体" w:eastAsia="仿宋_GB2312"/>
          <w:sz w:val="32"/>
          <w:szCs w:val="32"/>
        </w:rPr>
        <w:t>万元，下降</w:t>
      </w:r>
      <w:r>
        <w:rPr>
          <w:rFonts w:hint="default" w:ascii="仿宋_GB2312" w:hAnsi="宋体" w:eastAsia="仿宋_GB2312"/>
          <w:sz w:val="32"/>
          <w:szCs w:val="32"/>
        </w:rPr>
        <w:t>0</w:t>
      </w:r>
      <w:r>
        <w:rPr>
          <w:rFonts w:ascii="仿宋_GB2312" w:hAnsi="宋体" w:eastAsia="仿宋_GB2312"/>
          <w:sz w:val="32"/>
          <w:szCs w:val="32"/>
        </w:rPr>
        <w:t>%，主要是无出国任务。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w:t>
      </w:r>
      <w:r>
        <w:rPr>
          <w:rFonts w:hint="default" w:ascii="仿宋_GB2312" w:hAnsi="宋体" w:eastAsia="仿宋_GB2312"/>
          <w:sz w:val="32"/>
          <w:szCs w:val="32"/>
        </w:rPr>
        <w:t>0</w:t>
      </w:r>
      <w:r>
        <w:rPr>
          <w:rFonts w:ascii="仿宋_GB2312" w:hAnsi="宋体" w:eastAsia="仿宋_GB2312"/>
          <w:sz w:val="32"/>
          <w:szCs w:val="32"/>
        </w:rPr>
        <w:t>万元，占“三公”经费支出的</w:t>
      </w:r>
      <w:r>
        <w:rPr>
          <w:rFonts w:hint="default" w:ascii="仿宋_GB2312" w:hAnsi="宋体" w:eastAsia="仿宋_GB2312"/>
          <w:sz w:val="32"/>
          <w:szCs w:val="32"/>
        </w:rPr>
        <w:t>0</w:t>
      </w:r>
      <w:r>
        <w:rPr>
          <w:rFonts w:ascii="仿宋_GB2312" w:hAnsi="宋体" w:eastAsia="仿宋_GB2312"/>
          <w:sz w:val="32"/>
          <w:szCs w:val="32"/>
        </w:rPr>
        <w:t>%。完成全年预算的</w:t>
      </w:r>
      <w:r>
        <w:rPr>
          <w:rFonts w:hint="default" w:ascii="仿宋_GB2312" w:hAnsi="宋体" w:eastAsia="仿宋_GB2312"/>
          <w:sz w:val="32"/>
          <w:szCs w:val="32"/>
        </w:rPr>
        <w:t>0</w:t>
      </w:r>
      <w:r>
        <w:rPr>
          <w:rFonts w:ascii="仿宋_GB2312" w:hAnsi="宋体" w:eastAsia="仿宋_GB2312"/>
          <w:sz w:val="32"/>
          <w:szCs w:val="32"/>
        </w:rPr>
        <w:t>%，决算数等于全年预算数的主要原因是无此业务。2022年国内公务接待累计</w:t>
      </w:r>
      <w:r>
        <w:rPr>
          <w:rFonts w:hint="default" w:ascii="仿宋_GB2312" w:hAnsi="宋体" w:eastAsia="仿宋_GB2312"/>
          <w:sz w:val="32"/>
          <w:szCs w:val="32"/>
        </w:rPr>
        <w:t>0</w:t>
      </w:r>
      <w:r>
        <w:rPr>
          <w:rFonts w:ascii="仿宋_GB2312" w:hAnsi="宋体" w:eastAsia="仿宋_GB2312"/>
          <w:sz w:val="32"/>
          <w:szCs w:val="32"/>
        </w:rPr>
        <w:t>批次、</w:t>
      </w:r>
      <w:r>
        <w:rPr>
          <w:rFonts w:hint="default" w:ascii="仿宋_GB2312" w:hAnsi="宋体" w:eastAsia="仿宋_GB2312"/>
          <w:sz w:val="32"/>
          <w:szCs w:val="32"/>
        </w:rPr>
        <w:t>0</w:t>
      </w:r>
      <w:r>
        <w:rPr>
          <w:rFonts w:ascii="仿宋_GB2312" w:hAnsi="宋体" w:eastAsia="仿宋_GB2312"/>
          <w:sz w:val="32"/>
          <w:szCs w:val="32"/>
        </w:rPr>
        <w:t>人、</w:t>
      </w:r>
      <w:r>
        <w:rPr>
          <w:rFonts w:hint="default" w:ascii="仿宋_GB2312" w:hAnsi="宋体" w:eastAsia="仿宋_GB2312"/>
          <w:sz w:val="32"/>
          <w:szCs w:val="32"/>
        </w:rPr>
        <w:t>0</w:t>
      </w:r>
      <w:r>
        <w:rPr>
          <w:rFonts w:ascii="仿宋_GB2312" w:hAnsi="宋体" w:eastAsia="仿宋_GB2312"/>
          <w:sz w:val="32"/>
          <w:szCs w:val="32"/>
        </w:rPr>
        <w:t>万元，其中外事接待累计</w:t>
      </w:r>
      <w:r>
        <w:rPr>
          <w:rFonts w:hint="default" w:ascii="仿宋_GB2312" w:hAnsi="宋体" w:eastAsia="仿宋_GB2312"/>
          <w:sz w:val="32"/>
          <w:szCs w:val="32"/>
        </w:rPr>
        <w:t>0</w:t>
      </w:r>
      <w:r>
        <w:rPr>
          <w:rFonts w:ascii="仿宋_GB2312" w:hAnsi="宋体" w:eastAsia="仿宋_GB2312"/>
          <w:sz w:val="32"/>
          <w:szCs w:val="32"/>
        </w:rPr>
        <w:t>批次、</w:t>
      </w:r>
      <w:r>
        <w:rPr>
          <w:rFonts w:hint="default" w:ascii="仿宋_GB2312" w:hAnsi="宋体" w:eastAsia="仿宋_GB2312"/>
          <w:sz w:val="32"/>
          <w:szCs w:val="32"/>
        </w:rPr>
        <w:t>0</w:t>
      </w:r>
      <w:r>
        <w:rPr>
          <w:rFonts w:ascii="仿宋_GB2312" w:hAnsi="宋体" w:eastAsia="仿宋_GB2312"/>
          <w:sz w:val="32"/>
          <w:szCs w:val="32"/>
        </w:rPr>
        <w:t>人、</w:t>
      </w:r>
      <w:r>
        <w:rPr>
          <w:rFonts w:hint="default" w:ascii="仿宋_GB2312" w:hAnsi="宋体" w:eastAsia="仿宋_GB2312"/>
          <w:sz w:val="32"/>
          <w:szCs w:val="32"/>
        </w:rPr>
        <w:t>0</w:t>
      </w:r>
      <w:r>
        <w:rPr>
          <w:rFonts w:ascii="仿宋_GB2312" w:hAnsi="宋体" w:eastAsia="仿宋_GB2312"/>
          <w:sz w:val="32"/>
          <w:szCs w:val="32"/>
        </w:rPr>
        <w:t>万元。2022年公务接待费比上年减少0万元，下降0%，主要是无此业务.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w:t>
      </w:r>
      <w:r>
        <w:rPr>
          <w:rFonts w:hint="default" w:ascii="仿宋_GB2312" w:hAnsi="宋体" w:eastAsia="仿宋_GB2312"/>
          <w:sz w:val="32"/>
          <w:szCs w:val="32"/>
        </w:rPr>
        <w:t>0</w:t>
      </w:r>
      <w:r>
        <w:rPr>
          <w:rFonts w:ascii="仿宋_GB2312" w:hAnsi="宋体" w:eastAsia="仿宋_GB2312"/>
          <w:sz w:val="32"/>
          <w:szCs w:val="32"/>
        </w:rPr>
        <w:t>万元，占“三公”经费支出的</w:t>
      </w:r>
      <w:r>
        <w:rPr>
          <w:rFonts w:hint="default" w:ascii="仿宋_GB2312" w:hAnsi="宋体" w:eastAsia="仿宋_GB2312"/>
          <w:sz w:val="32"/>
          <w:szCs w:val="32"/>
        </w:rPr>
        <w:t>0</w:t>
      </w:r>
      <w:r>
        <w:rPr>
          <w:rFonts w:ascii="仿宋_GB2312" w:hAnsi="宋体" w:eastAsia="仿宋_GB2312"/>
          <w:sz w:val="32"/>
          <w:szCs w:val="32"/>
        </w:rPr>
        <w:t>%。完成全年预算的</w:t>
      </w:r>
      <w:r>
        <w:rPr>
          <w:rFonts w:hint="default" w:ascii="仿宋_GB2312" w:hAnsi="宋体" w:eastAsia="仿宋_GB2312"/>
          <w:sz w:val="32"/>
          <w:szCs w:val="32"/>
        </w:rPr>
        <w:t>0</w:t>
      </w:r>
      <w:r>
        <w:rPr>
          <w:rFonts w:ascii="仿宋_GB2312" w:hAnsi="宋体" w:eastAsia="仿宋_GB2312"/>
          <w:sz w:val="32"/>
          <w:szCs w:val="32"/>
        </w:rPr>
        <w:t>%，决算数等于全年预算数的主要原因是无此业务。比上年减少0万元，下降0%，主要是无此业务。</w:t>
      </w:r>
    </w:p>
    <w:p>
      <w:pPr>
        <w:pStyle w:val="6"/>
        <w:autoSpaceDN w:val="0"/>
        <w:spacing w:line="560" w:lineRule="exact"/>
        <w:ind w:firstLine="640"/>
        <w:rPr>
          <w:rFonts w:hint="default" w:ascii="仿宋_GB2312" w:eastAsia="仿宋_GB2312"/>
          <w:sz w:val="32"/>
        </w:rPr>
      </w:pPr>
      <w:r>
        <w:rPr>
          <w:rFonts w:ascii="仿宋_GB2312" w:eastAsia="仿宋_GB2312"/>
          <w:sz w:val="32"/>
          <w:szCs w:val="32"/>
        </w:rPr>
        <w:t>其中：公务用车购置费</w:t>
      </w:r>
      <w:r>
        <w:rPr>
          <w:rFonts w:hint="default" w:ascii="仿宋_GB2312" w:eastAsia="仿宋_GB2312"/>
          <w:sz w:val="32"/>
          <w:szCs w:val="32"/>
        </w:rPr>
        <w:t>0</w:t>
      </w:r>
      <w:r>
        <w:rPr>
          <w:rFonts w:ascii="仿宋_GB2312" w:eastAsia="仿宋_GB2312"/>
          <w:sz w:val="32"/>
          <w:szCs w:val="32"/>
        </w:rPr>
        <w:t>万元，当年购置公务用车</w:t>
      </w:r>
      <w:r>
        <w:rPr>
          <w:rFonts w:hint="default" w:ascii="仿宋_GB2312" w:eastAsia="仿宋_GB2312"/>
          <w:sz w:val="32"/>
          <w:szCs w:val="32"/>
        </w:rPr>
        <w:t>0</w:t>
      </w:r>
      <w:r>
        <w:rPr>
          <w:rFonts w:ascii="仿宋_GB2312" w:eastAsia="仿宋_GB2312"/>
          <w:sz w:val="32"/>
          <w:szCs w:val="32"/>
        </w:rPr>
        <w:t>辆。公务用车运行维护费</w:t>
      </w:r>
      <w:r>
        <w:rPr>
          <w:rFonts w:hint="default" w:ascii="仿宋_GB2312" w:eastAsia="仿宋_GB2312"/>
          <w:sz w:val="32"/>
          <w:szCs w:val="32"/>
        </w:rPr>
        <w:t>0</w:t>
      </w:r>
      <w:r>
        <w:rPr>
          <w:rFonts w:ascii="仿宋_GB2312" w:eastAsia="仿宋_GB2312"/>
          <w:sz w:val="32"/>
          <w:szCs w:val="32"/>
        </w:rPr>
        <w:t>万元，截至年末使用一般公共预算财政拨款开支运行维护费的公务用车保有量</w:t>
      </w:r>
      <w:r>
        <w:rPr>
          <w:rFonts w:hint="default" w:ascii="仿宋_GB2312" w:eastAsia="仿宋_GB2312"/>
          <w:sz w:val="32"/>
          <w:szCs w:val="32"/>
        </w:rPr>
        <w:t>0</w:t>
      </w:r>
      <w:r>
        <w:rPr>
          <w:rFonts w:ascii="仿宋_GB2312"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2664</w:t>
      </w:r>
      <w:r>
        <w:rPr>
          <w:rFonts w:ascii="仿宋_GB2312" w:eastAsia="仿宋_GB2312"/>
          <w:sz w:val="32"/>
        </w:rPr>
        <w:t>万元，其中：人员经费</w:t>
      </w:r>
      <w:r>
        <w:rPr>
          <w:rFonts w:hint="default" w:ascii="仿宋_GB2312" w:eastAsia="仿宋_GB2312"/>
          <w:sz w:val="32"/>
        </w:rPr>
        <w:t>1389.27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86.12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0</w:t>
      </w:r>
      <w:r>
        <w:rPr>
          <w:rFonts w:ascii="仿宋_GB2312" w:eastAsia="仿宋_GB2312"/>
          <w:sz w:val="32"/>
        </w:rPr>
        <w:t>万元，比上年持平，主要原因是本单位属于事业单位，无机关运行经费。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w:t>
      </w:r>
      <w:r>
        <w:rPr>
          <w:rFonts w:hint="default" w:ascii="仿宋_GB2312" w:eastAsia="仿宋_GB2312"/>
          <w:sz w:val="32"/>
        </w:rPr>
        <w:t>0</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lang w:bidi="ar"/>
        </w:rPr>
        <w:t>1.绩效评价工作开展情况。</w:t>
      </w:r>
    </w:p>
    <w:p>
      <w:pPr>
        <w:widowControl/>
        <w:spacing w:line="520" w:lineRule="exact"/>
        <w:ind w:firstLine="640" w:firstLineChars="200"/>
        <w:jc w:val="left"/>
        <w:rPr>
          <w:rFonts w:hint="default"/>
        </w:rPr>
      </w:pPr>
      <w:r>
        <w:rPr>
          <w:rFonts w:hAnsi="宋体" w:eastAsia="仿宋_GB2312" w:cs="仿宋_GB2312"/>
          <w:sz w:val="32"/>
          <w:szCs w:val="32"/>
          <w:lang w:bidi="ar"/>
        </w:rPr>
        <w:t>组织对</w:t>
      </w:r>
      <w:r>
        <w:rPr>
          <w:rFonts w:hint="eastAsia" w:ascii="仿宋_GB2312" w:hAnsi="宋体" w:eastAsia="仿宋_GB2312" w:cs="仿宋_GB2312"/>
          <w:sz w:val="32"/>
          <w:szCs w:val="32"/>
          <w:lang w:eastAsia="zh-CN" w:bidi="ar"/>
        </w:rPr>
        <w:t>本部门</w:t>
      </w:r>
      <w:r>
        <w:rPr>
          <w:rFonts w:hAnsi="宋体" w:eastAsia="仿宋_GB2312" w:cs="仿宋_GB2312"/>
          <w:sz w:val="32"/>
          <w:szCs w:val="32"/>
          <w:lang w:bidi="ar"/>
        </w:rPr>
        <w:t>开展整体绩效自评，涉及资</w:t>
      </w:r>
      <w:r>
        <w:rPr>
          <w:rFonts w:ascii="仿宋_GB2312" w:hAnsi="宋体" w:eastAsia="仿宋_GB2312" w:cs="仿宋_GB2312"/>
          <w:sz w:val="32"/>
          <w:szCs w:val="32"/>
          <w:lang w:bidi="ar"/>
        </w:rPr>
        <w:t>金</w:t>
      </w:r>
      <w:r>
        <w:rPr>
          <w:rFonts w:hint="eastAsia" w:ascii="仿宋_GB2312" w:hAnsi="宋体" w:eastAsia="仿宋_GB2312" w:cs="仿宋_GB2312"/>
          <w:sz w:val="32"/>
          <w:szCs w:val="32"/>
          <w:lang w:val="en-US" w:eastAsia="zh-CN" w:bidi="ar"/>
        </w:rPr>
        <w:t>1673.87</w:t>
      </w:r>
      <w:r>
        <w:rPr>
          <w:rFonts w:hAnsi="宋体" w:eastAsia="仿宋_GB2312" w:cs="仿宋_GB2312"/>
          <w:sz w:val="32"/>
          <w:szCs w:val="32"/>
          <w:lang w:bidi="ar"/>
        </w:rPr>
        <w:t>万元，自评分</w:t>
      </w:r>
      <w:r>
        <w:rPr>
          <w:rFonts w:hint="eastAsia" w:ascii="仿宋_GB2312" w:hAnsi="宋体" w:eastAsia="仿宋_GB2312" w:cs="仿宋_GB2312"/>
          <w:sz w:val="32"/>
          <w:szCs w:val="32"/>
          <w:lang w:val="en-US" w:eastAsia="zh-CN" w:bidi="ar"/>
        </w:rPr>
        <w:t>76.21</w:t>
      </w:r>
      <w:r>
        <w:rPr>
          <w:rFonts w:hAnsi="宋体" w:eastAsia="仿宋_GB2312" w:cs="仿宋_GB2312"/>
          <w:sz w:val="32"/>
          <w:szCs w:val="32"/>
          <w:lang w:bidi="ar"/>
        </w:rPr>
        <w:t>分。《部门（单位）整体绩效自评表》见附件。</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2.项目绩效自评结果。</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本部门在2022年度决算中反映</w:t>
      </w:r>
      <w:r>
        <w:rPr>
          <w:rFonts w:hAnsi="宋体" w:eastAsia="仿宋_GB2312" w:cs="仿宋_GB2312"/>
          <w:sz w:val="32"/>
          <w:szCs w:val="32"/>
          <w:lang w:bidi="ar"/>
        </w:rPr>
        <w:t>网络服务费、机关办公楼租赁费</w:t>
      </w:r>
      <w:r>
        <w:rPr>
          <w:rFonts w:ascii="仿宋_GB2312" w:hAnsi="宋体" w:eastAsia="仿宋_GB2312" w:cs="仿宋_GB2312"/>
          <w:sz w:val="32"/>
          <w:szCs w:val="32"/>
          <w:lang w:bidi="ar"/>
        </w:rPr>
        <w:t>等几个项目绩效自评结果。</w:t>
      </w:r>
    </w:p>
    <w:p>
      <w:pPr>
        <w:widowControl/>
        <w:spacing w:line="54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（1）</w:t>
      </w:r>
      <w:r>
        <w:rPr>
          <w:rFonts w:hAnsi="宋体" w:eastAsia="仿宋_GB2312" w:cs="仿宋_GB2312"/>
          <w:sz w:val="32"/>
          <w:szCs w:val="32"/>
          <w:lang w:bidi="ar"/>
        </w:rPr>
        <w:t>网络服务费</w:t>
      </w:r>
      <w:r>
        <w:rPr>
          <w:rFonts w:hint="default" w:ascii="仿宋_GB2312" w:eastAsia="仿宋_GB2312"/>
          <w:sz w:val="32"/>
        </w:rPr>
        <w:t>项目自评综述：</w:t>
      </w:r>
      <w:bookmarkStart w:id="0" w:name="_Hlk144390642"/>
      <w:r>
        <w:rPr>
          <w:rFonts w:hint="default" w:ascii="仿宋_GB2312" w:eastAsia="仿宋_GB2312"/>
          <w:sz w:val="32"/>
        </w:rPr>
        <w:t>根据年初设定的绩效目标，项目自评得分100分。项目全年预算数为2.</w:t>
      </w:r>
      <w:r>
        <w:rPr>
          <w:rFonts w:ascii="仿宋_GB2312" w:eastAsia="仿宋_GB2312"/>
          <w:sz w:val="32"/>
        </w:rPr>
        <w:t>4</w:t>
      </w:r>
      <w:r>
        <w:rPr>
          <w:rFonts w:hint="default" w:ascii="仿宋_GB2312" w:eastAsia="仿宋_GB2312"/>
          <w:sz w:val="32"/>
        </w:rPr>
        <w:t>万元，执行数为2.4万元，完成预算的100%。项目绩效目标完成</w:t>
      </w:r>
    </w:p>
    <w:bookmarkEnd w:id="0"/>
    <w:p>
      <w:pPr>
        <w:widowControl/>
        <w:spacing w:line="54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（2）</w:t>
      </w:r>
      <w:r>
        <w:rPr>
          <w:rFonts w:hAnsi="宋体" w:eastAsia="仿宋_GB2312" w:cs="仿宋_GB2312"/>
          <w:sz w:val="32"/>
          <w:szCs w:val="32"/>
          <w:lang w:bidi="ar"/>
        </w:rPr>
        <w:t>机关办公楼租赁费</w:t>
      </w:r>
      <w:r>
        <w:rPr>
          <w:rFonts w:ascii="仿宋_GB2312" w:hAnsi="宋体" w:eastAsia="仿宋_GB2312" w:cs="仿宋_GB2312"/>
          <w:sz w:val="32"/>
          <w:szCs w:val="32"/>
          <w:lang w:bidi="ar"/>
        </w:rPr>
        <w:t>项目自评综述：</w:t>
      </w:r>
      <w:r>
        <w:rPr>
          <w:rFonts w:hint="default" w:ascii="仿宋_GB2312" w:eastAsia="仿宋_GB2312"/>
          <w:sz w:val="32"/>
        </w:rPr>
        <w:t>根据年初设定的绩效目标，项目自评得分100分。项目全年预算数为108.04万元，执行数为108.04万元，完成预算的100%。项目绩效目标完成</w:t>
      </w:r>
      <w:r>
        <w:rPr>
          <w:rFonts w:ascii="仿宋_GB2312" w:eastAsia="仿宋_GB2312"/>
          <w:sz w:val="32"/>
        </w:rPr>
        <w:t>.</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《预算（项目）政策绩效自评表》见附件。</w:t>
      </w:r>
    </w:p>
    <w:p>
      <w:pPr>
        <w:widowControl/>
        <w:numPr>
          <w:ilvl w:val="0"/>
          <w:numId w:val="0"/>
        </w:numPr>
        <w:spacing w:line="520" w:lineRule="exact"/>
        <w:ind w:left="660" w:leftChars="0"/>
        <w:jc w:val="left"/>
        <w:rPr>
          <w:rFonts w:ascii="仿宋_GB2312" w:hAnsi="宋体" w:eastAsia="仿宋_GB2312" w:cs="仿宋_GB2312"/>
          <w:b/>
          <w:bCs/>
          <w:sz w:val="32"/>
          <w:szCs w:val="32"/>
          <w:lang w:bidi="ar"/>
        </w:rPr>
      </w:pPr>
      <w:r>
        <w:rPr>
          <w:rFonts w:hint="eastAsia" w:ascii="仿宋_GB2312" w:hAnsi="宋体" w:eastAsia="仿宋_GB2312" w:cs="仿宋_GB2312"/>
          <w:b/>
          <w:bCs/>
          <w:sz w:val="32"/>
          <w:szCs w:val="32"/>
          <w:lang w:val="en-US" w:eastAsia="zh-CN" w:bidi="ar"/>
        </w:rPr>
        <w:t>3.</w:t>
      </w:r>
      <w:r>
        <w:rPr>
          <w:rFonts w:ascii="仿宋_GB2312" w:hAnsi="宋体" w:eastAsia="仿宋_GB2312" w:cs="仿宋_GB2312"/>
          <w:b/>
          <w:bCs/>
          <w:sz w:val="32"/>
          <w:szCs w:val="32"/>
          <w:lang w:bidi="ar"/>
        </w:rPr>
        <w:t>部门评价结果。</w:t>
      </w:r>
    </w:p>
    <w:p>
      <w:pPr>
        <w:widowControl/>
        <w:spacing w:line="540" w:lineRule="exact"/>
        <w:ind w:firstLine="960" w:firstLineChars="300"/>
        <w:jc w:val="left"/>
        <w:rPr>
          <w:rFonts w:hint="default" w:ascii="仿宋_GB2312" w:eastAsia="仿宋_GB2312"/>
          <w:sz w:val="32"/>
        </w:rPr>
      </w:pPr>
      <w:r>
        <w:rPr>
          <w:rFonts w:hint="eastAsia" w:ascii="仿宋_GB2312" w:eastAsia="仿宋_GB2312"/>
          <w:sz w:val="32"/>
          <w:lang w:val="en-US" w:eastAsia="zh-CN"/>
        </w:rPr>
        <w:t>强化部门预算资金绩效管理，推进整体绩效目标编制的规范化、提高财政资金使用的规范性、安全性和有效性,提升预算执行效率和效益,进一步规范预算管理</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4.财政评价结果。</w:t>
      </w:r>
    </w:p>
    <w:p>
      <w:pPr>
        <w:widowControl/>
        <w:spacing w:line="540" w:lineRule="exact"/>
        <w:ind w:firstLine="960" w:firstLineChars="300"/>
        <w:jc w:val="left"/>
        <w:rPr>
          <w:rFonts w:ascii="仿宋_GB2312" w:eastAsia="仿宋_GB2312"/>
          <w:sz w:val="32"/>
        </w:rPr>
      </w:pPr>
      <w:r>
        <w:rPr>
          <w:rFonts w:ascii="仿宋_GB2312" w:eastAsia="仿宋_GB2312"/>
          <w:sz w:val="32"/>
        </w:rPr>
        <w:t>该部门整体绩效自评效果较好，望你单位继续加强资金管理，发挥资金效益。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浑南区公共服务综合指挥中心2022年度决算表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3"/>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4px;height:45px" o:bullet="t">
        <v:imagedata r:id="rId1" o:title=""/>
      </v:shape>
    </w:pict>
  </w:numPicBullet>
  <w:abstractNum w:abstractNumId="0">
    <w:nsid w:val="1B042308"/>
    <w:multiLevelType w:val="multilevel"/>
    <w:tmpl w:val="1B042308"/>
    <w:lvl w:ilvl="0" w:tentative="0">
      <w:start w:val="1"/>
      <w:numFmt w:val="bullet"/>
      <w:lvlText w:val=""/>
      <w:lvlPicBulletId w:val="0"/>
      <w:lvlJc w:val="left"/>
      <w:pPr>
        <w:tabs>
          <w:tab w:val="left" w:pos="420"/>
        </w:tabs>
        <w:ind w:left="420" w:firstLine="0"/>
      </w:pPr>
      <w:rPr>
        <w:rFonts w:hint="default" w:ascii="Symbol" w:hAnsi="Symbol"/>
      </w:rPr>
    </w:lvl>
    <w:lvl w:ilvl="1" w:tentative="0">
      <w:start w:val="1"/>
      <w:numFmt w:val="bullet"/>
      <w:lvlText w:val=""/>
      <w:lvlJc w:val="left"/>
      <w:pPr>
        <w:tabs>
          <w:tab w:val="left" w:pos="840"/>
        </w:tabs>
        <w:ind w:left="840" w:firstLine="0"/>
      </w:pPr>
      <w:rPr>
        <w:rFonts w:hint="default" w:ascii="Symbol" w:hAnsi="Symbol"/>
      </w:rPr>
    </w:lvl>
    <w:lvl w:ilvl="2" w:tentative="0">
      <w:start w:val="1"/>
      <w:numFmt w:val="bullet"/>
      <w:lvlText w:val=""/>
      <w:lvlJc w:val="left"/>
      <w:pPr>
        <w:tabs>
          <w:tab w:val="left" w:pos="1260"/>
        </w:tabs>
        <w:ind w:left="1260" w:firstLine="0"/>
      </w:pPr>
      <w:rPr>
        <w:rFonts w:hint="default" w:ascii="Symbol" w:hAnsi="Symbol"/>
      </w:rPr>
    </w:lvl>
    <w:lvl w:ilvl="3" w:tentative="0">
      <w:start w:val="1"/>
      <w:numFmt w:val="bullet"/>
      <w:lvlText w:val=""/>
      <w:lvlJc w:val="left"/>
      <w:pPr>
        <w:tabs>
          <w:tab w:val="left" w:pos="1680"/>
        </w:tabs>
        <w:ind w:left="1680" w:firstLine="0"/>
      </w:pPr>
      <w:rPr>
        <w:rFonts w:hint="default" w:ascii="Symbol" w:hAnsi="Symbol"/>
      </w:rPr>
    </w:lvl>
    <w:lvl w:ilvl="4" w:tentative="0">
      <w:start w:val="1"/>
      <w:numFmt w:val="bullet"/>
      <w:lvlText w:val=""/>
      <w:lvlJc w:val="left"/>
      <w:pPr>
        <w:tabs>
          <w:tab w:val="left" w:pos="2100"/>
        </w:tabs>
        <w:ind w:left="2100" w:firstLine="0"/>
      </w:pPr>
      <w:rPr>
        <w:rFonts w:hint="default" w:ascii="Symbol" w:hAnsi="Symbol"/>
      </w:rPr>
    </w:lvl>
    <w:lvl w:ilvl="5" w:tentative="0">
      <w:start w:val="1"/>
      <w:numFmt w:val="bullet"/>
      <w:lvlText w:val=""/>
      <w:lvlJc w:val="left"/>
      <w:pPr>
        <w:tabs>
          <w:tab w:val="left" w:pos="2520"/>
        </w:tabs>
        <w:ind w:left="2520" w:firstLine="0"/>
      </w:pPr>
      <w:rPr>
        <w:rFonts w:hint="default" w:ascii="Symbol" w:hAnsi="Symbol"/>
      </w:rPr>
    </w:lvl>
    <w:lvl w:ilvl="6" w:tentative="0">
      <w:start w:val="1"/>
      <w:numFmt w:val="bullet"/>
      <w:lvlText w:val=""/>
      <w:lvlJc w:val="left"/>
      <w:pPr>
        <w:tabs>
          <w:tab w:val="left" w:pos="2940"/>
        </w:tabs>
        <w:ind w:left="2940" w:firstLine="0"/>
      </w:pPr>
      <w:rPr>
        <w:rFonts w:hint="default" w:ascii="Symbol" w:hAnsi="Symbol"/>
      </w:rPr>
    </w:lvl>
    <w:lvl w:ilvl="7" w:tentative="0">
      <w:start w:val="1"/>
      <w:numFmt w:val="bullet"/>
      <w:lvlText w:val=""/>
      <w:lvlJc w:val="left"/>
      <w:pPr>
        <w:tabs>
          <w:tab w:val="left" w:pos="3360"/>
        </w:tabs>
        <w:ind w:left="3360" w:firstLine="0"/>
      </w:pPr>
      <w:rPr>
        <w:rFonts w:hint="default" w:ascii="Symbol" w:hAnsi="Symbol"/>
      </w:rPr>
    </w:lvl>
    <w:lvl w:ilvl="8" w:tentative="0">
      <w:start w:val="1"/>
      <w:numFmt w:val="bullet"/>
      <w:lvlText w:val=""/>
      <w:lvlJc w:val="left"/>
      <w:pPr>
        <w:tabs>
          <w:tab w:val="left" w:pos="3780"/>
        </w:tabs>
        <w:ind w:left="3780" w:firstLine="0"/>
      </w:pPr>
      <w:rPr>
        <w:rFonts w:hint="default" w:ascii="Symbol" w:hAnsi="Symbol"/>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21DCE97"/>
    <w:multiLevelType w:val="singleLevel"/>
    <w:tmpl w:val="621DCE97"/>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15739"/>
    <w:rsid w:val="000206DA"/>
    <w:rsid w:val="00021865"/>
    <w:rsid w:val="000246D5"/>
    <w:rsid w:val="00043398"/>
    <w:rsid w:val="000466C0"/>
    <w:rsid w:val="00047419"/>
    <w:rsid w:val="00052462"/>
    <w:rsid w:val="00060165"/>
    <w:rsid w:val="000817B1"/>
    <w:rsid w:val="000A0B84"/>
    <w:rsid w:val="000A2043"/>
    <w:rsid w:val="000A514C"/>
    <w:rsid w:val="000A717A"/>
    <w:rsid w:val="000B1783"/>
    <w:rsid w:val="000B4B42"/>
    <w:rsid w:val="000B596F"/>
    <w:rsid w:val="000C0608"/>
    <w:rsid w:val="000F1D13"/>
    <w:rsid w:val="000F3471"/>
    <w:rsid w:val="000F6A86"/>
    <w:rsid w:val="00100607"/>
    <w:rsid w:val="00113928"/>
    <w:rsid w:val="001173D3"/>
    <w:rsid w:val="00153FFE"/>
    <w:rsid w:val="00161A0A"/>
    <w:rsid w:val="00163C02"/>
    <w:rsid w:val="00163F1D"/>
    <w:rsid w:val="00173A57"/>
    <w:rsid w:val="00177F5C"/>
    <w:rsid w:val="001868E5"/>
    <w:rsid w:val="001907EC"/>
    <w:rsid w:val="001B511A"/>
    <w:rsid w:val="001C1B61"/>
    <w:rsid w:val="001C3264"/>
    <w:rsid w:val="001D077B"/>
    <w:rsid w:val="001D0B4A"/>
    <w:rsid w:val="001D7494"/>
    <w:rsid w:val="001E680A"/>
    <w:rsid w:val="001F2F64"/>
    <w:rsid w:val="00200904"/>
    <w:rsid w:val="002012C8"/>
    <w:rsid w:val="002148B4"/>
    <w:rsid w:val="00220729"/>
    <w:rsid w:val="002519D7"/>
    <w:rsid w:val="00273407"/>
    <w:rsid w:val="00273478"/>
    <w:rsid w:val="0027467B"/>
    <w:rsid w:val="002B136D"/>
    <w:rsid w:val="002B3BAD"/>
    <w:rsid w:val="002D61C0"/>
    <w:rsid w:val="002E42BC"/>
    <w:rsid w:val="002E5C1C"/>
    <w:rsid w:val="002E7BA7"/>
    <w:rsid w:val="002F08C2"/>
    <w:rsid w:val="002F4B9D"/>
    <w:rsid w:val="002F6C48"/>
    <w:rsid w:val="003003CA"/>
    <w:rsid w:val="00306966"/>
    <w:rsid w:val="00320394"/>
    <w:rsid w:val="0032595E"/>
    <w:rsid w:val="00326125"/>
    <w:rsid w:val="00326BD6"/>
    <w:rsid w:val="00334656"/>
    <w:rsid w:val="00342E31"/>
    <w:rsid w:val="00345D73"/>
    <w:rsid w:val="00346AE9"/>
    <w:rsid w:val="00351FD0"/>
    <w:rsid w:val="00374D9F"/>
    <w:rsid w:val="0038444A"/>
    <w:rsid w:val="00387684"/>
    <w:rsid w:val="003877C9"/>
    <w:rsid w:val="003A0092"/>
    <w:rsid w:val="003A0394"/>
    <w:rsid w:val="003C144B"/>
    <w:rsid w:val="003C69BC"/>
    <w:rsid w:val="003D2B90"/>
    <w:rsid w:val="004042F1"/>
    <w:rsid w:val="004101C4"/>
    <w:rsid w:val="00421C36"/>
    <w:rsid w:val="00427CC4"/>
    <w:rsid w:val="00436C2A"/>
    <w:rsid w:val="0044142C"/>
    <w:rsid w:val="00445FC2"/>
    <w:rsid w:val="00453FBF"/>
    <w:rsid w:val="004676EC"/>
    <w:rsid w:val="00470AD2"/>
    <w:rsid w:val="0047128F"/>
    <w:rsid w:val="00473A31"/>
    <w:rsid w:val="00485722"/>
    <w:rsid w:val="004B6ABA"/>
    <w:rsid w:val="004C3468"/>
    <w:rsid w:val="004C50AF"/>
    <w:rsid w:val="004C5410"/>
    <w:rsid w:val="004D0167"/>
    <w:rsid w:val="004D3C5E"/>
    <w:rsid w:val="004D6CA8"/>
    <w:rsid w:val="004E1BEE"/>
    <w:rsid w:val="004E1FC6"/>
    <w:rsid w:val="004F2981"/>
    <w:rsid w:val="004F57BD"/>
    <w:rsid w:val="004F5F64"/>
    <w:rsid w:val="00505889"/>
    <w:rsid w:val="00516B71"/>
    <w:rsid w:val="00520461"/>
    <w:rsid w:val="00521180"/>
    <w:rsid w:val="00521311"/>
    <w:rsid w:val="00522041"/>
    <w:rsid w:val="00524ADE"/>
    <w:rsid w:val="005274BB"/>
    <w:rsid w:val="0053197B"/>
    <w:rsid w:val="0053453F"/>
    <w:rsid w:val="00557F2C"/>
    <w:rsid w:val="00564C22"/>
    <w:rsid w:val="00565E61"/>
    <w:rsid w:val="00572A21"/>
    <w:rsid w:val="0057657D"/>
    <w:rsid w:val="005803C8"/>
    <w:rsid w:val="005812D3"/>
    <w:rsid w:val="005814A4"/>
    <w:rsid w:val="00590A8D"/>
    <w:rsid w:val="00595B76"/>
    <w:rsid w:val="00595BA3"/>
    <w:rsid w:val="00596DE3"/>
    <w:rsid w:val="005A1D95"/>
    <w:rsid w:val="005B57F5"/>
    <w:rsid w:val="005B65DE"/>
    <w:rsid w:val="005C4DCE"/>
    <w:rsid w:val="005E3F89"/>
    <w:rsid w:val="005F3B71"/>
    <w:rsid w:val="00603609"/>
    <w:rsid w:val="00603C26"/>
    <w:rsid w:val="00611BBA"/>
    <w:rsid w:val="0062479D"/>
    <w:rsid w:val="00641061"/>
    <w:rsid w:val="00644E79"/>
    <w:rsid w:val="006529F5"/>
    <w:rsid w:val="0067750A"/>
    <w:rsid w:val="00697A4C"/>
    <w:rsid w:val="006A4F52"/>
    <w:rsid w:val="006B2BD9"/>
    <w:rsid w:val="006B4EE3"/>
    <w:rsid w:val="00700B1A"/>
    <w:rsid w:val="007239A2"/>
    <w:rsid w:val="00741372"/>
    <w:rsid w:val="00741846"/>
    <w:rsid w:val="007428B7"/>
    <w:rsid w:val="00743ED1"/>
    <w:rsid w:val="00750D94"/>
    <w:rsid w:val="007514FD"/>
    <w:rsid w:val="0075260E"/>
    <w:rsid w:val="00752E7F"/>
    <w:rsid w:val="00752FD4"/>
    <w:rsid w:val="00753B9D"/>
    <w:rsid w:val="00755F52"/>
    <w:rsid w:val="00756329"/>
    <w:rsid w:val="00761D6B"/>
    <w:rsid w:val="00772E89"/>
    <w:rsid w:val="0077394B"/>
    <w:rsid w:val="00784C89"/>
    <w:rsid w:val="00792013"/>
    <w:rsid w:val="007920B9"/>
    <w:rsid w:val="0079673C"/>
    <w:rsid w:val="007A56B9"/>
    <w:rsid w:val="007B1F3C"/>
    <w:rsid w:val="007C2FFE"/>
    <w:rsid w:val="007C711C"/>
    <w:rsid w:val="007D7237"/>
    <w:rsid w:val="007F77B9"/>
    <w:rsid w:val="00800299"/>
    <w:rsid w:val="008040A1"/>
    <w:rsid w:val="0082664C"/>
    <w:rsid w:val="00841DC1"/>
    <w:rsid w:val="008431AD"/>
    <w:rsid w:val="0085003C"/>
    <w:rsid w:val="008538D5"/>
    <w:rsid w:val="008713A2"/>
    <w:rsid w:val="00880262"/>
    <w:rsid w:val="0089125D"/>
    <w:rsid w:val="008978CA"/>
    <w:rsid w:val="008A5CE5"/>
    <w:rsid w:val="008B0C18"/>
    <w:rsid w:val="008F01A1"/>
    <w:rsid w:val="008F2051"/>
    <w:rsid w:val="009067B3"/>
    <w:rsid w:val="00910B6D"/>
    <w:rsid w:val="00910F7D"/>
    <w:rsid w:val="00921839"/>
    <w:rsid w:val="00936059"/>
    <w:rsid w:val="00940D6D"/>
    <w:rsid w:val="00954778"/>
    <w:rsid w:val="00955C9B"/>
    <w:rsid w:val="0095690D"/>
    <w:rsid w:val="00963E40"/>
    <w:rsid w:val="00964E5D"/>
    <w:rsid w:val="009712DA"/>
    <w:rsid w:val="00972936"/>
    <w:rsid w:val="00972B59"/>
    <w:rsid w:val="00990B32"/>
    <w:rsid w:val="0099109B"/>
    <w:rsid w:val="009A1E84"/>
    <w:rsid w:val="009B0332"/>
    <w:rsid w:val="009C6B5D"/>
    <w:rsid w:val="009D32E7"/>
    <w:rsid w:val="009D384C"/>
    <w:rsid w:val="009D393E"/>
    <w:rsid w:val="009E216A"/>
    <w:rsid w:val="00A17144"/>
    <w:rsid w:val="00A30D88"/>
    <w:rsid w:val="00A36C4C"/>
    <w:rsid w:val="00A5357A"/>
    <w:rsid w:val="00A53FF1"/>
    <w:rsid w:val="00A57A14"/>
    <w:rsid w:val="00A63A76"/>
    <w:rsid w:val="00A7108E"/>
    <w:rsid w:val="00A77611"/>
    <w:rsid w:val="00A77D1B"/>
    <w:rsid w:val="00A82528"/>
    <w:rsid w:val="00A905C3"/>
    <w:rsid w:val="00A9325F"/>
    <w:rsid w:val="00A95F9A"/>
    <w:rsid w:val="00A97892"/>
    <w:rsid w:val="00AA32A8"/>
    <w:rsid w:val="00AB61CB"/>
    <w:rsid w:val="00AC3E14"/>
    <w:rsid w:val="00AC42D3"/>
    <w:rsid w:val="00AD02BE"/>
    <w:rsid w:val="00AF1D80"/>
    <w:rsid w:val="00B0653B"/>
    <w:rsid w:val="00B07BEA"/>
    <w:rsid w:val="00B12F7D"/>
    <w:rsid w:val="00B148C8"/>
    <w:rsid w:val="00B24B44"/>
    <w:rsid w:val="00B43032"/>
    <w:rsid w:val="00B437A1"/>
    <w:rsid w:val="00B43FAB"/>
    <w:rsid w:val="00B54181"/>
    <w:rsid w:val="00B622D6"/>
    <w:rsid w:val="00B62C65"/>
    <w:rsid w:val="00B633EA"/>
    <w:rsid w:val="00B6724B"/>
    <w:rsid w:val="00B7391F"/>
    <w:rsid w:val="00B97816"/>
    <w:rsid w:val="00BA2313"/>
    <w:rsid w:val="00BA7E32"/>
    <w:rsid w:val="00BC09C4"/>
    <w:rsid w:val="00BC38E0"/>
    <w:rsid w:val="00BC5012"/>
    <w:rsid w:val="00BC6A8B"/>
    <w:rsid w:val="00BD12BE"/>
    <w:rsid w:val="00C008C5"/>
    <w:rsid w:val="00C056A8"/>
    <w:rsid w:val="00C1130A"/>
    <w:rsid w:val="00C11B0A"/>
    <w:rsid w:val="00C12A86"/>
    <w:rsid w:val="00C35619"/>
    <w:rsid w:val="00C361E2"/>
    <w:rsid w:val="00C47469"/>
    <w:rsid w:val="00C51BE3"/>
    <w:rsid w:val="00C65722"/>
    <w:rsid w:val="00C7730E"/>
    <w:rsid w:val="00C84E9E"/>
    <w:rsid w:val="00C90828"/>
    <w:rsid w:val="00C92D24"/>
    <w:rsid w:val="00C935C8"/>
    <w:rsid w:val="00C96BA8"/>
    <w:rsid w:val="00CA0E35"/>
    <w:rsid w:val="00CC239F"/>
    <w:rsid w:val="00CD0062"/>
    <w:rsid w:val="00CF6163"/>
    <w:rsid w:val="00CF7644"/>
    <w:rsid w:val="00D126EF"/>
    <w:rsid w:val="00D24ACF"/>
    <w:rsid w:val="00D30E1A"/>
    <w:rsid w:val="00D344D1"/>
    <w:rsid w:val="00D40788"/>
    <w:rsid w:val="00D47CB8"/>
    <w:rsid w:val="00D616B0"/>
    <w:rsid w:val="00D6434D"/>
    <w:rsid w:val="00D65B18"/>
    <w:rsid w:val="00D737FB"/>
    <w:rsid w:val="00D80503"/>
    <w:rsid w:val="00D91965"/>
    <w:rsid w:val="00D92846"/>
    <w:rsid w:val="00DA003B"/>
    <w:rsid w:val="00DA1DD4"/>
    <w:rsid w:val="00DC3915"/>
    <w:rsid w:val="00DE03EF"/>
    <w:rsid w:val="00DE6B77"/>
    <w:rsid w:val="00E12A19"/>
    <w:rsid w:val="00E136F2"/>
    <w:rsid w:val="00E14CD1"/>
    <w:rsid w:val="00E213C1"/>
    <w:rsid w:val="00E35573"/>
    <w:rsid w:val="00E35D59"/>
    <w:rsid w:val="00E4305D"/>
    <w:rsid w:val="00E43F09"/>
    <w:rsid w:val="00E5276C"/>
    <w:rsid w:val="00E60592"/>
    <w:rsid w:val="00E61CFD"/>
    <w:rsid w:val="00E6688A"/>
    <w:rsid w:val="00E75E50"/>
    <w:rsid w:val="00EB12FD"/>
    <w:rsid w:val="00EB3F5F"/>
    <w:rsid w:val="00EC2E90"/>
    <w:rsid w:val="00EE0033"/>
    <w:rsid w:val="00EE1141"/>
    <w:rsid w:val="00EE6C27"/>
    <w:rsid w:val="00EF4802"/>
    <w:rsid w:val="00EF56E0"/>
    <w:rsid w:val="00EF6BA2"/>
    <w:rsid w:val="00EF7568"/>
    <w:rsid w:val="00F00F82"/>
    <w:rsid w:val="00F11446"/>
    <w:rsid w:val="00F1200C"/>
    <w:rsid w:val="00F1588B"/>
    <w:rsid w:val="00F16B2B"/>
    <w:rsid w:val="00F1785F"/>
    <w:rsid w:val="00F22D15"/>
    <w:rsid w:val="00F4130A"/>
    <w:rsid w:val="00F47AF1"/>
    <w:rsid w:val="00F5419A"/>
    <w:rsid w:val="00F66FF9"/>
    <w:rsid w:val="00F67249"/>
    <w:rsid w:val="00F724E9"/>
    <w:rsid w:val="00F841CA"/>
    <w:rsid w:val="00F85631"/>
    <w:rsid w:val="00F91E1E"/>
    <w:rsid w:val="00FB18B6"/>
    <w:rsid w:val="00FB33A7"/>
    <w:rsid w:val="00FB57AA"/>
    <w:rsid w:val="00FC50C9"/>
    <w:rsid w:val="00FD2064"/>
    <w:rsid w:val="00FE1004"/>
    <w:rsid w:val="00FE5F07"/>
    <w:rsid w:val="00FE6926"/>
    <w:rsid w:val="00FE72B1"/>
    <w:rsid w:val="01622E76"/>
    <w:rsid w:val="03B44D5F"/>
    <w:rsid w:val="082C6248"/>
    <w:rsid w:val="09C4782E"/>
    <w:rsid w:val="0ECB7368"/>
    <w:rsid w:val="0FD91C07"/>
    <w:rsid w:val="11612EA5"/>
    <w:rsid w:val="12CC5588"/>
    <w:rsid w:val="131E2240"/>
    <w:rsid w:val="1B9703C5"/>
    <w:rsid w:val="1C635C29"/>
    <w:rsid w:val="1C6537BA"/>
    <w:rsid w:val="286C4199"/>
    <w:rsid w:val="28977847"/>
    <w:rsid w:val="2A3D2189"/>
    <w:rsid w:val="2E4F6256"/>
    <w:rsid w:val="36230505"/>
    <w:rsid w:val="3BA207ED"/>
    <w:rsid w:val="43ED4466"/>
    <w:rsid w:val="46CA2860"/>
    <w:rsid w:val="474C6DD1"/>
    <w:rsid w:val="54F6469B"/>
    <w:rsid w:val="59C52B8D"/>
    <w:rsid w:val="5AE973A2"/>
    <w:rsid w:val="5B697371"/>
    <w:rsid w:val="5C2C0D83"/>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字符"/>
    <w:basedOn w:val="5"/>
    <w:link w:val="3"/>
    <w:autoRedefine/>
    <w:qFormat/>
    <w:uiPriority w:val="0"/>
    <w:rPr>
      <w:rFonts w:ascii="Times New Roman" w:hAnsi="Times New Roman" w:eastAsia="宋体"/>
      <w:kern w:val="2"/>
      <w:sz w:val="18"/>
      <w:szCs w:val="18"/>
    </w:rPr>
  </w:style>
  <w:style w:type="character" w:customStyle="1" w:styleId="8">
    <w:name w:val="页脚 字符"/>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jpeg"/><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1112</Words>
  <Characters>6340</Characters>
  <Lines>52</Lines>
  <Paragraphs>14</Paragraphs>
  <TotalTime>0</TotalTime>
  <ScaleCrop>false</ScaleCrop>
  <LinksUpToDate>false</LinksUpToDate>
  <CharactersWithSpaces>7438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2024-01-17T05:51:56Z</dcterms:modified>
  <cp:revision>337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D8C3D86190044CF79FC5E9FC38194C98_13</vt:lpwstr>
  </property>
</Properties>
</file>