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辽宁省沈阳市浑南区公共服务综合指挥中心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辽宁省沈阳市浑南区公共服务综合指挥中心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辽宁省沈阳市浑南区公共服务综合指挥中心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辽宁省沈阳市浑南区公共服务综合指挥中心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辽宁省沈阳市浑南区公共服务综合指挥中心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辽宁省沈阳市浑南区公共服务综合指挥中心概况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(一）代表区委、区政府负责对全区热线服务工作的统筹协调，承担区“ 12345 "热线平台的日常管理和服务。</w:t>
        <w:br/>
        <w:t xml:space="preserve">    （二）负责对网格巡查员上报及市智慧城管（一网统管）平台下派等多渠道的城市管理案件及国家、省、市、区等多渠道转办的民意诉求案件的接收、确责、派遣、审核工作。</w:t>
        <w:br/>
        <w:t xml:space="preserve">    （三）负责生态环保1 1 0平台和1 1 0非警务警情联动处置平台值守，对非环保类诉求和非警务警情案件的接收、派遣、反馈等工作。</w:t>
        <w:br/>
        <w:t xml:space="preserve">    （四）负责制定智慧城管（一网统管）平台及民意诉求平台案件办理工作方案及责任清单工作。</w:t>
        <w:br/>
        <w:t xml:space="preserve">    （五）负责智慧城管 （一网统管 ） 平台及民意诉求平台案件的统计、分析和总结研判工作。</w:t>
        <w:br/>
        <w:t xml:space="preserve">    （六 ） 负责智慧城管 （一网统管 ） 平台、 民意诉求平台案件办理等工作的督查、 督办及考核评价工作。</w:t>
        <w:br/>
        <w:t xml:space="preserve">    （七）承担指挥大厅日常管理及应急指挥服务工作。</w:t>
        <w:br/>
        <w:t xml:space="preserve">    （八）负责区12345进社区工作领导小组办公室相关工作，贯彻落实市、区领导小组的部署要求 ， 统筹协调各单位推进12345 进社区工作。完成区委、区政府交办的其他任务。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辽宁省沈阳市浑南区公共服务综合指挥中心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浑南区公共服务综合指挥中心本级，无下设机构。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817.35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817.35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817.35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减少391.81万元，降低32.40%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一是事业单位改革，机构重整；二是项目预算缩减</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817.35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415.03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50.78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工资福利支出395.88万元；商品和服务支出18.64万元；资本性支出0.51万元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402.32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49.22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主要包括应急管理等业务支出。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减少391.81万元，降低32.40%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一是事业单位改革，机构重整；二是项目预算缩减</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预算支出按照计划完成，无结转结余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817.35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415.03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402.32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减少391.81万元，降低32.40%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一是事业单位改革，机构重整；二是项目预算缩减</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82.57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82.23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82.92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2024年度一般公共预算财政拨款支出817.35万元。按支出功能分类科目分，包括：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1.社会保障和就业支出52.42万元，具体包括：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42.20万元,主要是社会保障和就业支出，机关事业单位基本养老保险缴费等支出，完成年初预算的100%，决算数与年初预算数存在差异的主要原因是单位新增新入职人员7人，养老保险缴费基数的变化，按照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10.22万元,主要是社会保障和就业支出，机关事业单位基本养老保险缴费和机关事业单位职业年金缴费等支出，完成年初预算的100%，决算数与年初预算数存在差异的主要原因是单位新增新入职人员7人，养老保险缴费基数的变化，按照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2.卫生健康支出17.84万元，具体包括：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17.84万元,主要是在职人员医疗保险费用等支出，完成年初预算的103.72%，决算数与年初预算数存在差异的主要原因是单位新增新入职人员7人，按照人员调转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3.住房保障支出39.94万元，具体包括：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39.94万元,主要是单位职工住房公积金等支出，完成年初预算的43.57%，决算数与年初预算数存在差异的主要原因是2024年公积金调整基数，增加新入职人员7人预算未发放，住房高比例补贴未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4.灾害防治及应急管理支出707.14万元，具体包括：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事业运行（项）304.82万元,主要是单位安全奖支出、防汛抗灾应急项目等支出，完成年初预算的84.1%，决算数与年初预算数存在差异的主要原因是单位安全奖支出、防汛抗灾应急项目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灾害防治及应急管理支出（类）应急管理事务（款）其他应急管理支出（项）402.32万元,主要是单位安全奖支出、防汛抗灾应急项目等支出，完成年初预算的84.1%，决算数与年初预算数存在差异的主要原因是单位安全奖支出、防汛抗灾应急项目支出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415.03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395.88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19.15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具体而言，本年度我部门共组织对9个项目实施了绩效评价。从预算资金来源看，涉及一般公共预算的项目9个，涉及政府性基金预算的项目0个，涉及国有资本经营预算的项目0个。</w:t>
        <w:br/>
        <w:t xml:space="preserve">    上述评价工作共涉及财政资金817.35万元。其中，一般公共预算资金817.35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01个；得分在60分（含）至80分、等级为“中”的项目有1个；得分在60分以下、等级为“差”的项目有1个。各项目自评发现，部分项目存在个别效益指标未能完全达成的问题，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在全面自评的基础上，本部门选取了1个资金量大、社会关注度高、具有代表性的重点项目实施了部门重点评价。评价工作通过数据采集分析的方式进行，确保了评价结果的客观性和公正性。</w:t>
        <w:br/>
        <w:t xml:space="preserve">    我部门组织对2个项目重点评价，结果显示，被评价项目整体绩效情况良好。其中：第一个重点项目为派遣人员工资，涉及资金336.99万元，评价平均分为99.89分，评级情况为优；第二个重点项目为大数据、云服务平台运行经费，涉及资金1.98万元，评价平均分为98.24分，评级情况为优。同时，评价也发现营商环境管理专项业务经费项目存在绩效指标设置不够贴合实际情况等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16.灾害防治及应急管理支出（类）应急管理事务（款）事业运行（项）：反映应急管理事务方面的事业单位基本支出。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817.35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52.43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17.84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39.94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707.14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817.35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817.35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817.35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817.35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817.35</w:t>
            </w:r>
          </w:p>
        </w:tc>
        <w:tc>
          <w:tcPr>
            <w:tcW w:w="960" w:type="dxa"/>
            <w:tcBorders/>
            <w:vAlign w:val="center"/>
          </w:tcPr>
          <w:p>
            <w:pPr>
              <w:jc w:val="right"/>
            </w:pPr>
            <w:r>
              <w:rPr>
                <w:rFonts w:ascii="宋体" w:eastAsia="宋体" w:hAnsi="宋体" w:cs="宋体"/>
                <w:b/>
                <w:i w:val="0"/>
                <w:color w:val="000000"/>
                <w:sz w:val="13"/>
              </w:rPr>
              <w:t xml:space="preserve">817.35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52.42</w:t>
            </w:r>
          </w:p>
        </w:tc>
        <w:tc>
          <w:tcPr>
            <w:tcW w:w="960" w:type="dxa"/>
            <w:tcBorders/>
            <w:vAlign w:val="center"/>
          </w:tcPr>
          <w:p>
            <w:pPr>
              <w:jc w:val="right"/>
            </w:pPr>
            <w:r>
              <w:rPr>
                <w:rFonts w:ascii="宋体" w:eastAsia="宋体" w:hAnsi="宋体" w:cs="宋体"/>
                <w:b w:val="0"/>
                <w:i w:val="0"/>
                <w:color w:val="000000"/>
                <w:sz w:val="13"/>
              </w:rPr>
              <w:t xml:space="preserve">52.42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52.42</w:t>
            </w:r>
          </w:p>
        </w:tc>
        <w:tc>
          <w:tcPr>
            <w:tcW w:w="960" w:type="dxa"/>
            <w:tcBorders/>
            <w:vAlign w:val="center"/>
          </w:tcPr>
          <w:p>
            <w:pPr>
              <w:jc w:val="right"/>
            </w:pPr>
            <w:r>
              <w:rPr>
                <w:rFonts w:ascii="宋体" w:eastAsia="宋体" w:hAnsi="宋体" w:cs="宋体"/>
                <w:b w:val="0"/>
                <w:i w:val="0"/>
                <w:color w:val="000000"/>
                <w:sz w:val="13"/>
              </w:rPr>
              <w:t xml:space="preserve">52.42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42.20</w:t>
            </w:r>
          </w:p>
        </w:tc>
        <w:tc>
          <w:tcPr>
            <w:tcW w:w="960" w:type="dxa"/>
            <w:tcBorders/>
            <w:vAlign w:val="center"/>
          </w:tcPr>
          <w:p>
            <w:pPr>
              <w:jc w:val="right"/>
            </w:pPr>
            <w:r>
              <w:rPr>
                <w:rFonts w:ascii="宋体" w:eastAsia="宋体" w:hAnsi="宋体" w:cs="宋体"/>
                <w:b w:val="0"/>
                <w:i w:val="0"/>
                <w:color w:val="000000"/>
                <w:sz w:val="13"/>
              </w:rPr>
              <w:t xml:space="preserve">42.20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10.22</w:t>
            </w:r>
          </w:p>
        </w:tc>
        <w:tc>
          <w:tcPr>
            <w:tcW w:w="960" w:type="dxa"/>
            <w:tcBorders/>
            <w:vAlign w:val="center"/>
          </w:tcPr>
          <w:p>
            <w:pPr>
              <w:jc w:val="right"/>
            </w:pPr>
            <w:r>
              <w:rPr>
                <w:rFonts w:ascii="宋体" w:eastAsia="宋体" w:hAnsi="宋体" w:cs="宋体"/>
                <w:b w:val="0"/>
                <w:i w:val="0"/>
                <w:color w:val="000000"/>
                <w:sz w:val="13"/>
              </w:rPr>
              <w:t xml:space="preserve">10.22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17.84</w:t>
            </w:r>
          </w:p>
        </w:tc>
        <w:tc>
          <w:tcPr>
            <w:tcW w:w="960" w:type="dxa"/>
            <w:tcBorders/>
            <w:vAlign w:val="center"/>
          </w:tcPr>
          <w:p>
            <w:pPr>
              <w:jc w:val="right"/>
            </w:pPr>
            <w:r>
              <w:rPr>
                <w:rFonts w:ascii="宋体" w:eastAsia="宋体" w:hAnsi="宋体" w:cs="宋体"/>
                <w:b w:val="0"/>
                <w:i w:val="0"/>
                <w:color w:val="000000"/>
                <w:sz w:val="13"/>
              </w:rPr>
              <w:t xml:space="preserve">17.84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17.84</w:t>
            </w:r>
          </w:p>
        </w:tc>
        <w:tc>
          <w:tcPr>
            <w:tcW w:w="960" w:type="dxa"/>
            <w:tcBorders/>
            <w:vAlign w:val="center"/>
          </w:tcPr>
          <w:p>
            <w:pPr>
              <w:jc w:val="right"/>
            </w:pPr>
            <w:r>
              <w:rPr>
                <w:rFonts w:ascii="宋体" w:eastAsia="宋体" w:hAnsi="宋体" w:cs="宋体"/>
                <w:b w:val="0"/>
                <w:i w:val="0"/>
                <w:color w:val="000000"/>
                <w:sz w:val="13"/>
              </w:rPr>
              <w:t xml:space="preserve">17.84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17.84</w:t>
            </w:r>
          </w:p>
        </w:tc>
        <w:tc>
          <w:tcPr>
            <w:tcW w:w="960" w:type="dxa"/>
            <w:tcBorders/>
            <w:vAlign w:val="center"/>
          </w:tcPr>
          <w:p>
            <w:pPr>
              <w:jc w:val="right"/>
            </w:pPr>
            <w:r>
              <w:rPr>
                <w:rFonts w:ascii="宋体" w:eastAsia="宋体" w:hAnsi="宋体" w:cs="宋体"/>
                <w:b w:val="0"/>
                <w:i w:val="0"/>
                <w:color w:val="000000"/>
                <w:sz w:val="13"/>
              </w:rPr>
              <w:t xml:space="preserve">17.84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39.94</w:t>
            </w:r>
          </w:p>
        </w:tc>
        <w:tc>
          <w:tcPr>
            <w:tcW w:w="960" w:type="dxa"/>
            <w:tcBorders/>
            <w:vAlign w:val="center"/>
          </w:tcPr>
          <w:p>
            <w:pPr>
              <w:jc w:val="right"/>
            </w:pPr>
            <w:r>
              <w:rPr>
                <w:rFonts w:ascii="宋体" w:eastAsia="宋体" w:hAnsi="宋体" w:cs="宋体"/>
                <w:b w:val="0"/>
                <w:i w:val="0"/>
                <w:color w:val="000000"/>
                <w:sz w:val="13"/>
              </w:rPr>
              <w:t xml:space="preserve">39.94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39.94</w:t>
            </w:r>
          </w:p>
        </w:tc>
        <w:tc>
          <w:tcPr>
            <w:tcW w:w="960" w:type="dxa"/>
            <w:tcBorders/>
            <w:vAlign w:val="center"/>
          </w:tcPr>
          <w:p>
            <w:pPr>
              <w:jc w:val="right"/>
            </w:pPr>
            <w:r>
              <w:rPr>
                <w:rFonts w:ascii="宋体" w:eastAsia="宋体" w:hAnsi="宋体" w:cs="宋体"/>
                <w:b w:val="0"/>
                <w:i w:val="0"/>
                <w:color w:val="000000"/>
                <w:sz w:val="13"/>
              </w:rPr>
              <w:t xml:space="preserve">39.94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39.94</w:t>
            </w:r>
          </w:p>
        </w:tc>
        <w:tc>
          <w:tcPr>
            <w:tcW w:w="960" w:type="dxa"/>
            <w:tcBorders/>
            <w:vAlign w:val="center"/>
          </w:tcPr>
          <w:p>
            <w:pPr>
              <w:jc w:val="right"/>
            </w:pPr>
            <w:r>
              <w:rPr>
                <w:rFonts w:ascii="宋体" w:eastAsia="宋体" w:hAnsi="宋体" w:cs="宋体"/>
                <w:b w:val="0"/>
                <w:i w:val="0"/>
                <w:color w:val="000000"/>
                <w:sz w:val="13"/>
              </w:rPr>
              <w:t xml:space="preserve">39.94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707.14</w:t>
            </w:r>
          </w:p>
        </w:tc>
        <w:tc>
          <w:tcPr>
            <w:tcW w:w="960" w:type="dxa"/>
            <w:tcBorders/>
            <w:vAlign w:val="center"/>
          </w:tcPr>
          <w:p>
            <w:pPr>
              <w:jc w:val="right"/>
            </w:pPr>
            <w:r>
              <w:rPr>
                <w:rFonts w:ascii="宋体" w:eastAsia="宋体" w:hAnsi="宋体" w:cs="宋体"/>
                <w:b w:val="0"/>
                <w:i w:val="0"/>
                <w:color w:val="000000"/>
                <w:sz w:val="13"/>
              </w:rPr>
              <w:t xml:space="preserve">707.14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707.14</w:t>
            </w:r>
          </w:p>
        </w:tc>
        <w:tc>
          <w:tcPr>
            <w:tcW w:w="960" w:type="dxa"/>
            <w:tcBorders/>
            <w:vAlign w:val="center"/>
          </w:tcPr>
          <w:p>
            <w:pPr>
              <w:jc w:val="right"/>
            </w:pPr>
            <w:r>
              <w:rPr>
                <w:rFonts w:ascii="宋体" w:eastAsia="宋体" w:hAnsi="宋体" w:cs="宋体"/>
                <w:b w:val="0"/>
                <w:i w:val="0"/>
                <w:color w:val="000000"/>
                <w:sz w:val="13"/>
              </w:rPr>
              <w:t xml:space="preserve">707.14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304.82</w:t>
            </w:r>
          </w:p>
        </w:tc>
        <w:tc>
          <w:tcPr>
            <w:tcW w:w="960" w:type="dxa"/>
            <w:tcBorders/>
            <w:vAlign w:val="center"/>
          </w:tcPr>
          <w:p>
            <w:pPr>
              <w:jc w:val="right"/>
            </w:pPr>
            <w:r>
              <w:rPr>
                <w:rFonts w:ascii="宋体" w:eastAsia="宋体" w:hAnsi="宋体" w:cs="宋体"/>
                <w:b w:val="0"/>
                <w:i w:val="0"/>
                <w:color w:val="000000"/>
                <w:sz w:val="13"/>
              </w:rPr>
              <w:t xml:space="preserve">304.82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402.32</w:t>
            </w:r>
          </w:p>
        </w:tc>
        <w:tc>
          <w:tcPr>
            <w:tcW w:w="960" w:type="dxa"/>
            <w:tcBorders/>
            <w:vAlign w:val="center"/>
          </w:tcPr>
          <w:p>
            <w:pPr>
              <w:jc w:val="right"/>
            </w:pPr>
            <w:r>
              <w:rPr>
                <w:rFonts w:ascii="宋体" w:eastAsia="宋体" w:hAnsi="宋体" w:cs="宋体"/>
                <w:b w:val="0"/>
                <w:i w:val="0"/>
                <w:color w:val="000000"/>
                <w:sz w:val="13"/>
              </w:rPr>
              <w:t xml:space="preserve">402.32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817.35</w:t>
            </w:r>
          </w:p>
        </w:tc>
        <w:tc>
          <w:tcPr>
            <w:tcW w:w="1060" w:type="dxa"/>
            <w:tcBorders/>
            <w:vAlign w:val="center"/>
          </w:tcPr>
          <w:p>
            <w:pPr>
              <w:jc w:val="right"/>
            </w:pPr>
            <w:r>
              <w:rPr>
                <w:rFonts w:ascii="宋体" w:eastAsia="宋体" w:hAnsi="宋体" w:cs="宋体"/>
                <w:b/>
                <w:i w:val="0"/>
                <w:color w:val="000000"/>
                <w:sz w:val="14"/>
              </w:rPr>
              <w:t xml:space="preserve">415.03</w:t>
            </w:r>
          </w:p>
        </w:tc>
        <w:tc>
          <w:tcPr>
            <w:tcW w:w="1060" w:type="dxa"/>
            <w:tcBorders/>
            <w:vAlign w:val="center"/>
          </w:tcPr>
          <w:p>
            <w:pPr>
              <w:jc w:val="right"/>
            </w:pPr>
            <w:r>
              <w:rPr>
                <w:rFonts w:ascii="宋体" w:eastAsia="宋体" w:hAnsi="宋体" w:cs="宋体"/>
                <w:b/>
                <w:i w:val="0"/>
                <w:color w:val="000000"/>
                <w:sz w:val="14"/>
              </w:rPr>
              <w:t xml:space="preserve">402.32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52.42</w:t>
            </w:r>
          </w:p>
        </w:tc>
        <w:tc>
          <w:tcPr>
            <w:tcW w:w="1060" w:type="dxa"/>
            <w:tcBorders/>
            <w:vAlign w:val="center"/>
          </w:tcPr>
          <w:p>
            <w:pPr>
              <w:jc w:val="right"/>
            </w:pPr>
            <w:r>
              <w:rPr>
                <w:rFonts w:ascii="宋体" w:eastAsia="宋体" w:hAnsi="宋体" w:cs="宋体"/>
                <w:b w:val="0"/>
                <w:i w:val="0"/>
                <w:color w:val="000000"/>
                <w:sz w:val="14"/>
              </w:rPr>
              <w:t xml:space="preserve">52.42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52.42</w:t>
            </w:r>
          </w:p>
        </w:tc>
        <w:tc>
          <w:tcPr>
            <w:tcW w:w="1060" w:type="dxa"/>
            <w:tcBorders/>
            <w:vAlign w:val="center"/>
          </w:tcPr>
          <w:p>
            <w:pPr>
              <w:jc w:val="right"/>
            </w:pPr>
            <w:r>
              <w:rPr>
                <w:rFonts w:ascii="宋体" w:eastAsia="宋体" w:hAnsi="宋体" w:cs="宋体"/>
                <w:b w:val="0"/>
                <w:i w:val="0"/>
                <w:color w:val="000000"/>
                <w:sz w:val="14"/>
              </w:rPr>
              <w:t xml:space="preserve">52.42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42.20</w:t>
            </w:r>
          </w:p>
        </w:tc>
        <w:tc>
          <w:tcPr>
            <w:tcW w:w="1060" w:type="dxa"/>
            <w:tcBorders/>
            <w:vAlign w:val="center"/>
          </w:tcPr>
          <w:p>
            <w:pPr>
              <w:jc w:val="right"/>
            </w:pPr>
            <w:r>
              <w:rPr>
                <w:rFonts w:ascii="宋体" w:eastAsia="宋体" w:hAnsi="宋体" w:cs="宋体"/>
                <w:b w:val="0"/>
                <w:i w:val="0"/>
                <w:color w:val="000000"/>
                <w:sz w:val="14"/>
              </w:rPr>
              <w:t xml:space="preserve">42.20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10.22</w:t>
            </w:r>
          </w:p>
        </w:tc>
        <w:tc>
          <w:tcPr>
            <w:tcW w:w="1060" w:type="dxa"/>
            <w:tcBorders/>
            <w:vAlign w:val="center"/>
          </w:tcPr>
          <w:p>
            <w:pPr>
              <w:jc w:val="right"/>
            </w:pPr>
            <w:r>
              <w:rPr>
                <w:rFonts w:ascii="宋体" w:eastAsia="宋体" w:hAnsi="宋体" w:cs="宋体"/>
                <w:b w:val="0"/>
                <w:i w:val="0"/>
                <w:color w:val="000000"/>
                <w:sz w:val="14"/>
              </w:rPr>
              <w:t xml:space="preserve">10.22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17.84</w:t>
            </w:r>
          </w:p>
        </w:tc>
        <w:tc>
          <w:tcPr>
            <w:tcW w:w="1060" w:type="dxa"/>
            <w:tcBorders/>
            <w:vAlign w:val="center"/>
          </w:tcPr>
          <w:p>
            <w:pPr>
              <w:jc w:val="right"/>
            </w:pPr>
            <w:r>
              <w:rPr>
                <w:rFonts w:ascii="宋体" w:eastAsia="宋体" w:hAnsi="宋体" w:cs="宋体"/>
                <w:b w:val="0"/>
                <w:i w:val="0"/>
                <w:color w:val="000000"/>
                <w:sz w:val="14"/>
              </w:rPr>
              <w:t xml:space="preserve">17.84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17.84</w:t>
            </w:r>
          </w:p>
        </w:tc>
        <w:tc>
          <w:tcPr>
            <w:tcW w:w="1060" w:type="dxa"/>
            <w:tcBorders/>
            <w:vAlign w:val="center"/>
          </w:tcPr>
          <w:p>
            <w:pPr>
              <w:jc w:val="right"/>
            </w:pPr>
            <w:r>
              <w:rPr>
                <w:rFonts w:ascii="宋体" w:eastAsia="宋体" w:hAnsi="宋体" w:cs="宋体"/>
                <w:b w:val="0"/>
                <w:i w:val="0"/>
                <w:color w:val="000000"/>
                <w:sz w:val="14"/>
              </w:rPr>
              <w:t xml:space="preserve">17.84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17.84</w:t>
            </w:r>
          </w:p>
        </w:tc>
        <w:tc>
          <w:tcPr>
            <w:tcW w:w="1060" w:type="dxa"/>
            <w:tcBorders/>
            <w:vAlign w:val="center"/>
          </w:tcPr>
          <w:p>
            <w:pPr>
              <w:jc w:val="right"/>
            </w:pPr>
            <w:r>
              <w:rPr>
                <w:rFonts w:ascii="宋体" w:eastAsia="宋体" w:hAnsi="宋体" w:cs="宋体"/>
                <w:b w:val="0"/>
                <w:i w:val="0"/>
                <w:color w:val="000000"/>
                <w:sz w:val="14"/>
              </w:rPr>
              <w:t xml:space="preserve">17.84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39.94</w:t>
            </w:r>
          </w:p>
        </w:tc>
        <w:tc>
          <w:tcPr>
            <w:tcW w:w="1060" w:type="dxa"/>
            <w:tcBorders/>
            <w:vAlign w:val="center"/>
          </w:tcPr>
          <w:p>
            <w:pPr>
              <w:jc w:val="right"/>
            </w:pPr>
            <w:r>
              <w:rPr>
                <w:rFonts w:ascii="宋体" w:eastAsia="宋体" w:hAnsi="宋体" w:cs="宋体"/>
                <w:b w:val="0"/>
                <w:i w:val="0"/>
                <w:color w:val="000000"/>
                <w:sz w:val="14"/>
              </w:rPr>
              <w:t xml:space="preserve">39.94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39.94</w:t>
            </w:r>
          </w:p>
        </w:tc>
        <w:tc>
          <w:tcPr>
            <w:tcW w:w="1060" w:type="dxa"/>
            <w:tcBorders/>
            <w:vAlign w:val="center"/>
          </w:tcPr>
          <w:p>
            <w:pPr>
              <w:jc w:val="right"/>
            </w:pPr>
            <w:r>
              <w:rPr>
                <w:rFonts w:ascii="宋体" w:eastAsia="宋体" w:hAnsi="宋体" w:cs="宋体"/>
                <w:b w:val="0"/>
                <w:i w:val="0"/>
                <w:color w:val="000000"/>
                <w:sz w:val="14"/>
              </w:rPr>
              <w:t xml:space="preserve">39.94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39.94</w:t>
            </w:r>
          </w:p>
        </w:tc>
        <w:tc>
          <w:tcPr>
            <w:tcW w:w="1060" w:type="dxa"/>
            <w:tcBorders/>
            <w:vAlign w:val="center"/>
          </w:tcPr>
          <w:p>
            <w:pPr>
              <w:jc w:val="right"/>
            </w:pPr>
            <w:r>
              <w:rPr>
                <w:rFonts w:ascii="宋体" w:eastAsia="宋体" w:hAnsi="宋体" w:cs="宋体"/>
                <w:b w:val="0"/>
                <w:i w:val="0"/>
                <w:color w:val="000000"/>
                <w:sz w:val="14"/>
              </w:rPr>
              <w:t xml:space="preserve">39.94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707.14</w:t>
            </w:r>
          </w:p>
        </w:tc>
        <w:tc>
          <w:tcPr>
            <w:tcW w:w="1060" w:type="dxa"/>
            <w:tcBorders/>
            <w:vAlign w:val="center"/>
          </w:tcPr>
          <w:p>
            <w:pPr>
              <w:jc w:val="right"/>
            </w:pPr>
            <w:r>
              <w:rPr>
                <w:rFonts w:ascii="宋体" w:eastAsia="宋体" w:hAnsi="宋体" w:cs="宋体"/>
                <w:b w:val="0"/>
                <w:i w:val="0"/>
                <w:color w:val="000000"/>
                <w:sz w:val="14"/>
              </w:rPr>
              <w:t xml:space="preserve">304.82</w:t>
            </w:r>
          </w:p>
        </w:tc>
        <w:tc>
          <w:tcPr>
            <w:tcW w:w="1060" w:type="dxa"/>
            <w:tcBorders/>
            <w:vAlign w:val="center"/>
          </w:tcPr>
          <w:p>
            <w:pPr>
              <w:jc w:val="right"/>
            </w:pPr>
            <w:r>
              <w:rPr>
                <w:rFonts w:ascii="宋体" w:eastAsia="宋体" w:hAnsi="宋体" w:cs="宋体"/>
                <w:b w:val="0"/>
                <w:i w:val="0"/>
                <w:color w:val="000000"/>
                <w:sz w:val="14"/>
              </w:rPr>
              <w:t xml:space="preserve">402.32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707.14</w:t>
            </w:r>
          </w:p>
        </w:tc>
        <w:tc>
          <w:tcPr>
            <w:tcW w:w="1060" w:type="dxa"/>
            <w:tcBorders/>
            <w:vAlign w:val="center"/>
          </w:tcPr>
          <w:p>
            <w:pPr>
              <w:jc w:val="right"/>
            </w:pPr>
            <w:r>
              <w:rPr>
                <w:rFonts w:ascii="宋体" w:eastAsia="宋体" w:hAnsi="宋体" w:cs="宋体"/>
                <w:b w:val="0"/>
                <w:i w:val="0"/>
                <w:color w:val="000000"/>
                <w:sz w:val="14"/>
              </w:rPr>
              <w:t xml:space="preserve">304.82</w:t>
            </w:r>
          </w:p>
        </w:tc>
        <w:tc>
          <w:tcPr>
            <w:tcW w:w="1060" w:type="dxa"/>
            <w:tcBorders/>
            <w:vAlign w:val="center"/>
          </w:tcPr>
          <w:p>
            <w:pPr>
              <w:jc w:val="right"/>
            </w:pPr>
            <w:r>
              <w:rPr>
                <w:rFonts w:ascii="宋体" w:eastAsia="宋体" w:hAnsi="宋体" w:cs="宋体"/>
                <w:b w:val="0"/>
                <w:i w:val="0"/>
                <w:color w:val="000000"/>
                <w:sz w:val="14"/>
              </w:rPr>
              <w:t xml:space="preserve">402.32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304.82</w:t>
            </w:r>
          </w:p>
        </w:tc>
        <w:tc>
          <w:tcPr>
            <w:tcW w:w="1060" w:type="dxa"/>
            <w:tcBorders/>
            <w:vAlign w:val="center"/>
          </w:tcPr>
          <w:p>
            <w:pPr>
              <w:jc w:val="right"/>
            </w:pPr>
            <w:r>
              <w:rPr>
                <w:rFonts w:ascii="宋体" w:eastAsia="宋体" w:hAnsi="宋体" w:cs="宋体"/>
                <w:b w:val="0"/>
                <w:i w:val="0"/>
                <w:color w:val="000000"/>
                <w:sz w:val="14"/>
              </w:rPr>
              <w:t xml:space="preserve">304.82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402.32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52.43</w:t>
            </w:r>
          </w:p>
        </w:tc>
        <w:tc>
          <w:tcPr>
            <w:tcW w:w="1100" w:type="dxa"/>
            <w:tcBorders/>
            <w:vAlign w:val="center"/>
          </w:tcPr>
          <w:p>
            <w:pPr>
              <w:jc w:val="right"/>
            </w:pPr>
            <w:r>
              <w:rPr>
                <w:rFonts w:ascii="宋体" w:eastAsia="宋体" w:hAnsi="宋体" w:cs="宋体"/>
                <w:b w:val="0"/>
                <w:i w:val="0"/>
                <w:color w:val="000000"/>
                <w:sz w:val="14"/>
              </w:rPr>
              <w:t xml:space="preserve">52.43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17.84</w:t>
            </w:r>
          </w:p>
        </w:tc>
        <w:tc>
          <w:tcPr>
            <w:tcW w:w="1100" w:type="dxa"/>
            <w:tcBorders/>
            <w:vAlign w:val="center"/>
          </w:tcPr>
          <w:p>
            <w:pPr>
              <w:jc w:val="right"/>
            </w:pPr>
            <w:r>
              <w:rPr>
                <w:rFonts w:ascii="宋体" w:eastAsia="宋体" w:hAnsi="宋体" w:cs="宋体"/>
                <w:b w:val="0"/>
                <w:i w:val="0"/>
                <w:color w:val="000000"/>
                <w:sz w:val="14"/>
              </w:rPr>
              <w:t xml:space="preserve">17.84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39.94</w:t>
            </w:r>
          </w:p>
        </w:tc>
        <w:tc>
          <w:tcPr>
            <w:tcW w:w="1100" w:type="dxa"/>
            <w:tcBorders/>
            <w:vAlign w:val="center"/>
          </w:tcPr>
          <w:p>
            <w:pPr>
              <w:jc w:val="right"/>
            </w:pPr>
            <w:r>
              <w:rPr>
                <w:rFonts w:ascii="宋体" w:eastAsia="宋体" w:hAnsi="宋体" w:cs="宋体"/>
                <w:b w:val="0"/>
                <w:i w:val="0"/>
                <w:color w:val="000000"/>
                <w:sz w:val="14"/>
              </w:rPr>
              <w:t xml:space="preserve">39.94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707.14</w:t>
            </w:r>
          </w:p>
        </w:tc>
        <w:tc>
          <w:tcPr>
            <w:tcW w:w="1100" w:type="dxa"/>
            <w:tcBorders/>
            <w:vAlign w:val="center"/>
          </w:tcPr>
          <w:p>
            <w:pPr>
              <w:jc w:val="right"/>
            </w:pPr>
            <w:r>
              <w:rPr>
                <w:rFonts w:ascii="宋体" w:eastAsia="宋体" w:hAnsi="宋体" w:cs="宋体"/>
                <w:b w:val="0"/>
                <w:i w:val="0"/>
                <w:color w:val="000000"/>
                <w:sz w:val="14"/>
              </w:rPr>
              <w:t xml:space="preserve">707.14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1100" w:type="dxa"/>
            <w:tcBorders/>
            <w:vAlign w:val="center"/>
          </w:tcPr>
          <w:p>
            <w:pPr>
              <w:jc w:val="right"/>
            </w:pPr>
            <w:r>
              <w:rPr>
                <w:rFonts w:ascii="宋体" w:eastAsia="宋体" w:hAnsi="宋体" w:cs="宋体"/>
                <w:b w:val="0"/>
                <w:i w:val="0"/>
                <w:color w:val="000000"/>
                <w:sz w:val="14"/>
              </w:rPr>
              <w:t xml:space="preserve">817.35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817.35</w:t>
            </w:r>
          </w:p>
        </w:tc>
        <w:tc>
          <w:tcPr>
            <w:tcW w:w="1780" w:type="dxa"/>
            <w:tcBorders/>
            <w:vAlign w:val="center"/>
          </w:tcPr>
          <w:p>
            <w:pPr>
              <w:jc w:val="right"/>
            </w:pPr>
            <w:r>
              <w:rPr>
                <w:rFonts w:ascii="宋体" w:eastAsia="宋体" w:hAnsi="宋体" w:cs="宋体"/>
                <w:b/>
                <w:i w:val="0"/>
                <w:color w:val="000000"/>
                <w:sz w:val="18"/>
              </w:rPr>
              <w:t xml:space="preserve">415.03</w:t>
            </w:r>
          </w:p>
        </w:tc>
        <w:tc>
          <w:tcPr>
            <w:tcW w:w="1772" w:type="dxa"/>
            <w:tcBorders/>
            <w:vAlign w:val="center"/>
          </w:tcPr>
          <w:p>
            <w:pPr>
              <w:jc w:val="right"/>
            </w:pPr>
            <w:r>
              <w:rPr>
                <w:rFonts w:ascii="宋体" w:eastAsia="宋体" w:hAnsi="宋体" w:cs="宋体"/>
                <w:b/>
                <w:i w:val="0"/>
                <w:color w:val="000000"/>
                <w:sz w:val="18"/>
              </w:rPr>
              <w:t xml:space="preserve">402.32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52.42</w:t>
            </w:r>
          </w:p>
        </w:tc>
        <w:tc>
          <w:tcPr>
            <w:tcW w:w="1780" w:type="dxa"/>
            <w:tcBorders/>
            <w:vAlign w:val="center"/>
          </w:tcPr>
          <w:p>
            <w:pPr>
              <w:jc w:val="right"/>
            </w:pPr>
            <w:r>
              <w:rPr>
                <w:rFonts w:ascii="宋体" w:eastAsia="宋体" w:hAnsi="宋体" w:cs="宋体"/>
                <w:b w:val="0"/>
                <w:i w:val="0"/>
                <w:color w:val="000000"/>
                <w:sz w:val="18"/>
              </w:rPr>
              <w:t xml:space="preserve">52.42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52.42</w:t>
            </w:r>
          </w:p>
        </w:tc>
        <w:tc>
          <w:tcPr>
            <w:tcW w:w="1780" w:type="dxa"/>
            <w:tcBorders/>
            <w:vAlign w:val="center"/>
          </w:tcPr>
          <w:p>
            <w:pPr>
              <w:jc w:val="right"/>
            </w:pPr>
            <w:r>
              <w:rPr>
                <w:rFonts w:ascii="宋体" w:eastAsia="宋体" w:hAnsi="宋体" w:cs="宋体"/>
                <w:b w:val="0"/>
                <w:i w:val="0"/>
                <w:color w:val="000000"/>
                <w:sz w:val="18"/>
              </w:rPr>
              <w:t xml:space="preserve">52.42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42.20</w:t>
            </w:r>
          </w:p>
        </w:tc>
        <w:tc>
          <w:tcPr>
            <w:tcW w:w="1780" w:type="dxa"/>
            <w:tcBorders/>
            <w:vAlign w:val="center"/>
          </w:tcPr>
          <w:p>
            <w:pPr>
              <w:jc w:val="right"/>
            </w:pPr>
            <w:r>
              <w:rPr>
                <w:rFonts w:ascii="宋体" w:eastAsia="宋体" w:hAnsi="宋体" w:cs="宋体"/>
                <w:b w:val="0"/>
                <w:i w:val="0"/>
                <w:color w:val="000000"/>
                <w:sz w:val="18"/>
              </w:rPr>
              <w:t xml:space="preserve">42.20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10.22</w:t>
            </w:r>
          </w:p>
        </w:tc>
        <w:tc>
          <w:tcPr>
            <w:tcW w:w="1780" w:type="dxa"/>
            <w:tcBorders/>
            <w:vAlign w:val="center"/>
          </w:tcPr>
          <w:p>
            <w:pPr>
              <w:jc w:val="right"/>
            </w:pPr>
            <w:r>
              <w:rPr>
                <w:rFonts w:ascii="宋体" w:eastAsia="宋体" w:hAnsi="宋体" w:cs="宋体"/>
                <w:b w:val="0"/>
                <w:i w:val="0"/>
                <w:color w:val="000000"/>
                <w:sz w:val="18"/>
              </w:rPr>
              <w:t xml:space="preserve">10.22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17.84</w:t>
            </w:r>
          </w:p>
        </w:tc>
        <w:tc>
          <w:tcPr>
            <w:tcW w:w="1780" w:type="dxa"/>
            <w:tcBorders/>
            <w:vAlign w:val="center"/>
          </w:tcPr>
          <w:p>
            <w:pPr>
              <w:jc w:val="right"/>
            </w:pPr>
            <w:r>
              <w:rPr>
                <w:rFonts w:ascii="宋体" w:eastAsia="宋体" w:hAnsi="宋体" w:cs="宋体"/>
                <w:b w:val="0"/>
                <w:i w:val="0"/>
                <w:color w:val="000000"/>
                <w:sz w:val="18"/>
              </w:rPr>
              <w:t xml:space="preserve">17.84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17.84</w:t>
            </w:r>
          </w:p>
        </w:tc>
        <w:tc>
          <w:tcPr>
            <w:tcW w:w="1780" w:type="dxa"/>
            <w:tcBorders/>
            <w:vAlign w:val="center"/>
          </w:tcPr>
          <w:p>
            <w:pPr>
              <w:jc w:val="right"/>
            </w:pPr>
            <w:r>
              <w:rPr>
                <w:rFonts w:ascii="宋体" w:eastAsia="宋体" w:hAnsi="宋体" w:cs="宋体"/>
                <w:b w:val="0"/>
                <w:i w:val="0"/>
                <w:color w:val="000000"/>
                <w:sz w:val="18"/>
              </w:rPr>
              <w:t xml:space="preserve">17.84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17.84</w:t>
            </w:r>
          </w:p>
        </w:tc>
        <w:tc>
          <w:tcPr>
            <w:tcW w:w="1780" w:type="dxa"/>
            <w:tcBorders/>
            <w:vAlign w:val="center"/>
          </w:tcPr>
          <w:p>
            <w:pPr>
              <w:jc w:val="right"/>
            </w:pPr>
            <w:r>
              <w:rPr>
                <w:rFonts w:ascii="宋体" w:eastAsia="宋体" w:hAnsi="宋体" w:cs="宋体"/>
                <w:b w:val="0"/>
                <w:i w:val="0"/>
                <w:color w:val="000000"/>
                <w:sz w:val="18"/>
              </w:rPr>
              <w:t xml:space="preserve">17.84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39.94</w:t>
            </w:r>
          </w:p>
        </w:tc>
        <w:tc>
          <w:tcPr>
            <w:tcW w:w="1780" w:type="dxa"/>
            <w:tcBorders/>
            <w:vAlign w:val="center"/>
          </w:tcPr>
          <w:p>
            <w:pPr>
              <w:jc w:val="right"/>
            </w:pPr>
            <w:r>
              <w:rPr>
                <w:rFonts w:ascii="宋体" w:eastAsia="宋体" w:hAnsi="宋体" w:cs="宋体"/>
                <w:b w:val="0"/>
                <w:i w:val="0"/>
                <w:color w:val="000000"/>
                <w:sz w:val="18"/>
              </w:rPr>
              <w:t xml:space="preserve">39.94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39.94</w:t>
            </w:r>
          </w:p>
        </w:tc>
        <w:tc>
          <w:tcPr>
            <w:tcW w:w="1780" w:type="dxa"/>
            <w:tcBorders/>
            <w:vAlign w:val="center"/>
          </w:tcPr>
          <w:p>
            <w:pPr>
              <w:jc w:val="right"/>
            </w:pPr>
            <w:r>
              <w:rPr>
                <w:rFonts w:ascii="宋体" w:eastAsia="宋体" w:hAnsi="宋体" w:cs="宋体"/>
                <w:b w:val="0"/>
                <w:i w:val="0"/>
                <w:color w:val="000000"/>
                <w:sz w:val="18"/>
              </w:rPr>
              <w:t xml:space="preserve">39.94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39.94</w:t>
            </w:r>
          </w:p>
        </w:tc>
        <w:tc>
          <w:tcPr>
            <w:tcW w:w="1780" w:type="dxa"/>
            <w:tcBorders/>
            <w:vAlign w:val="center"/>
          </w:tcPr>
          <w:p>
            <w:pPr>
              <w:jc w:val="right"/>
            </w:pPr>
            <w:r>
              <w:rPr>
                <w:rFonts w:ascii="宋体" w:eastAsia="宋体" w:hAnsi="宋体" w:cs="宋体"/>
                <w:b w:val="0"/>
                <w:i w:val="0"/>
                <w:color w:val="000000"/>
                <w:sz w:val="18"/>
              </w:rPr>
              <w:t xml:space="preserve">39.94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707.14</w:t>
            </w:r>
          </w:p>
        </w:tc>
        <w:tc>
          <w:tcPr>
            <w:tcW w:w="1780" w:type="dxa"/>
            <w:tcBorders/>
            <w:vAlign w:val="center"/>
          </w:tcPr>
          <w:p>
            <w:pPr>
              <w:jc w:val="right"/>
            </w:pPr>
            <w:r>
              <w:rPr>
                <w:rFonts w:ascii="宋体" w:eastAsia="宋体" w:hAnsi="宋体" w:cs="宋体"/>
                <w:b w:val="0"/>
                <w:i w:val="0"/>
                <w:color w:val="000000"/>
                <w:sz w:val="18"/>
              </w:rPr>
              <w:t xml:space="preserve">304.82</w:t>
            </w:r>
          </w:p>
        </w:tc>
        <w:tc>
          <w:tcPr>
            <w:tcW w:w="1772" w:type="dxa"/>
            <w:tcBorders/>
            <w:vAlign w:val="center"/>
          </w:tcPr>
          <w:p>
            <w:pPr>
              <w:jc w:val="right"/>
            </w:pPr>
            <w:r>
              <w:rPr>
                <w:rFonts w:ascii="宋体" w:eastAsia="宋体" w:hAnsi="宋体" w:cs="宋体"/>
                <w:b w:val="0"/>
                <w:i w:val="0"/>
                <w:color w:val="000000"/>
                <w:sz w:val="18"/>
              </w:rPr>
              <w:t xml:space="preserve">402.32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707.14</w:t>
            </w:r>
          </w:p>
        </w:tc>
        <w:tc>
          <w:tcPr>
            <w:tcW w:w="1780" w:type="dxa"/>
            <w:tcBorders/>
            <w:vAlign w:val="center"/>
          </w:tcPr>
          <w:p>
            <w:pPr>
              <w:jc w:val="right"/>
            </w:pPr>
            <w:r>
              <w:rPr>
                <w:rFonts w:ascii="宋体" w:eastAsia="宋体" w:hAnsi="宋体" w:cs="宋体"/>
                <w:b w:val="0"/>
                <w:i w:val="0"/>
                <w:color w:val="000000"/>
                <w:sz w:val="18"/>
              </w:rPr>
              <w:t xml:space="preserve">304.82</w:t>
            </w:r>
          </w:p>
        </w:tc>
        <w:tc>
          <w:tcPr>
            <w:tcW w:w="1772" w:type="dxa"/>
            <w:tcBorders/>
            <w:vAlign w:val="center"/>
          </w:tcPr>
          <w:p>
            <w:pPr>
              <w:jc w:val="right"/>
            </w:pPr>
            <w:r>
              <w:rPr>
                <w:rFonts w:ascii="宋体" w:eastAsia="宋体" w:hAnsi="宋体" w:cs="宋体"/>
                <w:b w:val="0"/>
                <w:i w:val="0"/>
                <w:color w:val="000000"/>
                <w:sz w:val="18"/>
              </w:rPr>
              <w:t xml:space="preserve">402.32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304.82</w:t>
            </w:r>
          </w:p>
        </w:tc>
        <w:tc>
          <w:tcPr>
            <w:tcW w:w="1780" w:type="dxa"/>
            <w:tcBorders/>
            <w:vAlign w:val="center"/>
          </w:tcPr>
          <w:p>
            <w:pPr>
              <w:jc w:val="right"/>
            </w:pPr>
            <w:r>
              <w:rPr>
                <w:rFonts w:ascii="宋体" w:eastAsia="宋体" w:hAnsi="宋体" w:cs="宋体"/>
                <w:b w:val="0"/>
                <w:i w:val="0"/>
                <w:color w:val="000000"/>
                <w:sz w:val="18"/>
              </w:rPr>
              <w:t xml:space="preserve">304.82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402.32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402.32</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395.88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18.64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111.18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1.36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6.57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8.11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0.51</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9.04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149.30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0.51</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42.20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10.22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13.46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17.84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1.48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1.29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39.94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2.51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395.88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19.15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部门：辽宁省沈阳市浑南区公共服务综合指挥中心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办公设备更新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强化监督员设备配置更新使监督员对城市管理部件、事件问题进行采集时更加及时，更快的对群众举报的问题进行核实上报，及时对系统委托核查的案件处理情况进行核查上报。确保数字化城市管理工作不断进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采购办公电脑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基层治理体系和治理能力现代化建设，完善网格化管理、精细化服务、信息化支撑的基层治理平台，全区抽调12个职能部门的工作人员进驻我中心一楼指挥大厅，主要负责落实各行业专属网格建设，夯实吹哨报到响应机制，联动处置跨部门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建设网格化管理、精细化服务、信息化支撑的基层治理平台，全区抽调12个职能部门的工作人员进驻我中心一楼指挥大厅，落实各行业专属网格建设，夯实吹哨报到响应机制，联动处置跨部门问题。目标已完成。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提升社会工作服务机构持续运营能力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大数据、云服务平台运行经费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城市治理多头管理、效率低下问题；解决企业群众办事难、市场监管不到位问题；解决经济运行预警不及时、决策不科学问题；解决基层负担重、党群互动少问题；解决政务办公体系不畅、行政效能不高问题。在区级民生诉求平台方面保障平台业务稳定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残疾人就业保障金经费纳入部门预算，编制依据及文件后附。根据养老保险的规定执行。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按照部门预算编制执行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评选规范化建设示范学会个数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科技成果转化率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经费保障:预算编制经费不足，部分经费申请流程较为繁复，预算编制前期不够精准，项目经费保障问题导致。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经费保障:科学编制预算，简化资金申请流程，加强与财政部门的沟通 ，保障资金落到实处，强化经费保障。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理论学习培训费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340.71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336.99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现聘用派遣制工作人员，为确保单位工作的顺利进行。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按照财政资金实际情况拨付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经费保障:经费严格按照相应业务管理制度及财政资金保障要求进行开支，符合法规和财务管理以及有关专项资金管理办法规定。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经费保障:完善制度体系，保障基本运转，科学编制预算，加强内部监督，加强沟通协作，保障资金管理到位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经费保障:按照2024年年初预算编制情况进行经费申请开支，年初预算申请与实际支出略有偏离。</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经费保障:按照当年实际开支情况进行预算编制申请，保证预算编制精准度，简化整体申请流程，明确具体开支项目。</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经费保障:预算编制不够精准，2024年度实际派遣制人员经费开支与预算编制有出入，未能达到预期。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经费保障:按照当年实际开支情况进行预算编制申请，保证预算编制精准度，简化整体申请流程，明确具体开支项目。</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营商环境管理专项业务经费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12345政务服务便民热线进社区行动计划》及《浑南区推进12345进社区工作2023年度行动计划》要求，完善未诉先办主动治理机制，实现热线诉求量逐步下降、提高诉求解决率，增强社区网格早发现、早处置、早化解能力，实现将矛盾化解在基层，解决在基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经费保障:按照营商环境需求以及财政资金具体安排情况进行当年资金的分配，资金申请存在不适配。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经费保障:预算编制应按照实际情况更加精准完成，依据上级部门要求进行资金申请，优化经费管理。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经费保障:按照营商环境需求以及财政资金具体安排情况进行当年资金的分配，资金申请存在不适配。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经费保障:预算编制应按照实际情况更加精准完成，依据上级部门要求进行资金申请，优化经费管理。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经费保障:按照营商环境需求以及财政资金具体安排情况进行当年资金的分配，资金申请存在不适配。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经费保障:经费申请应按照当年营商环境实际需求进行资金申请，保证营商环境项目支出能够按照实际情况支出。</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科技成果转化率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经费保障:按照营商环境需求以及财政资金具体安排情况进行当年资金的分配，资金申请存在不适配。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经费保障:当年的营商环境经费应该按照实际情况进行申请，科学编制预算，保障资金能够按照申请情况支出。</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经费保障:按照营商环境需求以及财政资金具体安排情况进行当年资金的分配，资金申请存在不适配。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经费保障:当年的营商环境项目资金申请应按照实际情况进行，科学进行预算编制，加强与财政部门沟通协调。</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992"/>
        <w:gridCol w:w="1773"/>
        <w:gridCol w:w="1833"/>
        <w:gridCol w:w="1992"/>
        <w:gridCol w:w="1712"/>
        <w:gridCol w:w="1992"/>
        <w:gridCol w:w="1773"/>
        <w:gridCol w:w="1773"/>
      </w:tblGrid>
      <w:tr>
        <w:trPr>
          <w:trHeight w:hRule="exact" w:val="386"/>
          <w:jc w:val="center"/>
        </w:trPr>
        <w:tc>
          <w:tcPr>
            <w:tcW w:w="14840" w:type="dxa"/>
            <w:gridSpan w:val="8"/>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部门（单位）整体绩效目标表</w:t>
            </w:r>
          </w:p>
        </w:tc>
      </w:tr>
      <w:tr>
        <w:trPr>
          <w:trHeight w:hRule="exact" w:val="386"/>
          <w:jc w:val="center"/>
        </w:trPr>
        <w:tc>
          <w:tcPr>
            <w:tcW w:w="14840" w:type="dxa"/>
            <w:gridSpan w:val="8"/>
            <w:tcBorders>
              <w:bottom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部门（单位）名称</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073001沈阳市浑南区公共服务综合指挥中心本级-210112000</w:t>
            </w:r>
          </w:p>
        </w:tc>
      </w:tr>
      <w:tr>
        <w:trPr>
          <w:trHeight w:hRule="exact" w:val="386"/>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年度主要任务</w:t>
            </w: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对应项目</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预算资金情况（万元）</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基本支出公用经费(其他)</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0.11</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基本支出人员经费(保工资)</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339.2</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基本支出人员经费(刚性)</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140.94</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基本支出公用经费(保运转)</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10.49</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基本支出公用经费(刚性)</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13.96</w:t>
            </w:r>
          </w:p>
        </w:tc>
      </w:tr>
      <w:tr>
        <w:trPr>
          <w:trHeight w:hRule="exact" w:val="468"/>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年度绩效目标</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根据区派遣公司签订的劳动合同；保障工作顺利开展。依据区政府要求，不间断工作提供伙食补助。</w:t>
            </w:r>
          </w:p>
        </w:tc>
      </w:tr>
      <w:tr>
        <w:trPr>
          <w:trHeight w:hRule="exact" w:val="468"/>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年度绩效指标</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一级指标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二级指标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三级指标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运算符号</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指标值</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度量单位</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完成时限</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履职效能</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重点工作履行情况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重点工作办结率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整体工作完成情况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总体工作完成率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工作完成及时率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工作质量达标率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评奖类项目个数</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个数</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基础管理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依法行政能力</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综合管理水平</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预算执行效率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预算执行率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预算调整率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结转结余变动率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管理效率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预算编制管理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预算绩效目标覆盖率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预算监督管理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预决算公开情况</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全部公开</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预算收支管理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预算收入管理规范性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预算支出管理规范性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财务管理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内控制度有效性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制度有效</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资产管理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固定资产利用率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业务管理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政府采购管理违法违规行为发生次数</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次</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部门管理的专项资金预算执行率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80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运行成本</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成本控制成效</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“三公”经费变动率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在职人员控制率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总体成本节约率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80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社会效应</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政治效益</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舆论导向正确</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导向正确</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生态效益</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全年空气优良天数增长率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80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主管部门满意度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上级主管部门满意度</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80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可持续性</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体制机制改革</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综合网络配套服务</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可持续</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建立预算绩效管理机制</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可持续性</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指挥大厅制度牌及工装费用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沈阳市浑南区公共服务综合指挥中心本级-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结合我单位工作实际，现急需申请追加指挥大厅制做制度牌12块、立体字及配件等共8699元；驻厅人员定制长袖、短袖工装22件共1920元，以便于工作的开展。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建设“智慧科普社区”示范典型数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有效改善全省农村居民饮水条件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助力科技攻关项数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073001沈阳市浑南区公共服务综合指挥中心本级-210112000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504.7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504.7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301.14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根据区派遣公司签订的劳动合同；保障工作顺利开展。依据区政府要求，不间断工作提供伙食补助。</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按照区派遣公司签订的劳动合同开展工作，提供伙食补助。</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评奖类项目个数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个数</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2024年度预算编制情况按照实际发生进行，执行情况与编制情况存在差距，未进行大额预算调整。</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制度保障:应在预算执行过程中保障预算执行与项目预算编制数据出入较少，随时根据实际情况进行预算调整。</w:t>
            </w: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2024年度项目预算支出情况与收入情况存在差额，具体为营商环境项目支出和派遣制人员经费支出项目存在差额。</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经费保障:2024年度结转结余根据项目预算实际情况及支出实际情况进行随时调整，提高预算编制精准度。</w:t>
            </w: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2024年度项目预算支出情况与收入情况存在差额，具体为营商环境项目支出和派遣制人员经费支出项目存在差额。</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经费保障:应按照当年实际情况进行预算编制，并根据当年预算执行情况即使进行预算调整，提高预算编制精准度</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2024年度项目预算支出情况与收入情况存在差额，具体为营商环境项目支出和派遣制人员经费支出项目存在差额。</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经费保障:按照当年实际情况进行预算编制，实施预算收支管理，提升管理效率，保障项目以及资金正常运转。</w:t>
            </w: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2024年度项目预算支出情况与收入情况存在差额，具体为营商环境项目支出和派遣制人员经费支出项目存在差额。</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经费保障:应提高预算编制精准度，对当年项目预算具体情况进行资金申请，避免出现收支不平情况。</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部门管理的专项资金预算执行率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总体成本节约率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导向正确</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全年空气优良天数增长率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97.05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