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辽宁省沈阳市浑南区大数据管理中心</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辽宁省沈阳市浑南区大数据管理中心</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辽宁省沈阳市浑南区大数据管理中心</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辽宁省沈阳市浑南区大数据管理中心</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辽宁省沈阳市浑南区大数据管理中心</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辽宁省沈阳市浑南区大数据管理中心概况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负责为全区信息化、智慧城市、互联网＋、大数据发展战略提供智力支持和技术保障服务工作；负责为全区电子政务项目立项与采购提供技术支持，负责对全区电子政务运维项目进行技术评审工作；围绕建设全区集约化大平台、融通政务大数据、构建业务协同大系统，负责拟定全区电子政务专项发展规划、标准、规范等工作并组织实施。</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辽宁省沈阳市浑南区大数据管理中心</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沈阳市浑南区大数据管理中心本级，无下设机构。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1859.11</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1859.11</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1859.11</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增加1724.98万元，增长1286.08%</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人员新增、项目增加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1859.11</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225.70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12.14</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工资福利支出211.96万元；商品和服务支出13.74万元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1633.41</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87.86</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主要包括人工智能计算中心二期地方政府债券付息及代理付息兑付服务费等业务支出。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增加1724.98万元，增长1286.08%</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人员新增、项目支出增加</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无结转结余</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1859.11</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225.70</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1633.41</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增加1724.98万元，增长1286.08%</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人员新增、项目支出增加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117.91</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84.71</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124.67</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2024年度一般公共预算财政拨款支出1859.11万元。按支出功能分类科目分，包括：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1.科学技术支出1270.66万元，具体包括：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科学技术支出（类）其他科学技术支出（款）其他科学技术支出（项）1270.66万元,主要是人工智能计算中心二期地方政府债券付息及代理付息兑付服务费等支出，完成年初预算的100%，决算数与年初预算数存在差异的主要原因是完全按照年初预算安排。</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2.社会保障和就业支出25.91万元，具体包括：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机关事业单位基本养老保险缴费支出（项）25.58万元,主要是职工养老保险等支出，完成年初预算的100%，决算数与年初预算数存在差异的主要原因是完全按照年初预算安排。</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职业年金缴费支出（项）0.33万元,主要是职业年金等支出，完成年初预算的100%，决算数与年初预算数存在差异的主要原因是完全按照年初预算安排。</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3.卫生健康支出10.68万元，具体包括：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（1）卫生健康支出（类）行政事业单位医疗（款）事业单位医疗（项）10.68万元,主要是医疗保险、大额医保等支出，完成年初预算的100%，决算数与年初预算数存在差异的主要原因是完全按照年初预算安排。</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4.资源勘探工业信息等支出527.20万元，具体包括：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资源勘探工业信息等支出（类）工业和信息产业监管（款）事业运行（项）164.45万元,主要是工资、绩效、通讯补贴、手机补助、伙食费补贴等支出，完成年初预算的100%，决算数与年初预算数存在差异的主要原因是完全按照年初预算安排。</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资源勘探工业信息等支出（类）工业和信息产业监管（款）其他工业和信息产业监管支出（项）362.75万元,主要是政务外网、人脸识别系统等支出，完成年初预算的100%，决算数与年初预算数存在差异的主要原因是完全按照年初预算安排。</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5.住房保障支出24.66万元，具体包括：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（1）住房保障支出（类）住房改革支出（款）住房公积金（项）24.66万元,主要是住房公积金等支出，完成年初预算的100%，决算数与年初预算数存在差异的主要原因是完全按照年初预算安排。</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无“三公”经费支出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无因公出国支出项</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无该项费用支出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无公务接待费支出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无该项费用支出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无公务用车购置及运行费支出</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无该项费用支出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225.70</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211.96</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13.74</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浑南区大数据管理中心为事业单位，无机关运行经费支出</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具体而言，本年度我部门共组织对13个项目实施了绩效评价。从预算资金来源看，涉及一般公共预算的项目13个。通过全面开展绩效评价，旨在全面检验财政资金的使用效益和政策的实施效果。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自评得分在90分（含）以上、绩效等级为“优”的项目有13个。</w:t>
        <w:br/>
        <w:t xml:space="preserve">    3.部门重点评价情况及结果。</w:t>
        <w:br/>
        <w:t xml:space="preserve">    我中心未产生资金量大、社会关注度高的民生领域项目，因此暂未做重点项目绩效评价。</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单位、各部门，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部门：辽宁省沈阳市浑南区大数据管理中心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1,859.11</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jc w:val="right"/>
            </w:pPr>
            <w:r>
              <w:rPr>
                <w:rFonts w:ascii="宋体" w:eastAsia="宋体" w:hAnsi="宋体" w:cs="宋体"/>
                <w:b w:val="0"/>
                <w:i w:val="0"/>
                <w:color w:val="000000"/>
                <w:sz w:val="16"/>
              </w:rPr>
              <w:t xml:space="preserve">1,270.66</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25.91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10.68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jc w:val="right"/>
            </w:pPr>
            <w:r>
              <w:rPr>
                <w:rFonts w:ascii="宋体" w:eastAsia="宋体" w:hAnsi="宋体" w:cs="宋体"/>
                <w:b w:val="0"/>
                <w:i w:val="0"/>
                <w:color w:val="000000"/>
                <w:sz w:val="16"/>
              </w:rPr>
              <w:t xml:space="preserve">527.20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24.66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1,859.11</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1,859.11</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1,859.11</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1,859.11</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部门：辽宁省沈阳市浑南区大数据管理中心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1,859.11</w:t>
            </w:r>
          </w:p>
        </w:tc>
        <w:tc>
          <w:tcPr>
            <w:tcW w:w="960" w:type="dxa"/>
            <w:tcBorders/>
            <w:vAlign w:val="center"/>
          </w:tcPr>
          <w:p>
            <w:pPr>
              <w:jc w:val="right"/>
            </w:pPr>
            <w:r>
              <w:rPr>
                <w:rFonts w:ascii="宋体" w:eastAsia="宋体" w:hAnsi="宋体" w:cs="宋体"/>
                <w:b/>
                <w:i w:val="0"/>
                <w:color w:val="000000"/>
                <w:sz w:val="13"/>
              </w:rPr>
              <w:t xml:space="preserve">1,859.11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206</w:t>
            </w:r>
          </w:p>
        </w:tc>
        <w:tc>
          <w:tcPr>
            <w:tcW w:w="3200" w:type="dxa"/>
            <w:tcBorders/>
            <w:vAlign w:val="center"/>
          </w:tcPr>
          <w:p>
            <w:pPr>
              <w:jc w:val="left"/>
            </w:pPr>
            <w:r>
              <w:rPr>
                <w:rFonts w:ascii="宋体" w:eastAsia="宋体" w:hAnsi="宋体" w:cs="宋体"/>
                <w:b w:val="0"/>
                <w:i w:val="0"/>
                <w:color w:val="000000"/>
                <w:sz w:val="13"/>
              </w:rPr>
              <w:t xml:space="preserve">科学技术支出</w:t>
            </w:r>
          </w:p>
        </w:tc>
        <w:tc>
          <w:tcPr>
            <w:tcW w:w="960" w:type="dxa"/>
            <w:tcBorders/>
            <w:vAlign w:val="center"/>
          </w:tcPr>
          <w:p>
            <w:pPr>
              <w:jc w:val="right"/>
            </w:pPr>
            <w:r>
              <w:rPr>
                <w:rFonts w:ascii="宋体" w:eastAsia="宋体" w:hAnsi="宋体" w:cs="宋体"/>
                <w:b w:val="0"/>
                <w:i w:val="0"/>
                <w:color w:val="000000"/>
                <w:sz w:val="13"/>
              </w:rPr>
              <w:t xml:space="preserve">1,270.66</w:t>
            </w:r>
          </w:p>
        </w:tc>
        <w:tc>
          <w:tcPr>
            <w:tcW w:w="960" w:type="dxa"/>
            <w:tcBorders/>
            <w:vAlign w:val="center"/>
          </w:tcPr>
          <w:p>
            <w:pPr>
              <w:jc w:val="right"/>
            </w:pPr>
            <w:r>
              <w:rPr>
                <w:rFonts w:ascii="宋体" w:eastAsia="宋体" w:hAnsi="宋体" w:cs="宋体"/>
                <w:b w:val="0"/>
                <w:i w:val="0"/>
                <w:color w:val="000000"/>
                <w:sz w:val="13"/>
              </w:rPr>
              <w:t xml:space="preserve">1,270.66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20699</w:t>
            </w:r>
          </w:p>
        </w:tc>
        <w:tc>
          <w:tcPr>
            <w:tcW w:w="3200" w:type="dxa"/>
            <w:tcBorders/>
            <w:vAlign w:val="center"/>
          </w:tcPr>
          <w:p>
            <w:pPr>
              <w:jc w:val="left"/>
            </w:pPr>
            <w:r>
              <w:rPr>
                <w:rFonts w:ascii="宋体" w:eastAsia="宋体" w:hAnsi="宋体" w:cs="宋体"/>
                <w:b w:val="0"/>
                <w:i w:val="0"/>
                <w:color w:val="000000"/>
                <w:sz w:val="13"/>
              </w:rPr>
              <w:t xml:space="preserve">其他科学技术支出</w:t>
            </w:r>
          </w:p>
        </w:tc>
        <w:tc>
          <w:tcPr>
            <w:tcW w:w="960" w:type="dxa"/>
            <w:tcBorders/>
            <w:vAlign w:val="center"/>
          </w:tcPr>
          <w:p>
            <w:pPr>
              <w:jc w:val="right"/>
            </w:pPr>
            <w:r>
              <w:rPr>
                <w:rFonts w:ascii="宋体" w:eastAsia="宋体" w:hAnsi="宋体" w:cs="宋体"/>
                <w:b w:val="0"/>
                <w:i w:val="0"/>
                <w:color w:val="000000"/>
                <w:sz w:val="13"/>
              </w:rPr>
              <w:t xml:space="preserve">1,270.66</w:t>
            </w:r>
          </w:p>
        </w:tc>
        <w:tc>
          <w:tcPr>
            <w:tcW w:w="960" w:type="dxa"/>
            <w:tcBorders/>
            <w:vAlign w:val="center"/>
          </w:tcPr>
          <w:p>
            <w:pPr>
              <w:jc w:val="right"/>
            </w:pPr>
            <w:r>
              <w:rPr>
                <w:rFonts w:ascii="宋体" w:eastAsia="宋体" w:hAnsi="宋体" w:cs="宋体"/>
                <w:b w:val="0"/>
                <w:i w:val="0"/>
                <w:color w:val="000000"/>
                <w:sz w:val="13"/>
              </w:rPr>
              <w:t xml:space="preserve">1,270.66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2069999</w:t>
            </w:r>
          </w:p>
        </w:tc>
        <w:tc>
          <w:tcPr>
            <w:tcW w:w="3200" w:type="dxa"/>
            <w:tcBorders/>
            <w:vAlign w:val="center"/>
          </w:tcPr>
          <w:p>
            <w:pPr>
              <w:jc w:val="left"/>
            </w:pPr>
            <w:r>
              <w:rPr>
                <w:rFonts w:ascii="宋体" w:eastAsia="宋体" w:hAnsi="宋体" w:cs="宋体"/>
                <w:b w:val="0"/>
                <w:i w:val="0"/>
                <w:color w:val="000000"/>
                <w:sz w:val="13"/>
              </w:rPr>
              <w:t xml:space="preserve">其他科学技术支出</w:t>
            </w:r>
          </w:p>
        </w:tc>
        <w:tc>
          <w:tcPr>
            <w:tcW w:w="960" w:type="dxa"/>
            <w:tcBorders/>
            <w:vAlign w:val="center"/>
          </w:tcPr>
          <w:p>
            <w:pPr>
              <w:jc w:val="right"/>
            </w:pPr>
            <w:r>
              <w:rPr>
                <w:rFonts w:ascii="宋体" w:eastAsia="宋体" w:hAnsi="宋体" w:cs="宋体"/>
                <w:b w:val="0"/>
                <w:i w:val="0"/>
                <w:color w:val="000000"/>
                <w:sz w:val="13"/>
              </w:rPr>
              <w:t xml:space="preserve">1,270.66</w:t>
            </w:r>
          </w:p>
        </w:tc>
        <w:tc>
          <w:tcPr>
            <w:tcW w:w="960" w:type="dxa"/>
            <w:tcBorders/>
            <w:vAlign w:val="center"/>
          </w:tcPr>
          <w:p>
            <w:pPr>
              <w:jc w:val="right"/>
            </w:pPr>
            <w:r>
              <w:rPr>
                <w:rFonts w:ascii="宋体" w:eastAsia="宋体" w:hAnsi="宋体" w:cs="宋体"/>
                <w:b w:val="0"/>
                <w:i w:val="0"/>
                <w:color w:val="000000"/>
                <w:sz w:val="13"/>
              </w:rPr>
              <w:t xml:space="preserve">1,270.66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25.91</w:t>
            </w:r>
          </w:p>
        </w:tc>
        <w:tc>
          <w:tcPr>
            <w:tcW w:w="960" w:type="dxa"/>
            <w:tcBorders/>
            <w:vAlign w:val="center"/>
          </w:tcPr>
          <w:p>
            <w:pPr>
              <w:jc w:val="right"/>
            </w:pPr>
            <w:r>
              <w:rPr>
                <w:rFonts w:ascii="宋体" w:eastAsia="宋体" w:hAnsi="宋体" w:cs="宋体"/>
                <w:b w:val="0"/>
                <w:i w:val="0"/>
                <w:color w:val="000000"/>
                <w:sz w:val="13"/>
              </w:rPr>
              <w:t xml:space="preserve">25.91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25.91</w:t>
            </w:r>
          </w:p>
        </w:tc>
        <w:tc>
          <w:tcPr>
            <w:tcW w:w="960" w:type="dxa"/>
            <w:tcBorders/>
            <w:vAlign w:val="center"/>
          </w:tcPr>
          <w:p>
            <w:pPr>
              <w:jc w:val="right"/>
            </w:pPr>
            <w:r>
              <w:rPr>
                <w:rFonts w:ascii="宋体" w:eastAsia="宋体" w:hAnsi="宋体" w:cs="宋体"/>
                <w:b w:val="0"/>
                <w:i w:val="0"/>
                <w:color w:val="000000"/>
                <w:sz w:val="13"/>
              </w:rPr>
              <w:t xml:space="preserve">25.91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25.58</w:t>
            </w:r>
          </w:p>
        </w:tc>
        <w:tc>
          <w:tcPr>
            <w:tcW w:w="960" w:type="dxa"/>
            <w:tcBorders/>
            <w:vAlign w:val="center"/>
          </w:tcPr>
          <w:p>
            <w:pPr>
              <w:jc w:val="right"/>
            </w:pPr>
            <w:r>
              <w:rPr>
                <w:rFonts w:ascii="宋体" w:eastAsia="宋体" w:hAnsi="宋体" w:cs="宋体"/>
                <w:b w:val="0"/>
                <w:i w:val="0"/>
                <w:color w:val="000000"/>
                <w:sz w:val="13"/>
              </w:rPr>
              <w:t xml:space="preserve">25.58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0.33</w:t>
            </w:r>
          </w:p>
        </w:tc>
        <w:tc>
          <w:tcPr>
            <w:tcW w:w="960" w:type="dxa"/>
            <w:tcBorders/>
            <w:vAlign w:val="center"/>
          </w:tcPr>
          <w:p>
            <w:pPr>
              <w:jc w:val="right"/>
            </w:pPr>
            <w:r>
              <w:rPr>
                <w:rFonts w:ascii="宋体" w:eastAsia="宋体" w:hAnsi="宋体" w:cs="宋体"/>
                <w:b w:val="0"/>
                <w:i w:val="0"/>
                <w:color w:val="000000"/>
                <w:sz w:val="13"/>
              </w:rPr>
              <w:t xml:space="preserve">0.33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10.68</w:t>
            </w:r>
          </w:p>
        </w:tc>
        <w:tc>
          <w:tcPr>
            <w:tcW w:w="960" w:type="dxa"/>
            <w:tcBorders/>
            <w:vAlign w:val="center"/>
          </w:tcPr>
          <w:p>
            <w:pPr>
              <w:jc w:val="right"/>
            </w:pPr>
            <w:r>
              <w:rPr>
                <w:rFonts w:ascii="宋体" w:eastAsia="宋体" w:hAnsi="宋体" w:cs="宋体"/>
                <w:b w:val="0"/>
                <w:i w:val="0"/>
                <w:color w:val="000000"/>
                <w:sz w:val="13"/>
              </w:rPr>
              <w:t xml:space="preserve">10.68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10.68</w:t>
            </w:r>
          </w:p>
        </w:tc>
        <w:tc>
          <w:tcPr>
            <w:tcW w:w="960" w:type="dxa"/>
            <w:tcBorders/>
            <w:vAlign w:val="center"/>
          </w:tcPr>
          <w:p>
            <w:pPr>
              <w:jc w:val="right"/>
            </w:pPr>
            <w:r>
              <w:rPr>
                <w:rFonts w:ascii="宋体" w:eastAsia="宋体" w:hAnsi="宋体" w:cs="宋体"/>
                <w:b w:val="0"/>
                <w:i w:val="0"/>
                <w:color w:val="000000"/>
                <w:sz w:val="13"/>
              </w:rPr>
              <w:t xml:space="preserve">10.68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10.68</w:t>
            </w:r>
          </w:p>
        </w:tc>
        <w:tc>
          <w:tcPr>
            <w:tcW w:w="960" w:type="dxa"/>
            <w:tcBorders/>
            <w:vAlign w:val="center"/>
          </w:tcPr>
          <w:p>
            <w:pPr>
              <w:jc w:val="right"/>
            </w:pPr>
            <w:r>
              <w:rPr>
                <w:rFonts w:ascii="宋体" w:eastAsia="宋体" w:hAnsi="宋体" w:cs="宋体"/>
                <w:b w:val="0"/>
                <w:i w:val="0"/>
                <w:color w:val="000000"/>
                <w:sz w:val="13"/>
              </w:rPr>
              <w:t xml:space="preserve">10.68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215</w:t>
            </w:r>
          </w:p>
        </w:tc>
        <w:tc>
          <w:tcPr>
            <w:tcW w:w="3200" w:type="dxa"/>
            <w:tcBorders/>
            <w:vAlign w:val="center"/>
          </w:tcPr>
          <w:p>
            <w:pPr>
              <w:jc w:val="left"/>
            </w:pPr>
            <w:r>
              <w:rPr>
                <w:rFonts w:ascii="宋体" w:eastAsia="宋体" w:hAnsi="宋体" w:cs="宋体"/>
                <w:b w:val="0"/>
                <w:i w:val="0"/>
                <w:color w:val="000000"/>
                <w:sz w:val="13"/>
              </w:rPr>
              <w:t xml:space="preserve">资源勘探工业信息等支出</w:t>
            </w:r>
          </w:p>
        </w:tc>
        <w:tc>
          <w:tcPr>
            <w:tcW w:w="960" w:type="dxa"/>
            <w:tcBorders/>
            <w:vAlign w:val="center"/>
          </w:tcPr>
          <w:p>
            <w:pPr>
              <w:jc w:val="right"/>
            </w:pPr>
            <w:r>
              <w:rPr>
                <w:rFonts w:ascii="宋体" w:eastAsia="宋体" w:hAnsi="宋体" w:cs="宋体"/>
                <w:b w:val="0"/>
                <w:i w:val="0"/>
                <w:color w:val="000000"/>
                <w:sz w:val="13"/>
              </w:rPr>
              <w:t xml:space="preserve">527.20</w:t>
            </w:r>
          </w:p>
        </w:tc>
        <w:tc>
          <w:tcPr>
            <w:tcW w:w="960" w:type="dxa"/>
            <w:tcBorders/>
            <w:vAlign w:val="center"/>
          </w:tcPr>
          <w:p>
            <w:pPr>
              <w:jc w:val="right"/>
            </w:pPr>
            <w:r>
              <w:rPr>
                <w:rFonts w:ascii="宋体" w:eastAsia="宋体" w:hAnsi="宋体" w:cs="宋体"/>
                <w:b w:val="0"/>
                <w:i w:val="0"/>
                <w:color w:val="000000"/>
                <w:sz w:val="13"/>
              </w:rPr>
              <w:t xml:space="preserve">527.20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21505</w:t>
            </w:r>
          </w:p>
        </w:tc>
        <w:tc>
          <w:tcPr>
            <w:tcW w:w="3200" w:type="dxa"/>
            <w:tcBorders/>
            <w:vAlign w:val="center"/>
          </w:tcPr>
          <w:p>
            <w:pPr>
              <w:jc w:val="left"/>
            </w:pPr>
            <w:r>
              <w:rPr>
                <w:rFonts w:ascii="宋体" w:eastAsia="宋体" w:hAnsi="宋体" w:cs="宋体"/>
                <w:b w:val="0"/>
                <w:i w:val="0"/>
                <w:color w:val="000000"/>
                <w:sz w:val="13"/>
              </w:rPr>
              <w:t xml:space="preserve">工业和信息产业监管</w:t>
            </w:r>
          </w:p>
        </w:tc>
        <w:tc>
          <w:tcPr>
            <w:tcW w:w="960" w:type="dxa"/>
            <w:tcBorders/>
            <w:vAlign w:val="center"/>
          </w:tcPr>
          <w:p>
            <w:pPr>
              <w:jc w:val="right"/>
            </w:pPr>
            <w:r>
              <w:rPr>
                <w:rFonts w:ascii="宋体" w:eastAsia="宋体" w:hAnsi="宋体" w:cs="宋体"/>
                <w:b w:val="0"/>
                <w:i w:val="0"/>
                <w:color w:val="000000"/>
                <w:sz w:val="13"/>
              </w:rPr>
              <w:t xml:space="preserve">527.20</w:t>
            </w:r>
          </w:p>
        </w:tc>
        <w:tc>
          <w:tcPr>
            <w:tcW w:w="960" w:type="dxa"/>
            <w:tcBorders/>
            <w:vAlign w:val="center"/>
          </w:tcPr>
          <w:p>
            <w:pPr>
              <w:jc w:val="right"/>
            </w:pPr>
            <w:r>
              <w:rPr>
                <w:rFonts w:ascii="宋体" w:eastAsia="宋体" w:hAnsi="宋体" w:cs="宋体"/>
                <w:b w:val="0"/>
                <w:i w:val="0"/>
                <w:color w:val="000000"/>
                <w:sz w:val="13"/>
              </w:rPr>
              <w:t xml:space="preserve">527.20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2150550</w:t>
            </w:r>
          </w:p>
        </w:tc>
        <w:tc>
          <w:tcPr>
            <w:tcW w:w="3200" w:type="dxa"/>
            <w:tcBorders/>
            <w:vAlign w:val="center"/>
          </w:tcPr>
          <w:p>
            <w:pPr>
              <w:jc w:val="left"/>
            </w:pPr>
            <w:r>
              <w:rPr>
                <w:rFonts w:ascii="宋体" w:eastAsia="宋体" w:hAnsi="宋体" w:cs="宋体"/>
                <w:b w:val="0"/>
                <w:i w:val="0"/>
                <w:color w:val="000000"/>
                <w:sz w:val="13"/>
              </w:rPr>
              <w:t xml:space="preserve">事业运行</w:t>
            </w:r>
          </w:p>
        </w:tc>
        <w:tc>
          <w:tcPr>
            <w:tcW w:w="960" w:type="dxa"/>
            <w:tcBorders/>
            <w:vAlign w:val="center"/>
          </w:tcPr>
          <w:p>
            <w:pPr>
              <w:jc w:val="right"/>
            </w:pPr>
            <w:r>
              <w:rPr>
                <w:rFonts w:ascii="宋体" w:eastAsia="宋体" w:hAnsi="宋体" w:cs="宋体"/>
                <w:b w:val="0"/>
                <w:i w:val="0"/>
                <w:color w:val="000000"/>
                <w:sz w:val="13"/>
              </w:rPr>
              <w:t xml:space="preserve">164.45</w:t>
            </w:r>
          </w:p>
        </w:tc>
        <w:tc>
          <w:tcPr>
            <w:tcW w:w="960" w:type="dxa"/>
            <w:tcBorders/>
            <w:vAlign w:val="center"/>
          </w:tcPr>
          <w:p>
            <w:pPr>
              <w:jc w:val="right"/>
            </w:pPr>
            <w:r>
              <w:rPr>
                <w:rFonts w:ascii="宋体" w:eastAsia="宋体" w:hAnsi="宋体" w:cs="宋体"/>
                <w:b w:val="0"/>
                <w:i w:val="0"/>
                <w:color w:val="000000"/>
                <w:sz w:val="13"/>
              </w:rPr>
              <w:t xml:space="preserve">164.45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2150599</w:t>
            </w:r>
          </w:p>
        </w:tc>
        <w:tc>
          <w:tcPr>
            <w:tcW w:w="3200" w:type="dxa"/>
            <w:tcBorders/>
            <w:vAlign w:val="center"/>
          </w:tcPr>
          <w:p>
            <w:pPr>
              <w:jc w:val="left"/>
            </w:pPr>
            <w:r>
              <w:rPr>
                <w:rFonts w:ascii="宋体" w:eastAsia="宋体" w:hAnsi="宋体" w:cs="宋体"/>
                <w:b w:val="0"/>
                <w:i w:val="0"/>
                <w:color w:val="000000"/>
                <w:sz w:val="13"/>
              </w:rPr>
              <w:t xml:space="preserve">其他工业和信息产业监管支出</w:t>
            </w:r>
          </w:p>
        </w:tc>
        <w:tc>
          <w:tcPr>
            <w:tcW w:w="960" w:type="dxa"/>
            <w:tcBorders/>
            <w:vAlign w:val="center"/>
          </w:tcPr>
          <w:p>
            <w:pPr>
              <w:jc w:val="right"/>
            </w:pPr>
            <w:r>
              <w:rPr>
                <w:rFonts w:ascii="宋体" w:eastAsia="宋体" w:hAnsi="宋体" w:cs="宋体"/>
                <w:b w:val="0"/>
                <w:i w:val="0"/>
                <w:color w:val="000000"/>
                <w:sz w:val="13"/>
              </w:rPr>
              <w:t xml:space="preserve">362.75</w:t>
            </w:r>
          </w:p>
        </w:tc>
        <w:tc>
          <w:tcPr>
            <w:tcW w:w="960" w:type="dxa"/>
            <w:tcBorders/>
            <w:vAlign w:val="center"/>
          </w:tcPr>
          <w:p>
            <w:pPr>
              <w:jc w:val="right"/>
            </w:pPr>
            <w:r>
              <w:rPr>
                <w:rFonts w:ascii="宋体" w:eastAsia="宋体" w:hAnsi="宋体" w:cs="宋体"/>
                <w:b w:val="0"/>
                <w:i w:val="0"/>
                <w:color w:val="000000"/>
                <w:sz w:val="13"/>
              </w:rPr>
              <w:t xml:space="preserve">362.75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24.66</w:t>
            </w:r>
          </w:p>
        </w:tc>
        <w:tc>
          <w:tcPr>
            <w:tcW w:w="960" w:type="dxa"/>
            <w:tcBorders/>
            <w:vAlign w:val="center"/>
          </w:tcPr>
          <w:p>
            <w:pPr>
              <w:jc w:val="right"/>
            </w:pPr>
            <w:r>
              <w:rPr>
                <w:rFonts w:ascii="宋体" w:eastAsia="宋体" w:hAnsi="宋体" w:cs="宋体"/>
                <w:b w:val="0"/>
                <w:i w:val="0"/>
                <w:color w:val="000000"/>
                <w:sz w:val="13"/>
              </w:rPr>
              <w:t xml:space="preserve">24.66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24.66</w:t>
            </w:r>
          </w:p>
        </w:tc>
        <w:tc>
          <w:tcPr>
            <w:tcW w:w="960" w:type="dxa"/>
            <w:tcBorders/>
            <w:vAlign w:val="center"/>
          </w:tcPr>
          <w:p>
            <w:pPr>
              <w:jc w:val="right"/>
            </w:pPr>
            <w:r>
              <w:rPr>
                <w:rFonts w:ascii="宋体" w:eastAsia="宋体" w:hAnsi="宋体" w:cs="宋体"/>
                <w:b w:val="0"/>
                <w:i w:val="0"/>
                <w:color w:val="000000"/>
                <w:sz w:val="13"/>
              </w:rPr>
              <w:t xml:space="preserve">24.66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24.66</w:t>
            </w:r>
          </w:p>
        </w:tc>
        <w:tc>
          <w:tcPr>
            <w:tcW w:w="960" w:type="dxa"/>
            <w:tcBorders/>
            <w:vAlign w:val="center"/>
          </w:tcPr>
          <w:p>
            <w:pPr>
              <w:jc w:val="right"/>
            </w:pPr>
            <w:r>
              <w:rPr>
                <w:rFonts w:ascii="宋体" w:eastAsia="宋体" w:hAnsi="宋体" w:cs="宋体"/>
                <w:b w:val="0"/>
                <w:i w:val="0"/>
                <w:color w:val="000000"/>
                <w:sz w:val="13"/>
              </w:rPr>
              <w:t xml:space="preserve">24.66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部门：辽宁省沈阳市浑南区大数据管理中心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1,859.11</w:t>
            </w:r>
          </w:p>
        </w:tc>
        <w:tc>
          <w:tcPr>
            <w:tcW w:w="1060" w:type="dxa"/>
            <w:tcBorders/>
            <w:vAlign w:val="center"/>
          </w:tcPr>
          <w:p>
            <w:pPr>
              <w:jc w:val="right"/>
            </w:pPr>
            <w:r>
              <w:rPr>
                <w:rFonts w:ascii="宋体" w:eastAsia="宋体" w:hAnsi="宋体" w:cs="宋体"/>
                <w:b/>
                <w:i w:val="0"/>
                <w:color w:val="000000"/>
                <w:sz w:val="14"/>
              </w:rPr>
              <w:t xml:space="preserve">225.70</w:t>
            </w:r>
          </w:p>
        </w:tc>
        <w:tc>
          <w:tcPr>
            <w:tcW w:w="1060" w:type="dxa"/>
            <w:tcBorders/>
            <w:vAlign w:val="center"/>
          </w:tcPr>
          <w:p>
            <w:pPr>
              <w:jc w:val="right"/>
            </w:pPr>
            <w:r>
              <w:rPr>
                <w:rFonts w:ascii="宋体" w:eastAsia="宋体" w:hAnsi="宋体" w:cs="宋体"/>
                <w:b/>
                <w:i w:val="0"/>
                <w:color w:val="000000"/>
                <w:sz w:val="14"/>
              </w:rPr>
              <w:t xml:space="preserve">1,633.41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206</w:t>
            </w:r>
          </w:p>
        </w:tc>
        <w:tc>
          <w:tcPr>
            <w:tcW w:w="3440" w:type="dxa"/>
            <w:tcBorders/>
            <w:vAlign w:val="center"/>
          </w:tcPr>
          <w:p>
            <w:pPr>
              <w:jc w:val="left"/>
            </w:pPr>
            <w:r>
              <w:rPr>
                <w:rFonts w:ascii="宋体" w:eastAsia="宋体" w:hAnsi="宋体" w:cs="宋体"/>
                <w:b w:val="0"/>
                <w:i w:val="0"/>
                <w:color w:val="000000"/>
                <w:sz w:val="14"/>
              </w:rPr>
              <w:t xml:space="preserve">科学技术支出</w:t>
            </w:r>
          </w:p>
        </w:tc>
        <w:tc>
          <w:tcPr>
            <w:tcW w:w="1060" w:type="dxa"/>
            <w:tcBorders/>
            <w:vAlign w:val="center"/>
          </w:tcPr>
          <w:p>
            <w:pPr>
              <w:jc w:val="right"/>
            </w:pPr>
            <w:r>
              <w:rPr>
                <w:rFonts w:ascii="宋体" w:eastAsia="宋体" w:hAnsi="宋体" w:cs="宋体"/>
                <w:b w:val="0"/>
                <w:i w:val="0"/>
                <w:color w:val="000000"/>
                <w:sz w:val="14"/>
              </w:rPr>
              <w:t xml:space="preserve">1,270.66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1,270.66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20699</w:t>
            </w:r>
          </w:p>
        </w:tc>
        <w:tc>
          <w:tcPr>
            <w:tcW w:w="3440" w:type="dxa"/>
            <w:tcBorders/>
            <w:vAlign w:val="center"/>
          </w:tcPr>
          <w:p>
            <w:pPr>
              <w:jc w:val="left"/>
            </w:pPr>
            <w:r>
              <w:rPr>
                <w:rFonts w:ascii="宋体" w:eastAsia="宋体" w:hAnsi="宋体" w:cs="宋体"/>
                <w:b w:val="0"/>
                <w:i w:val="0"/>
                <w:color w:val="000000"/>
                <w:sz w:val="14"/>
              </w:rPr>
              <w:t xml:space="preserve">其他科学技术支出</w:t>
            </w:r>
          </w:p>
        </w:tc>
        <w:tc>
          <w:tcPr>
            <w:tcW w:w="1060" w:type="dxa"/>
            <w:tcBorders/>
            <w:vAlign w:val="center"/>
          </w:tcPr>
          <w:p>
            <w:pPr>
              <w:jc w:val="right"/>
            </w:pPr>
            <w:r>
              <w:rPr>
                <w:rFonts w:ascii="宋体" w:eastAsia="宋体" w:hAnsi="宋体" w:cs="宋体"/>
                <w:b w:val="0"/>
                <w:i w:val="0"/>
                <w:color w:val="000000"/>
                <w:sz w:val="14"/>
              </w:rPr>
              <w:t xml:space="preserve">1,270.66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1,270.66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2069999</w:t>
            </w:r>
          </w:p>
        </w:tc>
        <w:tc>
          <w:tcPr>
            <w:tcW w:w="3440" w:type="dxa"/>
            <w:tcBorders/>
            <w:vAlign w:val="center"/>
          </w:tcPr>
          <w:p>
            <w:pPr>
              <w:jc w:val="left"/>
            </w:pPr>
            <w:r>
              <w:rPr>
                <w:rFonts w:ascii="宋体" w:eastAsia="宋体" w:hAnsi="宋体" w:cs="宋体"/>
                <w:b w:val="0"/>
                <w:i w:val="0"/>
                <w:color w:val="000000"/>
                <w:sz w:val="14"/>
              </w:rPr>
              <w:t xml:space="preserve">其他科学技术支出</w:t>
            </w:r>
          </w:p>
        </w:tc>
        <w:tc>
          <w:tcPr>
            <w:tcW w:w="1060" w:type="dxa"/>
            <w:tcBorders/>
            <w:vAlign w:val="center"/>
          </w:tcPr>
          <w:p>
            <w:pPr>
              <w:jc w:val="right"/>
            </w:pPr>
            <w:r>
              <w:rPr>
                <w:rFonts w:ascii="宋体" w:eastAsia="宋体" w:hAnsi="宋体" w:cs="宋体"/>
                <w:b w:val="0"/>
                <w:i w:val="0"/>
                <w:color w:val="000000"/>
                <w:sz w:val="14"/>
              </w:rPr>
              <w:t xml:space="preserve">1,270.66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1,270.66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25.91</w:t>
            </w:r>
          </w:p>
        </w:tc>
        <w:tc>
          <w:tcPr>
            <w:tcW w:w="1060" w:type="dxa"/>
            <w:tcBorders/>
            <w:vAlign w:val="center"/>
          </w:tcPr>
          <w:p>
            <w:pPr>
              <w:jc w:val="right"/>
            </w:pPr>
            <w:r>
              <w:rPr>
                <w:rFonts w:ascii="宋体" w:eastAsia="宋体" w:hAnsi="宋体" w:cs="宋体"/>
                <w:b w:val="0"/>
                <w:i w:val="0"/>
                <w:color w:val="000000"/>
                <w:sz w:val="14"/>
              </w:rPr>
              <w:t xml:space="preserve">25.91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25.91</w:t>
            </w:r>
          </w:p>
        </w:tc>
        <w:tc>
          <w:tcPr>
            <w:tcW w:w="1060" w:type="dxa"/>
            <w:tcBorders/>
            <w:vAlign w:val="center"/>
          </w:tcPr>
          <w:p>
            <w:pPr>
              <w:jc w:val="right"/>
            </w:pPr>
            <w:r>
              <w:rPr>
                <w:rFonts w:ascii="宋体" w:eastAsia="宋体" w:hAnsi="宋体" w:cs="宋体"/>
                <w:b w:val="0"/>
                <w:i w:val="0"/>
                <w:color w:val="000000"/>
                <w:sz w:val="14"/>
              </w:rPr>
              <w:t xml:space="preserve">25.91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25.58</w:t>
            </w:r>
          </w:p>
        </w:tc>
        <w:tc>
          <w:tcPr>
            <w:tcW w:w="1060" w:type="dxa"/>
            <w:tcBorders/>
            <w:vAlign w:val="center"/>
          </w:tcPr>
          <w:p>
            <w:pPr>
              <w:jc w:val="right"/>
            </w:pPr>
            <w:r>
              <w:rPr>
                <w:rFonts w:ascii="宋体" w:eastAsia="宋体" w:hAnsi="宋体" w:cs="宋体"/>
                <w:b w:val="0"/>
                <w:i w:val="0"/>
                <w:color w:val="000000"/>
                <w:sz w:val="14"/>
              </w:rPr>
              <w:t xml:space="preserve">25.58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0.33</w:t>
            </w:r>
          </w:p>
        </w:tc>
        <w:tc>
          <w:tcPr>
            <w:tcW w:w="1060" w:type="dxa"/>
            <w:tcBorders/>
            <w:vAlign w:val="center"/>
          </w:tcPr>
          <w:p>
            <w:pPr>
              <w:jc w:val="right"/>
            </w:pPr>
            <w:r>
              <w:rPr>
                <w:rFonts w:ascii="宋体" w:eastAsia="宋体" w:hAnsi="宋体" w:cs="宋体"/>
                <w:b w:val="0"/>
                <w:i w:val="0"/>
                <w:color w:val="000000"/>
                <w:sz w:val="14"/>
              </w:rPr>
              <w:t xml:space="preserve">0.33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10.68</w:t>
            </w:r>
          </w:p>
        </w:tc>
        <w:tc>
          <w:tcPr>
            <w:tcW w:w="1060" w:type="dxa"/>
            <w:tcBorders/>
            <w:vAlign w:val="center"/>
          </w:tcPr>
          <w:p>
            <w:pPr>
              <w:jc w:val="right"/>
            </w:pPr>
            <w:r>
              <w:rPr>
                <w:rFonts w:ascii="宋体" w:eastAsia="宋体" w:hAnsi="宋体" w:cs="宋体"/>
                <w:b w:val="0"/>
                <w:i w:val="0"/>
                <w:color w:val="000000"/>
                <w:sz w:val="14"/>
              </w:rPr>
              <w:t xml:space="preserve">10.68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10.68</w:t>
            </w:r>
          </w:p>
        </w:tc>
        <w:tc>
          <w:tcPr>
            <w:tcW w:w="1060" w:type="dxa"/>
            <w:tcBorders/>
            <w:vAlign w:val="center"/>
          </w:tcPr>
          <w:p>
            <w:pPr>
              <w:jc w:val="right"/>
            </w:pPr>
            <w:r>
              <w:rPr>
                <w:rFonts w:ascii="宋体" w:eastAsia="宋体" w:hAnsi="宋体" w:cs="宋体"/>
                <w:b w:val="0"/>
                <w:i w:val="0"/>
                <w:color w:val="000000"/>
                <w:sz w:val="14"/>
              </w:rPr>
              <w:t xml:space="preserve">10.68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10.68</w:t>
            </w:r>
          </w:p>
        </w:tc>
        <w:tc>
          <w:tcPr>
            <w:tcW w:w="1060" w:type="dxa"/>
            <w:tcBorders/>
            <w:vAlign w:val="center"/>
          </w:tcPr>
          <w:p>
            <w:pPr>
              <w:jc w:val="right"/>
            </w:pPr>
            <w:r>
              <w:rPr>
                <w:rFonts w:ascii="宋体" w:eastAsia="宋体" w:hAnsi="宋体" w:cs="宋体"/>
                <w:b w:val="0"/>
                <w:i w:val="0"/>
                <w:color w:val="000000"/>
                <w:sz w:val="14"/>
              </w:rPr>
              <w:t xml:space="preserve">10.68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215</w:t>
            </w:r>
          </w:p>
        </w:tc>
        <w:tc>
          <w:tcPr>
            <w:tcW w:w="3440" w:type="dxa"/>
            <w:tcBorders/>
            <w:vAlign w:val="center"/>
          </w:tcPr>
          <w:p>
            <w:pPr>
              <w:jc w:val="left"/>
            </w:pPr>
            <w:r>
              <w:rPr>
                <w:rFonts w:ascii="宋体" w:eastAsia="宋体" w:hAnsi="宋体" w:cs="宋体"/>
                <w:b w:val="0"/>
                <w:i w:val="0"/>
                <w:color w:val="000000"/>
                <w:sz w:val="14"/>
              </w:rPr>
              <w:t xml:space="preserve">资源勘探工业信息等支出</w:t>
            </w:r>
          </w:p>
        </w:tc>
        <w:tc>
          <w:tcPr>
            <w:tcW w:w="1060" w:type="dxa"/>
            <w:tcBorders/>
            <w:vAlign w:val="center"/>
          </w:tcPr>
          <w:p>
            <w:pPr>
              <w:jc w:val="right"/>
            </w:pPr>
            <w:r>
              <w:rPr>
                <w:rFonts w:ascii="宋体" w:eastAsia="宋体" w:hAnsi="宋体" w:cs="宋体"/>
                <w:b w:val="0"/>
                <w:i w:val="0"/>
                <w:color w:val="000000"/>
                <w:sz w:val="14"/>
              </w:rPr>
              <w:t xml:space="preserve">527.20</w:t>
            </w:r>
          </w:p>
        </w:tc>
        <w:tc>
          <w:tcPr>
            <w:tcW w:w="1060" w:type="dxa"/>
            <w:tcBorders/>
            <w:vAlign w:val="center"/>
          </w:tcPr>
          <w:p>
            <w:pPr>
              <w:jc w:val="right"/>
            </w:pPr>
            <w:r>
              <w:rPr>
                <w:rFonts w:ascii="宋体" w:eastAsia="宋体" w:hAnsi="宋体" w:cs="宋体"/>
                <w:b w:val="0"/>
                <w:i w:val="0"/>
                <w:color w:val="000000"/>
                <w:sz w:val="14"/>
              </w:rPr>
              <w:t xml:space="preserve">164.45</w:t>
            </w:r>
          </w:p>
        </w:tc>
        <w:tc>
          <w:tcPr>
            <w:tcW w:w="1060" w:type="dxa"/>
            <w:tcBorders/>
            <w:vAlign w:val="center"/>
          </w:tcPr>
          <w:p>
            <w:pPr>
              <w:jc w:val="right"/>
            </w:pPr>
            <w:r>
              <w:rPr>
                <w:rFonts w:ascii="宋体" w:eastAsia="宋体" w:hAnsi="宋体" w:cs="宋体"/>
                <w:b w:val="0"/>
                <w:i w:val="0"/>
                <w:color w:val="000000"/>
                <w:sz w:val="14"/>
              </w:rPr>
              <w:t xml:space="preserve">362.75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21505</w:t>
            </w:r>
          </w:p>
        </w:tc>
        <w:tc>
          <w:tcPr>
            <w:tcW w:w="3440" w:type="dxa"/>
            <w:tcBorders/>
            <w:vAlign w:val="center"/>
          </w:tcPr>
          <w:p>
            <w:pPr>
              <w:jc w:val="left"/>
            </w:pPr>
            <w:r>
              <w:rPr>
                <w:rFonts w:ascii="宋体" w:eastAsia="宋体" w:hAnsi="宋体" w:cs="宋体"/>
                <w:b w:val="0"/>
                <w:i w:val="0"/>
                <w:color w:val="000000"/>
                <w:sz w:val="14"/>
              </w:rPr>
              <w:t xml:space="preserve">工业和信息产业监管</w:t>
            </w:r>
          </w:p>
        </w:tc>
        <w:tc>
          <w:tcPr>
            <w:tcW w:w="1060" w:type="dxa"/>
            <w:tcBorders/>
            <w:vAlign w:val="center"/>
          </w:tcPr>
          <w:p>
            <w:pPr>
              <w:jc w:val="right"/>
            </w:pPr>
            <w:r>
              <w:rPr>
                <w:rFonts w:ascii="宋体" w:eastAsia="宋体" w:hAnsi="宋体" w:cs="宋体"/>
                <w:b w:val="0"/>
                <w:i w:val="0"/>
                <w:color w:val="000000"/>
                <w:sz w:val="14"/>
              </w:rPr>
              <w:t xml:space="preserve">527.20</w:t>
            </w:r>
          </w:p>
        </w:tc>
        <w:tc>
          <w:tcPr>
            <w:tcW w:w="1060" w:type="dxa"/>
            <w:tcBorders/>
            <w:vAlign w:val="center"/>
          </w:tcPr>
          <w:p>
            <w:pPr>
              <w:jc w:val="right"/>
            </w:pPr>
            <w:r>
              <w:rPr>
                <w:rFonts w:ascii="宋体" w:eastAsia="宋体" w:hAnsi="宋体" w:cs="宋体"/>
                <w:b w:val="0"/>
                <w:i w:val="0"/>
                <w:color w:val="000000"/>
                <w:sz w:val="14"/>
              </w:rPr>
              <w:t xml:space="preserve">164.45</w:t>
            </w:r>
          </w:p>
        </w:tc>
        <w:tc>
          <w:tcPr>
            <w:tcW w:w="1060" w:type="dxa"/>
            <w:tcBorders/>
            <w:vAlign w:val="center"/>
          </w:tcPr>
          <w:p>
            <w:pPr>
              <w:jc w:val="right"/>
            </w:pPr>
            <w:r>
              <w:rPr>
                <w:rFonts w:ascii="宋体" w:eastAsia="宋体" w:hAnsi="宋体" w:cs="宋体"/>
                <w:b w:val="0"/>
                <w:i w:val="0"/>
                <w:color w:val="000000"/>
                <w:sz w:val="14"/>
              </w:rPr>
              <w:t xml:space="preserve">362.75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2150550</w:t>
            </w:r>
          </w:p>
        </w:tc>
        <w:tc>
          <w:tcPr>
            <w:tcW w:w="3440" w:type="dxa"/>
            <w:tcBorders/>
            <w:vAlign w:val="center"/>
          </w:tcPr>
          <w:p>
            <w:pPr>
              <w:jc w:val="left"/>
            </w:pPr>
            <w:r>
              <w:rPr>
                <w:rFonts w:ascii="宋体" w:eastAsia="宋体" w:hAnsi="宋体" w:cs="宋体"/>
                <w:b w:val="0"/>
                <w:i w:val="0"/>
                <w:color w:val="000000"/>
                <w:sz w:val="14"/>
              </w:rPr>
              <w:t xml:space="preserve">事业运行</w:t>
            </w:r>
          </w:p>
        </w:tc>
        <w:tc>
          <w:tcPr>
            <w:tcW w:w="1060" w:type="dxa"/>
            <w:tcBorders/>
            <w:vAlign w:val="center"/>
          </w:tcPr>
          <w:p>
            <w:pPr>
              <w:jc w:val="right"/>
            </w:pPr>
            <w:r>
              <w:rPr>
                <w:rFonts w:ascii="宋体" w:eastAsia="宋体" w:hAnsi="宋体" w:cs="宋体"/>
                <w:b w:val="0"/>
                <w:i w:val="0"/>
                <w:color w:val="000000"/>
                <w:sz w:val="14"/>
              </w:rPr>
              <w:t xml:space="preserve">164.45</w:t>
            </w:r>
          </w:p>
        </w:tc>
        <w:tc>
          <w:tcPr>
            <w:tcW w:w="1060" w:type="dxa"/>
            <w:tcBorders/>
            <w:vAlign w:val="center"/>
          </w:tcPr>
          <w:p>
            <w:pPr>
              <w:jc w:val="right"/>
            </w:pPr>
            <w:r>
              <w:rPr>
                <w:rFonts w:ascii="宋体" w:eastAsia="宋体" w:hAnsi="宋体" w:cs="宋体"/>
                <w:b w:val="0"/>
                <w:i w:val="0"/>
                <w:color w:val="000000"/>
                <w:sz w:val="14"/>
              </w:rPr>
              <w:t xml:space="preserve">164.45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2150599</w:t>
            </w:r>
          </w:p>
        </w:tc>
        <w:tc>
          <w:tcPr>
            <w:tcW w:w="3440" w:type="dxa"/>
            <w:tcBorders/>
            <w:vAlign w:val="center"/>
          </w:tcPr>
          <w:p>
            <w:pPr>
              <w:jc w:val="left"/>
            </w:pPr>
            <w:r>
              <w:rPr>
                <w:rFonts w:ascii="宋体" w:eastAsia="宋体" w:hAnsi="宋体" w:cs="宋体"/>
                <w:b w:val="0"/>
                <w:i w:val="0"/>
                <w:color w:val="000000"/>
                <w:sz w:val="14"/>
              </w:rPr>
              <w:t xml:space="preserve">其他工业和信息产业监管支出</w:t>
            </w:r>
          </w:p>
        </w:tc>
        <w:tc>
          <w:tcPr>
            <w:tcW w:w="1060" w:type="dxa"/>
            <w:tcBorders/>
            <w:vAlign w:val="center"/>
          </w:tcPr>
          <w:p>
            <w:pPr>
              <w:jc w:val="right"/>
            </w:pPr>
            <w:r>
              <w:rPr>
                <w:rFonts w:ascii="宋体" w:eastAsia="宋体" w:hAnsi="宋体" w:cs="宋体"/>
                <w:b w:val="0"/>
                <w:i w:val="0"/>
                <w:color w:val="000000"/>
                <w:sz w:val="14"/>
              </w:rPr>
              <w:t xml:space="preserve">362.75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362.75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24.66</w:t>
            </w:r>
          </w:p>
        </w:tc>
        <w:tc>
          <w:tcPr>
            <w:tcW w:w="1060" w:type="dxa"/>
            <w:tcBorders/>
            <w:vAlign w:val="center"/>
          </w:tcPr>
          <w:p>
            <w:pPr>
              <w:jc w:val="right"/>
            </w:pPr>
            <w:r>
              <w:rPr>
                <w:rFonts w:ascii="宋体" w:eastAsia="宋体" w:hAnsi="宋体" w:cs="宋体"/>
                <w:b w:val="0"/>
                <w:i w:val="0"/>
                <w:color w:val="000000"/>
                <w:sz w:val="14"/>
              </w:rPr>
              <w:t xml:space="preserve">24.66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24.66</w:t>
            </w:r>
          </w:p>
        </w:tc>
        <w:tc>
          <w:tcPr>
            <w:tcW w:w="1060" w:type="dxa"/>
            <w:tcBorders/>
            <w:vAlign w:val="center"/>
          </w:tcPr>
          <w:p>
            <w:pPr>
              <w:jc w:val="right"/>
            </w:pPr>
            <w:r>
              <w:rPr>
                <w:rFonts w:ascii="宋体" w:eastAsia="宋体" w:hAnsi="宋体" w:cs="宋体"/>
                <w:b w:val="0"/>
                <w:i w:val="0"/>
                <w:color w:val="000000"/>
                <w:sz w:val="14"/>
              </w:rPr>
              <w:t xml:space="preserve">24.66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24.66</w:t>
            </w:r>
          </w:p>
        </w:tc>
        <w:tc>
          <w:tcPr>
            <w:tcW w:w="1060" w:type="dxa"/>
            <w:tcBorders/>
            <w:vAlign w:val="center"/>
          </w:tcPr>
          <w:p>
            <w:pPr>
              <w:jc w:val="right"/>
            </w:pPr>
            <w:r>
              <w:rPr>
                <w:rFonts w:ascii="宋体" w:eastAsia="宋体" w:hAnsi="宋体" w:cs="宋体"/>
                <w:b w:val="0"/>
                <w:i w:val="0"/>
                <w:color w:val="000000"/>
                <w:sz w:val="14"/>
              </w:rPr>
              <w:t xml:space="preserve">24.66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部门：辽宁省沈阳市浑南区大数据管理中心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1,859.11</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jc w:val="right"/>
            </w:pPr>
            <w:r>
              <w:rPr>
                <w:rFonts w:ascii="宋体" w:eastAsia="宋体" w:hAnsi="宋体" w:cs="宋体"/>
                <w:b w:val="0"/>
                <w:i w:val="0"/>
                <w:color w:val="000000"/>
                <w:sz w:val="14"/>
              </w:rPr>
              <w:t xml:space="preserve">1,270.66</w:t>
            </w:r>
          </w:p>
        </w:tc>
        <w:tc>
          <w:tcPr>
            <w:tcW w:w="1100" w:type="dxa"/>
            <w:tcBorders/>
            <w:vAlign w:val="center"/>
          </w:tcPr>
          <w:p>
            <w:pPr>
              <w:jc w:val="right"/>
            </w:pPr>
            <w:r>
              <w:rPr>
                <w:rFonts w:ascii="宋体" w:eastAsia="宋体" w:hAnsi="宋体" w:cs="宋体"/>
                <w:b w:val="0"/>
                <w:i w:val="0"/>
                <w:color w:val="000000"/>
                <w:sz w:val="14"/>
              </w:rPr>
              <w:t xml:space="preserve">1,270.66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25.91</w:t>
            </w:r>
          </w:p>
        </w:tc>
        <w:tc>
          <w:tcPr>
            <w:tcW w:w="1100" w:type="dxa"/>
            <w:tcBorders/>
            <w:vAlign w:val="center"/>
          </w:tcPr>
          <w:p>
            <w:pPr>
              <w:jc w:val="right"/>
            </w:pPr>
            <w:r>
              <w:rPr>
                <w:rFonts w:ascii="宋体" w:eastAsia="宋体" w:hAnsi="宋体" w:cs="宋体"/>
                <w:b w:val="0"/>
                <w:i w:val="0"/>
                <w:color w:val="000000"/>
                <w:sz w:val="14"/>
              </w:rPr>
              <w:t xml:space="preserve">25.91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10.68</w:t>
            </w:r>
          </w:p>
        </w:tc>
        <w:tc>
          <w:tcPr>
            <w:tcW w:w="1100" w:type="dxa"/>
            <w:tcBorders/>
            <w:vAlign w:val="center"/>
          </w:tcPr>
          <w:p>
            <w:pPr>
              <w:jc w:val="right"/>
            </w:pPr>
            <w:r>
              <w:rPr>
                <w:rFonts w:ascii="宋体" w:eastAsia="宋体" w:hAnsi="宋体" w:cs="宋体"/>
                <w:b w:val="0"/>
                <w:i w:val="0"/>
                <w:color w:val="000000"/>
                <w:sz w:val="14"/>
              </w:rPr>
              <w:t xml:space="preserve">10.68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jc w:val="right"/>
            </w:pPr>
            <w:r>
              <w:rPr>
                <w:rFonts w:ascii="宋体" w:eastAsia="宋体" w:hAnsi="宋体" w:cs="宋体"/>
                <w:b w:val="0"/>
                <w:i w:val="0"/>
                <w:color w:val="000000"/>
                <w:sz w:val="14"/>
              </w:rPr>
              <w:t xml:space="preserve">527.20</w:t>
            </w:r>
          </w:p>
        </w:tc>
        <w:tc>
          <w:tcPr>
            <w:tcW w:w="1100" w:type="dxa"/>
            <w:tcBorders/>
            <w:vAlign w:val="center"/>
          </w:tcPr>
          <w:p>
            <w:pPr>
              <w:jc w:val="right"/>
            </w:pPr>
            <w:r>
              <w:rPr>
                <w:rFonts w:ascii="宋体" w:eastAsia="宋体" w:hAnsi="宋体" w:cs="宋体"/>
                <w:b w:val="0"/>
                <w:i w:val="0"/>
                <w:color w:val="000000"/>
                <w:sz w:val="14"/>
              </w:rPr>
              <w:t xml:space="preserve">527.20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24.66</w:t>
            </w:r>
          </w:p>
        </w:tc>
        <w:tc>
          <w:tcPr>
            <w:tcW w:w="1100" w:type="dxa"/>
            <w:tcBorders/>
            <w:vAlign w:val="center"/>
          </w:tcPr>
          <w:p>
            <w:pPr>
              <w:jc w:val="right"/>
            </w:pPr>
            <w:r>
              <w:rPr>
                <w:rFonts w:ascii="宋体" w:eastAsia="宋体" w:hAnsi="宋体" w:cs="宋体"/>
                <w:b w:val="0"/>
                <w:i w:val="0"/>
                <w:color w:val="000000"/>
                <w:sz w:val="14"/>
              </w:rPr>
              <w:t xml:space="preserve">24.66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1,859.11</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1,859.11</w:t>
            </w:r>
          </w:p>
        </w:tc>
        <w:tc>
          <w:tcPr>
            <w:tcW w:w="1100" w:type="dxa"/>
            <w:tcBorders/>
            <w:vAlign w:val="center"/>
          </w:tcPr>
          <w:p>
            <w:pPr>
              <w:jc w:val="right"/>
            </w:pPr>
            <w:r>
              <w:rPr>
                <w:rFonts w:ascii="宋体" w:eastAsia="宋体" w:hAnsi="宋体" w:cs="宋体"/>
                <w:b w:val="0"/>
                <w:i w:val="0"/>
                <w:color w:val="000000"/>
                <w:sz w:val="14"/>
              </w:rPr>
              <w:t xml:space="preserve">1,859.11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1,859.11</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1,859.11</w:t>
            </w:r>
          </w:p>
        </w:tc>
        <w:tc>
          <w:tcPr>
            <w:tcW w:w="1100" w:type="dxa"/>
            <w:tcBorders/>
            <w:vAlign w:val="center"/>
          </w:tcPr>
          <w:p>
            <w:pPr>
              <w:jc w:val="right"/>
            </w:pPr>
            <w:r>
              <w:rPr>
                <w:rFonts w:ascii="宋体" w:eastAsia="宋体" w:hAnsi="宋体" w:cs="宋体"/>
                <w:b w:val="0"/>
                <w:i w:val="0"/>
                <w:color w:val="000000"/>
                <w:sz w:val="14"/>
              </w:rPr>
              <w:t xml:space="preserve">1,859.11</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部门：辽宁省沈阳市浑南区大数据管理中心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1,859.11</w:t>
            </w:r>
          </w:p>
        </w:tc>
        <w:tc>
          <w:tcPr>
            <w:tcW w:w="1780" w:type="dxa"/>
            <w:tcBorders/>
            <w:vAlign w:val="center"/>
          </w:tcPr>
          <w:p>
            <w:pPr>
              <w:jc w:val="right"/>
            </w:pPr>
            <w:r>
              <w:rPr>
                <w:rFonts w:ascii="宋体" w:eastAsia="宋体" w:hAnsi="宋体" w:cs="宋体"/>
                <w:b/>
                <w:i w:val="0"/>
                <w:color w:val="000000"/>
                <w:sz w:val="18"/>
              </w:rPr>
              <w:t xml:space="preserve">225.70</w:t>
            </w:r>
          </w:p>
        </w:tc>
        <w:tc>
          <w:tcPr>
            <w:tcW w:w="1772" w:type="dxa"/>
            <w:tcBorders/>
            <w:vAlign w:val="center"/>
          </w:tcPr>
          <w:p>
            <w:pPr>
              <w:jc w:val="right"/>
            </w:pPr>
            <w:r>
              <w:rPr>
                <w:rFonts w:ascii="宋体" w:eastAsia="宋体" w:hAnsi="宋体" w:cs="宋体"/>
                <w:b/>
                <w:i w:val="0"/>
                <w:color w:val="000000"/>
                <w:sz w:val="18"/>
              </w:rPr>
              <w:t xml:space="preserve">1,633.41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206</w:t>
            </w:r>
          </w:p>
        </w:tc>
        <w:tc>
          <w:tcPr>
            <w:tcW w:w="4300" w:type="dxa"/>
            <w:tcBorders/>
            <w:vAlign w:val="center"/>
          </w:tcPr>
          <w:p>
            <w:pPr>
              <w:jc w:val="left"/>
            </w:pPr>
            <w:r>
              <w:rPr>
                <w:rFonts w:ascii="宋体" w:eastAsia="宋体" w:hAnsi="宋体" w:cs="宋体"/>
                <w:b w:val="0"/>
                <w:i w:val="0"/>
                <w:color w:val="000000"/>
                <w:sz w:val="18"/>
              </w:rPr>
              <w:t xml:space="preserve">科学技术支出</w:t>
            </w:r>
          </w:p>
        </w:tc>
        <w:tc>
          <w:tcPr>
            <w:tcW w:w="1780" w:type="dxa"/>
            <w:tcBorders/>
            <w:vAlign w:val="center"/>
          </w:tcPr>
          <w:p>
            <w:pPr>
              <w:jc w:val="right"/>
            </w:pPr>
            <w:r>
              <w:rPr>
                <w:rFonts w:ascii="宋体" w:eastAsia="宋体" w:hAnsi="宋体" w:cs="宋体"/>
                <w:b w:val="0"/>
                <w:i w:val="0"/>
                <w:color w:val="000000"/>
                <w:sz w:val="18"/>
              </w:rPr>
              <w:t xml:space="preserve">1,270.66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1,270.66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20699</w:t>
            </w:r>
          </w:p>
        </w:tc>
        <w:tc>
          <w:tcPr>
            <w:tcW w:w="4300" w:type="dxa"/>
            <w:tcBorders/>
            <w:vAlign w:val="center"/>
          </w:tcPr>
          <w:p>
            <w:pPr>
              <w:jc w:val="left"/>
            </w:pPr>
            <w:r>
              <w:rPr>
                <w:rFonts w:ascii="宋体" w:eastAsia="宋体" w:hAnsi="宋体" w:cs="宋体"/>
                <w:b w:val="0"/>
                <w:i w:val="0"/>
                <w:color w:val="000000"/>
                <w:sz w:val="18"/>
              </w:rPr>
              <w:t xml:space="preserve">其他科学技术支出</w:t>
            </w:r>
          </w:p>
        </w:tc>
        <w:tc>
          <w:tcPr>
            <w:tcW w:w="1780" w:type="dxa"/>
            <w:tcBorders/>
            <w:vAlign w:val="center"/>
          </w:tcPr>
          <w:p>
            <w:pPr>
              <w:jc w:val="right"/>
            </w:pPr>
            <w:r>
              <w:rPr>
                <w:rFonts w:ascii="宋体" w:eastAsia="宋体" w:hAnsi="宋体" w:cs="宋体"/>
                <w:b w:val="0"/>
                <w:i w:val="0"/>
                <w:color w:val="000000"/>
                <w:sz w:val="18"/>
              </w:rPr>
              <w:t xml:space="preserve">1,270.66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1,270.66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2069999</w:t>
            </w:r>
          </w:p>
        </w:tc>
        <w:tc>
          <w:tcPr>
            <w:tcW w:w="4300" w:type="dxa"/>
            <w:tcBorders/>
            <w:vAlign w:val="center"/>
          </w:tcPr>
          <w:p>
            <w:pPr>
              <w:jc w:val="left"/>
            </w:pPr>
            <w:r>
              <w:rPr>
                <w:rFonts w:ascii="宋体" w:eastAsia="宋体" w:hAnsi="宋体" w:cs="宋体"/>
                <w:b w:val="0"/>
                <w:i w:val="0"/>
                <w:color w:val="000000"/>
                <w:sz w:val="18"/>
              </w:rPr>
              <w:t xml:space="preserve">其他科学技术支出</w:t>
            </w:r>
          </w:p>
        </w:tc>
        <w:tc>
          <w:tcPr>
            <w:tcW w:w="1780" w:type="dxa"/>
            <w:tcBorders/>
            <w:vAlign w:val="center"/>
          </w:tcPr>
          <w:p>
            <w:pPr>
              <w:jc w:val="right"/>
            </w:pPr>
            <w:r>
              <w:rPr>
                <w:rFonts w:ascii="宋体" w:eastAsia="宋体" w:hAnsi="宋体" w:cs="宋体"/>
                <w:b w:val="0"/>
                <w:i w:val="0"/>
                <w:color w:val="000000"/>
                <w:sz w:val="18"/>
              </w:rPr>
              <w:t xml:space="preserve">1,270.66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1,270.66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25.91</w:t>
            </w:r>
          </w:p>
        </w:tc>
        <w:tc>
          <w:tcPr>
            <w:tcW w:w="1780" w:type="dxa"/>
            <w:tcBorders/>
            <w:vAlign w:val="center"/>
          </w:tcPr>
          <w:p>
            <w:pPr>
              <w:jc w:val="right"/>
            </w:pPr>
            <w:r>
              <w:rPr>
                <w:rFonts w:ascii="宋体" w:eastAsia="宋体" w:hAnsi="宋体" w:cs="宋体"/>
                <w:b w:val="0"/>
                <w:i w:val="0"/>
                <w:color w:val="000000"/>
                <w:sz w:val="18"/>
              </w:rPr>
              <w:t xml:space="preserve">25.91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25.91</w:t>
            </w:r>
          </w:p>
        </w:tc>
        <w:tc>
          <w:tcPr>
            <w:tcW w:w="1780" w:type="dxa"/>
            <w:tcBorders/>
            <w:vAlign w:val="center"/>
          </w:tcPr>
          <w:p>
            <w:pPr>
              <w:jc w:val="right"/>
            </w:pPr>
            <w:r>
              <w:rPr>
                <w:rFonts w:ascii="宋体" w:eastAsia="宋体" w:hAnsi="宋体" w:cs="宋体"/>
                <w:b w:val="0"/>
                <w:i w:val="0"/>
                <w:color w:val="000000"/>
                <w:sz w:val="18"/>
              </w:rPr>
              <w:t xml:space="preserve">25.91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25.58</w:t>
            </w:r>
          </w:p>
        </w:tc>
        <w:tc>
          <w:tcPr>
            <w:tcW w:w="1780" w:type="dxa"/>
            <w:tcBorders/>
            <w:vAlign w:val="center"/>
          </w:tcPr>
          <w:p>
            <w:pPr>
              <w:jc w:val="right"/>
            </w:pPr>
            <w:r>
              <w:rPr>
                <w:rFonts w:ascii="宋体" w:eastAsia="宋体" w:hAnsi="宋体" w:cs="宋体"/>
                <w:b w:val="0"/>
                <w:i w:val="0"/>
                <w:color w:val="000000"/>
                <w:sz w:val="18"/>
              </w:rPr>
              <w:t xml:space="preserve">25.58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0.33</w:t>
            </w:r>
          </w:p>
        </w:tc>
        <w:tc>
          <w:tcPr>
            <w:tcW w:w="1780" w:type="dxa"/>
            <w:tcBorders/>
            <w:vAlign w:val="center"/>
          </w:tcPr>
          <w:p>
            <w:pPr>
              <w:jc w:val="right"/>
            </w:pPr>
            <w:r>
              <w:rPr>
                <w:rFonts w:ascii="宋体" w:eastAsia="宋体" w:hAnsi="宋体" w:cs="宋体"/>
                <w:b w:val="0"/>
                <w:i w:val="0"/>
                <w:color w:val="000000"/>
                <w:sz w:val="18"/>
              </w:rPr>
              <w:t xml:space="preserve">0.33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10.68</w:t>
            </w:r>
          </w:p>
        </w:tc>
        <w:tc>
          <w:tcPr>
            <w:tcW w:w="1780" w:type="dxa"/>
            <w:tcBorders/>
            <w:vAlign w:val="center"/>
          </w:tcPr>
          <w:p>
            <w:pPr>
              <w:jc w:val="right"/>
            </w:pPr>
            <w:r>
              <w:rPr>
                <w:rFonts w:ascii="宋体" w:eastAsia="宋体" w:hAnsi="宋体" w:cs="宋体"/>
                <w:b w:val="0"/>
                <w:i w:val="0"/>
                <w:color w:val="000000"/>
                <w:sz w:val="18"/>
              </w:rPr>
              <w:t xml:space="preserve">10.68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10.68</w:t>
            </w:r>
          </w:p>
        </w:tc>
        <w:tc>
          <w:tcPr>
            <w:tcW w:w="1780" w:type="dxa"/>
            <w:tcBorders/>
            <w:vAlign w:val="center"/>
          </w:tcPr>
          <w:p>
            <w:pPr>
              <w:jc w:val="right"/>
            </w:pPr>
            <w:r>
              <w:rPr>
                <w:rFonts w:ascii="宋体" w:eastAsia="宋体" w:hAnsi="宋体" w:cs="宋体"/>
                <w:b w:val="0"/>
                <w:i w:val="0"/>
                <w:color w:val="000000"/>
                <w:sz w:val="18"/>
              </w:rPr>
              <w:t xml:space="preserve">10.68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10.68</w:t>
            </w:r>
          </w:p>
        </w:tc>
        <w:tc>
          <w:tcPr>
            <w:tcW w:w="1780" w:type="dxa"/>
            <w:tcBorders/>
            <w:vAlign w:val="center"/>
          </w:tcPr>
          <w:p>
            <w:pPr>
              <w:jc w:val="right"/>
            </w:pPr>
            <w:r>
              <w:rPr>
                <w:rFonts w:ascii="宋体" w:eastAsia="宋体" w:hAnsi="宋体" w:cs="宋体"/>
                <w:b w:val="0"/>
                <w:i w:val="0"/>
                <w:color w:val="000000"/>
                <w:sz w:val="18"/>
              </w:rPr>
              <w:t xml:space="preserve">10.68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215</w:t>
            </w:r>
          </w:p>
        </w:tc>
        <w:tc>
          <w:tcPr>
            <w:tcW w:w="4300" w:type="dxa"/>
            <w:tcBorders/>
            <w:vAlign w:val="center"/>
          </w:tcPr>
          <w:p>
            <w:pPr>
              <w:jc w:val="left"/>
            </w:pPr>
            <w:r>
              <w:rPr>
                <w:rFonts w:ascii="宋体" w:eastAsia="宋体" w:hAnsi="宋体" w:cs="宋体"/>
                <w:b w:val="0"/>
                <w:i w:val="0"/>
                <w:color w:val="000000"/>
                <w:sz w:val="18"/>
              </w:rPr>
              <w:t xml:space="preserve">资源勘探工业信息等支出</w:t>
            </w:r>
          </w:p>
        </w:tc>
        <w:tc>
          <w:tcPr>
            <w:tcW w:w="1780" w:type="dxa"/>
            <w:tcBorders/>
            <w:vAlign w:val="center"/>
          </w:tcPr>
          <w:p>
            <w:pPr>
              <w:jc w:val="right"/>
            </w:pPr>
            <w:r>
              <w:rPr>
                <w:rFonts w:ascii="宋体" w:eastAsia="宋体" w:hAnsi="宋体" w:cs="宋体"/>
                <w:b w:val="0"/>
                <w:i w:val="0"/>
                <w:color w:val="000000"/>
                <w:sz w:val="18"/>
              </w:rPr>
              <w:t xml:space="preserve">527.20</w:t>
            </w:r>
          </w:p>
        </w:tc>
        <w:tc>
          <w:tcPr>
            <w:tcW w:w="1780" w:type="dxa"/>
            <w:tcBorders/>
            <w:vAlign w:val="center"/>
          </w:tcPr>
          <w:p>
            <w:pPr>
              <w:jc w:val="right"/>
            </w:pPr>
            <w:r>
              <w:rPr>
                <w:rFonts w:ascii="宋体" w:eastAsia="宋体" w:hAnsi="宋体" w:cs="宋体"/>
                <w:b w:val="0"/>
                <w:i w:val="0"/>
                <w:color w:val="000000"/>
                <w:sz w:val="18"/>
              </w:rPr>
              <w:t xml:space="preserve">164.45</w:t>
            </w:r>
          </w:p>
        </w:tc>
        <w:tc>
          <w:tcPr>
            <w:tcW w:w="1772" w:type="dxa"/>
            <w:tcBorders/>
            <w:vAlign w:val="center"/>
          </w:tcPr>
          <w:p>
            <w:pPr>
              <w:jc w:val="right"/>
            </w:pPr>
            <w:r>
              <w:rPr>
                <w:rFonts w:ascii="宋体" w:eastAsia="宋体" w:hAnsi="宋体" w:cs="宋体"/>
                <w:b w:val="0"/>
                <w:i w:val="0"/>
                <w:color w:val="000000"/>
                <w:sz w:val="18"/>
              </w:rPr>
              <w:t xml:space="preserve">362.75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21505</w:t>
            </w:r>
          </w:p>
        </w:tc>
        <w:tc>
          <w:tcPr>
            <w:tcW w:w="4300" w:type="dxa"/>
            <w:tcBorders/>
            <w:vAlign w:val="center"/>
          </w:tcPr>
          <w:p>
            <w:pPr>
              <w:jc w:val="left"/>
            </w:pPr>
            <w:r>
              <w:rPr>
                <w:rFonts w:ascii="宋体" w:eastAsia="宋体" w:hAnsi="宋体" w:cs="宋体"/>
                <w:b w:val="0"/>
                <w:i w:val="0"/>
                <w:color w:val="000000"/>
                <w:sz w:val="18"/>
              </w:rPr>
              <w:t xml:space="preserve">工业和信息产业监管</w:t>
            </w:r>
          </w:p>
        </w:tc>
        <w:tc>
          <w:tcPr>
            <w:tcW w:w="1780" w:type="dxa"/>
            <w:tcBorders/>
            <w:vAlign w:val="center"/>
          </w:tcPr>
          <w:p>
            <w:pPr>
              <w:jc w:val="right"/>
            </w:pPr>
            <w:r>
              <w:rPr>
                <w:rFonts w:ascii="宋体" w:eastAsia="宋体" w:hAnsi="宋体" w:cs="宋体"/>
                <w:b w:val="0"/>
                <w:i w:val="0"/>
                <w:color w:val="000000"/>
                <w:sz w:val="18"/>
              </w:rPr>
              <w:t xml:space="preserve">527.20</w:t>
            </w:r>
          </w:p>
        </w:tc>
        <w:tc>
          <w:tcPr>
            <w:tcW w:w="1780" w:type="dxa"/>
            <w:tcBorders/>
            <w:vAlign w:val="center"/>
          </w:tcPr>
          <w:p>
            <w:pPr>
              <w:jc w:val="right"/>
            </w:pPr>
            <w:r>
              <w:rPr>
                <w:rFonts w:ascii="宋体" w:eastAsia="宋体" w:hAnsi="宋体" w:cs="宋体"/>
                <w:b w:val="0"/>
                <w:i w:val="0"/>
                <w:color w:val="000000"/>
                <w:sz w:val="18"/>
              </w:rPr>
              <w:t xml:space="preserve">164.45</w:t>
            </w:r>
          </w:p>
        </w:tc>
        <w:tc>
          <w:tcPr>
            <w:tcW w:w="1772" w:type="dxa"/>
            <w:tcBorders/>
            <w:vAlign w:val="center"/>
          </w:tcPr>
          <w:p>
            <w:pPr>
              <w:jc w:val="right"/>
            </w:pPr>
            <w:r>
              <w:rPr>
                <w:rFonts w:ascii="宋体" w:eastAsia="宋体" w:hAnsi="宋体" w:cs="宋体"/>
                <w:b w:val="0"/>
                <w:i w:val="0"/>
                <w:color w:val="000000"/>
                <w:sz w:val="18"/>
              </w:rPr>
              <w:t xml:space="preserve">362.75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2150550</w:t>
            </w:r>
          </w:p>
        </w:tc>
        <w:tc>
          <w:tcPr>
            <w:tcW w:w="4300" w:type="dxa"/>
            <w:tcBorders/>
            <w:vAlign w:val="center"/>
          </w:tcPr>
          <w:p>
            <w:pPr>
              <w:jc w:val="left"/>
            </w:pPr>
            <w:r>
              <w:rPr>
                <w:rFonts w:ascii="宋体" w:eastAsia="宋体" w:hAnsi="宋体" w:cs="宋体"/>
                <w:b w:val="0"/>
                <w:i w:val="0"/>
                <w:color w:val="000000"/>
                <w:sz w:val="18"/>
              </w:rPr>
              <w:t xml:space="preserve">事业运行</w:t>
            </w:r>
          </w:p>
        </w:tc>
        <w:tc>
          <w:tcPr>
            <w:tcW w:w="1780" w:type="dxa"/>
            <w:tcBorders/>
            <w:vAlign w:val="center"/>
          </w:tcPr>
          <w:p>
            <w:pPr>
              <w:jc w:val="right"/>
            </w:pPr>
            <w:r>
              <w:rPr>
                <w:rFonts w:ascii="宋体" w:eastAsia="宋体" w:hAnsi="宋体" w:cs="宋体"/>
                <w:b w:val="0"/>
                <w:i w:val="0"/>
                <w:color w:val="000000"/>
                <w:sz w:val="18"/>
              </w:rPr>
              <w:t xml:space="preserve">164.45</w:t>
            </w:r>
          </w:p>
        </w:tc>
        <w:tc>
          <w:tcPr>
            <w:tcW w:w="1780" w:type="dxa"/>
            <w:tcBorders/>
            <w:vAlign w:val="center"/>
          </w:tcPr>
          <w:p>
            <w:pPr>
              <w:jc w:val="right"/>
            </w:pPr>
            <w:r>
              <w:rPr>
                <w:rFonts w:ascii="宋体" w:eastAsia="宋体" w:hAnsi="宋体" w:cs="宋体"/>
                <w:b w:val="0"/>
                <w:i w:val="0"/>
                <w:color w:val="000000"/>
                <w:sz w:val="18"/>
              </w:rPr>
              <w:t xml:space="preserve">164.45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2150599</w:t>
            </w:r>
          </w:p>
        </w:tc>
        <w:tc>
          <w:tcPr>
            <w:tcW w:w="4300" w:type="dxa"/>
            <w:tcBorders/>
            <w:vAlign w:val="center"/>
          </w:tcPr>
          <w:p>
            <w:pPr>
              <w:jc w:val="left"/>
            </w:pPr>
            <w:r>
              <w:rPr>
                <w:rFonts w:ascii="宋体" w:eastAsia="宋体" w:hAnsi="宋体" w:cs="宋体"/>
                <w:b w:val="0"/>
                <w:i w:val="0"/>
                <w:color w:val="000000"/>
                <w:sz w:val="18"/>
              </w:rPr>
              <w:t xml:space="preserve">其他工业和信息产业监管支出</w:t>
            </w:r>
          </w:p>
        </w:tc>
        <w:tc>
          <w:tcPr>
            <w:tcW w:w="1780" w:type="dxa"/>
            <w:tcBorders/>
            <w:vAlign w:val="center"/>
          </w:tcPr>
          <w:p>
            <w:pPr>
              <w:jc w:val="right"/>
            </w:pPr>
            <w:r>
              <w:rPr>
                <w:rFonts w:ascii="宋体" w:eastAsia="宋体" w:hAnsi="宋体" w:cs="宋体"/>
                <w:b w:val="0"/>
                <w:i w:val="0"/>
                <w:color w:val="000000"/>
                <w:sz w:val="18"/>
              </w:rPr>
              <w:t xml:space="preserve">362.75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362.75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24.66</w:t>
            </w:r>
          </w:p>
        </w:tc>
        <w:tc>
          <w:tcPr>
            <w:tcW w:w="1780" w:type="dxa"/>
            <w:tcBorders/>
            <w:vAlign w:val="center"/>
          </w:tcPr>
          <w:p>
            <w:pPr>
              <w:jc w:val="right"/>
            </w:pPr>
            <w:r>
              <w:rPr>
                <w:rFonts w:ascii="宋体" w:eastAsia="宋体" w:hAnsi="宋体" w:cs="宋体"/>
                <w:b w:val="0"/>
                <w:i w:val="0"/>
                <w:color w:val="000000"/>
                <w:sz w:val="18"/>
              </w:rPr>
              <w:t xml:space="preserve">24.66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24.66</w:t>
            </w:r>
          </w:p>
        </w:tc>
        <w:tc>
          <w:tcPr>
            <w:tcW w:w="1780" w:type="dxa"/>
            <w:tcBorders/>
            <w:vAlign w:val="center"/>
          </w:tcPr>
          <w:p>
            <w:pPr>
              <w:jc w:val="right"/>
            </w:pPr>
            <w:r>
              <w:rPr>
                <w:rFonts w:ascii="宋体" w:eastAsia="宋体" w:hAnsi="宋体" w:cs="宋体"/>
                <w:b w:val="0"/>
                <w:i w:val="0"/>
                <w:color w:val="000000"/>
                <w:sz w:val="18"/>
              </w:rPr>
              <w:t xml:space="preserve">24.66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24.66</w:t>
            </w:r>
          </w:p>
        </w:tc>
        <w:tc>
          <w:tcPr>
            <w:tcW w:w="1780" w:type="dxa"/>
            <w:tcBorders/>
            <w:vAlign w:val="center"/>
          </w:tcPr>
          <w:p>
            <w:pPr>
              <w:jc w:val="right"/>
            </w:pPr>
            <w:r>
              <w:rPr>
                <w:rFonts w:ascii="宋体" w:eastAsia="宋体" w:hAnsi="宋体" w:cs="宋体"/>
                <w:b w:val="0"/>
                <w:i w:val="0"/>
                <w:color w:val="000000"/>
                <w:sz w:val="18"/>
              </w:rPr>
              <w:t xml:space="preserve">24.66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部门：辽宁省沈阳市浑南区大数据管理中心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211.96</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13.74</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65.14</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2.25</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4.21</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4.42</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5.80</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70.02</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25.58</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0.33</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8.72</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10.68</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1.12</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0.94</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24.66</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jc w:val="right"/>
            </w:pPr>
            <w:r>
              <w:rPr>
                <w:rFonts w:ascii="宋体" w:eastAsia="宋体" w:hAnsi="宋体" w:cs="宋体"/>
                <w:b w:val="0"/>
                <w:i w:val="0"/>
                <w:color w:val="000000"/>
                <w:sz w:val="14"/>
              </w:rPr>
              <w:t xml:space="preserve">0.34</w:t>
            </w: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1.50</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211.96</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13.74</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部门：辽宁省沈阳市浑南区大数据管理中心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部门：辽宁省沈阳市浑南区大数据管理中心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部门：辽宁省沈阳市浑南区大数据管理中心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084001沈阳市浑南区大数据管理中心本级-210112000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266.44</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266.44</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35.00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176.96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176.95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有效完成全年绩效目标</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有效完成了全年绩效目标</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390"/>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增强产业基础能力，推进产业链和配套能力发展</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配套发展</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无线信息通安全保障</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安全保障</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促进产业数字化转型持续深化</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合同履约满意度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主管部门满意度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上级主管部门满意度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部门内控制度完善提升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完善提升</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推进公共服务体系建设</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体系建设</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浑南公安智慧警务平台硬件服务器采购</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沈阳市浑南区大数据管理中心-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沈阳市浑南区大数据管理中心本级-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25.18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25.18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加快“数字浑南”建设</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设备维修维护次数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完工项目个数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验收及时率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审核工作完成及时率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保证项目运行政策、制度资金持续性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受到影响的群体或个人满意度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浑南区IPv6融合部署及创新应用项目和项目监理服务费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沈阳市浑南区大数据管理中心-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沈阳市浑南区大数据管理中心本级-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按照还本付息计划规定日期前将地方政府债券本息资金足额缴入市财政国库</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技术复核目标完成率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技术支持覆盖率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咨询结果利用率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突破卡脖子技术成功率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建设项目投入使用率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长效管理机制健全性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完善机制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创新性企业满意度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2024年浑南智能体项目技术支撑服务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沈阳市浑南区大数据管理中心-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沈阳市浑南区大数据管理中心本级-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84.82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及时提供故障处置应急保障服务，按照目前项目运营情况，需要维保范围外的应用运行、专项活动、故障处置、机房运行、应急保障等方面的服务支撑，并需要3名高级工程师驻场。</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已完成，及时提供保障处置应急保障服务，按照目前项目运营情况，需要维保范围外的应用运行，专项活动，故障处置，机房运行，应急保障等方面的服务支撑。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设备采购完成率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全年维保设备故障处理率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设备设施投入使用率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31.85086065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