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辽宁省沈阳市浑南区公共资源交易中心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辽宁省沈阳市浑南区公共资源交易中心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辽宁省沈阳市浑南区公共资源交易中心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辽宁省沈阳市浑南区公共资源交易中心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辽宁省沈阳市浑南区公共资源交易中心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辽宁省沈阳市浑南区公共资源交易中心概况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（一）为列入市公共资源交易目录的区本级政府采购项目和工程建设项目提供交易服务平台。包括提供交易场地、信息化服务平台、开评标现场服务、交易过程音视频资料录制及留存等。</w:t>
        <w:br/>
        <w:t xml:space="preserve">    （二）接受采购人委托，具体承办和组织区本级政府集中采购项目。</w:t>
        <w:br/>
        <w:t xml:space="preserve">    （三）为工程建设项目专家抽取流程提供相关服务。</w:t>
        <w:br/>
        <w:t xml:space="preserve">    （四）为招标（采购）人及监管部门提供监管场所和设施，对交易过程和交易行为进行现场见证，记录留存违法违规行为，协助监管部门开展监管和调查工作。</w:t>
        <w:br/>
        <w:t xml:space="preserve">    （五）负责进场交易项目投标和履约保证金集中管理工作。</w:t>
        <w:br/>
        <w:t xml:space="preserve">    （六）负责本单位党的建设和群团工作。</w:t>
        <w:br/>
        <w:t xml:space="preserve">    （七）完成区委、区政府交办的其他任务。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辽宁省沈阳市浑南区公共资源交易中心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辽宁省沈阳市浑南区公共资源交易中心本级，本部门无下设机构。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297.94</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297.94</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297.94</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增加93.74万元，增长45.91%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中心人员增加、人员级别变动等</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297.94</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272.13</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91.34</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工资福利支出256.38万元；商品和服务支出15.26万元；对个人和家庭的补助0.49万元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25.81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8.66</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主要包括专家评审费、电子化平台运行维护经费等业务支出。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增加93.74万元，增长45.91%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中心人员增加、人员级别变动等</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交易中心没有年末结转和结余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297.94</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272.13</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25.81</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增加93.74万元，增长45.91%</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中心人员增加、人员级别变动等</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83.61</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88.21</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53.94</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2024年度一般公共预算财政拨款支出297.94万元。按支出功能分类科目分，包括：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1.社会保障和就业支出30.12万元，具体包括：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0.49万元,主要是退休人员采暖费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29.63万元,主要是缴纳养老保险等支出，完成年初预算的108.77%，决算数与年初预算数存在差异的主要原因是中心人员增加、人员级别变动等。</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2.卫生健康支出11.35万元，具体包括：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（1）卫生健康支出（类）行政事业单位医疗（款）事业单位医疗（项）11.35万元,主要是缴纳医疗保险等支出，完成年初预算的104.51%，决算数与年初预算数存在差异的主要原因是中心人员增加、人员级别变动等。</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3.城乡社区支出226.08万元，具体包括：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城乡社区支出（类）城乡社区管理事务（款）其他城乡社区管理事务支出（项）226.08万元,主要是工资福利、商品和服务、维修（护）费等支出，完成年初预算的79.12%，决算数与年初预算数存在差异的主要原因是按实际工作情况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4.住房保障支出30.38万元，具体包括：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（1）住房保障支出（类）住房改革支出（款）住房公积金（项）30.38万元,主要是住房公积金等支出，完成年初预算的96.93%，决算数与年初预算数存在差异的主要原因是按实际工作情况支出。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中心无此任务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中心无此任务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中心无因公出国（境）任务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中心无此任务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中心无公务接待任务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中心无此任务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无公务用车购置及运行</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272.13</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256.87</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15.26</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浑南区公共资源交易中心属于事业单位，无机关运行经费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浑南区公共资源交易中心高度重视预算绩效管理工作，根据浑南区财政局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本年度中心共组织对8个项目实施了绩效评价。从预算资金来源看，涉及一般公共预算的项目8个，涉及政府性基金预算的项目0个，涉及国有资本经营预算的项目0个。</w:t>
        <w:br/>
        <w:t xml:space="preserve">    2.项目绩效自评情况及结果。</w:t>
        <w:br/>
        <w:t xml:space="preserve">    中心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3.部门重点评价情况及结果。</w:t>
        <w:br/>
        <w:t xml:space="preserve">    在全面自评的基础上，本部门选取了1个资金量大、社会关注度高、具有代表性的重点项目实施了部门重点评价。结果显示，被评价项目整体绩效情况良好。</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部门进行整改，确保各项问题整改到位。</w:t>
        <w:br/>
        <w:t xml:space="preserve">    5.其他需要说明的情况。</w:t>
        <w:br/>
        <w:t xml:space="preserve">    （1）绩效结果应用情况：中心建立健全了绩效评价结果与预算安排挂钩机制，将本次所有绩效评价结果（包括自评、部门评价和财政评价）作为编制下一年度部门预算、改进管理的重要依据。</w:t>
        <w:br/>
        <w:t xml:space="preserve">    （2）公开情况：中心将按照政务公开要求，适时将通过审核的绩效评价结果（尤其是部门评价和财政评价结果）向社会公开，主动接受社会监督。</w:t>
        <w:br/>
        <w:t xml:space="preserve">    （3）下一步工作计划：下一步，中心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部门：辽宁省沈阳市浑南区公共资源交易中心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297.94</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30.13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11.35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jc w:val="right"/>
            </w:pPr>
            <w:r>
              <w:rPr>
                <w:rFonts w:ascii="宋体" w:eastAsia="宋体" w:hAnsi="宋体" w:cs="宋体"/>
                <w:b w:val="0"/>
                <w:i w:val="0"/>
                <w:color w:val="000000"/>
                <w:sz w:val="16"/>
              </w:rPr>
              <w:t xml:space="preserve">226.08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30.38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297.94</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297.94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297.94</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297.94</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部门：辽宁省沈阳市浑南区公共资源交易中心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297.94</w:t>
            </w:r>
          </w:p>
        </w:tc>
        <w:tc>
          <w:tcPr>
            <w:tcW w:w="960" w:type="dxa"/>
            <w:tcBorders/>
            <w:vAlign w:val="center"/>
          </w:tcPr>
          <w:p>
            <w:pPr>
              <w:jc w:val="right"/>
            </w:pPr>
            <w:r>
              <w:rPr>
                <w:rFonts w:ascii="宋体" w:eastAsia="宋体" w:hAnsi="宋体" w:cs="宋体"/>
                <w:b/>
                <w:i w:val="0"/>
                <w:color w:val="000000"/>
                <w:sz w:val="13"/>
              </w:rPr>
              <w:t xml:space="preserve">297.94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30.12</w:t>
            </w:r>
          </w:p>
        </w:tc>
        <w:tc>
          <w:tcPr>
            <w:tcW w:w="960" w:type="dxa"/>
            <w:tcBorders/>
            <w:vAlign w:val="center"/>
          </w:tcPr>
          <w:p>
            <w:pPr>
              <w:jc w:val="right"/>
            </w:pPr>
            <w:r>
              <w:rPr>
                <w:rFonts w:ascii="宋体" w:eastAsia="宋体" w:hAnsi="宋体" w:cs="宋体"/>
                <w:b w:val="0"/>
                <w:i w:val="0"/>
                <w:color w:val="000000"/>
                <w:sz w:val="13"/>
              </w:rPr>
              <w:t xml:space="preserve">30.12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30.12</w:t>
            </w:r>
          </w:p>
        </w:tc>
        <w:tc>
          <w:tcPr>
            <w:tcW w:w="960" w:type="dxa"/>
            <w:tcBorders/>
            <w:vAlign w:val="center"/>
          </w:tcPr>
          <w:p>
            <w:pPr>
              <w:jc w:val="right"/>
            </w:pPr>
            <w:r>
              <w:rPr>
                <w:rFonts w:ascii="宋体" w:eastAsia="宋体" w:hAnsi="宋体" w:cs="宋体"/>
                <w:b w:val="0"/>
                <w:i w:val="0"/>
                <w:color w:val="000000"/>
                <w:sz w:val="13"/>
              </w:rPr>
              <w:t xml:space="preserve">30.12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0.49</w:t>
            </w:r>
          </w:p>
        </w:tc>
        <w:tc>
          <w:tcPr>
            <w:tcW w:w="960" w:type="dxa"/>
            <w:tcBorders/>
            <w:vAlign w:val="center"/>
          </w:tcPr>
          <w:p>
            <w:pPr>
              <w:jc w:val="right"/>
            </w:pPr>
            <w:r>
              <w:rPr>
                <w:rFonts w:ascii="宋体" w:eastAsia="宋体" w:hAnsi="宋体" w:cs="宋体"/>
                <w:b w:val="0"/>
                <w:i w:val="0"/>
                <w:color w:val="000000"/>
                <w:sz w:val="13"/>
              </w:rPr>
              <w:t xml:space="preserve">0.49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29.63</w:t>
            </w:r>
          </w:p>
        </w:tc>
        <w:tc>
          <w:tcPr>
            <w:tcW w:w="960" w:type="dxa"/>
            <w:tcBorders/>
            <w:vAlign w:val="center"/>
          </w:tcPr>
          <w:p>
            <w:pPr>
              <w:jc w:val="right"/>
            </w:pPr>
            <w:r>
              <w:rPr>
                <w:rFonts w:ascii="宋体" w:eastAsia="宋体" w:hAnsi="宋体" w:cs="宋体"/>
                <w:b w:val="0"/>
                <w:i w:val="0"/>
                <w:color w:val="000000"/>
                <w:sz w:val="13"/>
              </w:rPr>
              <w:t xml:space="preserve">29.63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11.35</w:t>
            </w:r>
          </w:p>
        </w:tc>
        <w:tc>
          <w:tcPr>
            <w:tcW w:w="960" w:type="dxa"/>
            <w:tcBorders/>
            <w:vAlign w:val="center"/>
          </w:tcPr>
          <w:p>
            <w:pPr>
              <w:jc w:val="right"/>
            </w:pPr>
            <w:r>
              <w:rPr>
                <w:rFonts w:ascii="宋体" w:eastAsia="宋体" w:hAnsi="宋体" w:cs="宋体"/>
                <w:b w:val="0"/>
                <w:i w:val="0"/>
                <w:color w:val="000000"/>
                <w:sz w:val="13"/>
              </w:rPr>
              <w:t xml:space="preserve">11.35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11.35</w:t>
            </w:r>
          </w:p>
        </w:tc>
        <w:tc>
          <w:tcPr>
            <w:tcW w:w="960" w:type="dxa"/>
            <w:tcBorders/>
            <w:vAlign w:val="center"/>
          </w:tcPr>
          <w:p>
            <w:pPr>
              <w:jc w:val="right"/>
            </w:pPr>
            <w:r>
              <w:rPr>
                <w:rFonts w:ascii="宋体" w:eastAsia="宋体" w:hAnsi="宋体" w:cs="宋体"/>
                <w:b w:val="0"/>
                <w:i w:val="0"/>
                <w:color w:val="000000"/>
                <w:sz w:val="13"/>
              </w:rPr>
              <w:t xml:space="preserve">11.35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11.35</w:t>
            </w:r>
          </w:p>
        </w:tc>
        <w:tc>
          <w:tcPr>
            <w:tcW w:w="960" w:type="dxa"/>
            <w:tcBorders/>
            <w:vAlign w:val="center"/>
          </w:tcPr>
          <w:p>
            <w:pPr>
              <w:jc w:val="right"/>
            </w:pPr>
            <w:r>
              <w:rPr>
                <w:rFonts w:ascii="宋体" w:eastAsia="宋体" w:hAnsi="宋体" w:cs="宋体"/>
                <w:b w:val="0"/>
                <w:i w:val="0"/>
                <w:color w:val="000000"/>
                <w:sz w:val="13"/>
              </w:rPr>
              <w:t xml:space="preserve">11.35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w:t>
            </w:r>
          </w:p>
        </w:tc>
        <w:tc>
          <w:tcPr>
            <w:tcW w:w="3200" w:type="dxa"/>
            <w:tcBorders/>
            <w:vAlign w:val="center"/>
          </w:tcPr>
          <w:p>
            <w:pPr>
              <w:jc w:val="left"/>
            </w:pPr>
            <w:r>
              <w:rPr>
                <w:rFonts w:ascii="宋体" w:eastAsia="宋体" w:hAnsi="宋体" w:cs="宋体"/>
                <w:b w:val="0"/>
                <w:i w:val="0"/>
                <w:color w:val="000000"/>
                <w:sz w:val="13"/>
              </w:rPr>
              <w:t xml:space="preserve">城乡社区支出</w:t>
            </w:r>
          </w:p>
        </w:tc>
        <w:tc>
          <w:tcPr>
            <w:tcW w:w="960" w:type="dxa"/>
            <w:tcBorders/>
            <w:vAlign w:val="center"/>
          </w:tcPr>
          <w:p>
            <w:pPr>
              <w:jc w:val="right"/>
            </w:pPr>
            <w:r>
              <w:rPr>
                <w:rFonts w:ascii="宋体" w:eastAsia="宋体" w:hAnsi="宋体" w:cs="宋体"/>
                <w:b w:val="0"/>
                <w:i w:val="0"/>
                <w:color w:val="000000"/>
                <w:sz w:val="13"/>
              </w:rPr>
              <w:t xml:space="preserve">226.08</w:t>
            </w:r>
          </w:p>
        </w:tc>
        <w:tc>
          <w:tcPr>
            <w:tcW w:w="960" w:type="dxa"/>
            <w:tcBorders/>
            <w:vAlign w:val="center"/>
          </w:tcPr>
          <w:p>
            <w:pPr>
              <w:jc w:val="right"/>
            </w:pPr>
            <w:r>
              <w:rPr>
                <w:rFonts w:ascii="宋体" w:eastAsia="宋体" w:hAnsi="宋体" w:cs="宋体"/>
                <w:b w:val="0"/>
                <w:i w:val="0"/>
                <w:color w:val="000000"/>
                <w:sz w:val="13"/>
              </w:rPr>
              <w:t xml:space="preserve">226.08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w:t>
            </w:r>
          </w:p>
        </w:tc>
        <w:tc>
          <w:tcPr>
            <w:tcW w:w="3200" w:type="dxa"/>
            <w:tcBorders/>
            <w:vAlign w:val="center"/>
          </w:tcPr>
          <w:p>
            <w:pPr>
              <w:jc w:val="left"/>
            </w:pPr>
            <w:r>
              <w:rPr>
                <w:rFonts w:ascii="宋体" w:eastAsia="宋体" w:hAnsi="宋体" w:cs="宋体"/>
                <w:b w:val="0"/>
                <w:i w:val="0"/>
                <w:color w:val="000000"/>
                <w:sz w:val="13"/>
              </w:rPr>
              <w:t xml:space="preserve">城乡社区管理事务</w:t>
            </w:r>
          </w:p>
        </w:tc>
        <w:tc>
          <w:tcPr>
            <w:tcW w:w="960" w:type="dxa"/>
            <w:tcBorders/>
            <w:vAlign w:val="center"/>
          </w:tcPr>
          <w:p>
            <w:pPr>
              <w:jc w:val="right"/>
            </w:pPr>
            <w:r>
              <w:rPr>
                <w:rFonts w:ascii="宋体" w:eastAsia="宋体" w:hAnsi="宋体" w:cs="宋体"/>
                <w:b w:val="0"/>
                <w:i w:val="0"/>
                <w:color w:val="000000"/>
                <w:sz w:val="13"/>
              </w:rPr>
              <w:t xml:space="preserve">226.08</w:t>
            </w:r>
          </w:p>
        </w:tc>
        <w:tc>
          <w:tcPr>
            <w:tcW w:w="960" w:type="dxa"/>
            <w:tcBorders/>
            <w:vAlign w:val="center"/>
          </w:tcPr>
          <w:p>
            <w:pPr>
              <w:jc w:val="right"/>
            </w:pPr>
            <w:r>
              <w:rPr>
                <w:rFonts w:ascii="宋体" w:eastAsia="宋体" w:hAnsi="宋体" w:cs="宋体"/>
                <w:b w:val="0"/>
                <w:i w:val="0"/>
                <w:color w:val="000000"/>
                <w:sz w:val="13"/>
              </w:rPr>
              <w:t xml:space="preserve">226.08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2120199</w:t>
            </w:r>
          </w:p>
        </w:tc>
        <w:tc>
          <w:tcPr>
            <w:tcW w:w="3200" w:type="dxa"/>
            <w:tcBorders/>
            <w:vAlign w:val="center"/>
          </w:tcPr>
          <w:p>
            <w:pPr>
              <w:jc w:val="left"/>
            </w:pPr>
            <w:r>
              <w:rPr>
                <w:rFonts w:ascii="宋体" w:eastAsia="宋体" w:hAnsi="宋体" w:cs="宋体"/>
                <w:b w:val="0"/>
                <w:i w:val="0"/>
                <w:color w:val="000000"/>
                <w:sz w:val="13"/>
              </w:rPr>
              <w:t xml:space="preserve">其他城乡社区管理事务支出</w:t>
            </w:r>
          </w:p>
        </w:tc>
        <w:tc>
          <w:tcPr>
            <w:tcW w:w="960" w:type="dxa"/>
            <w:tcBorders/>
            <w:vAlign w:val="center"/>
          </w:tcPr>
          <w:p>
            <w:pPr>
              <w:jc w:val="right"/>
            </w:pPr>
            <w:r>
              <w:rPr>
                <w:rFonts w:ascii="宋体" w:eastAsia="宋体" w:hAnsi="宋体" w:cs="宋体"/>
                <w:b w:val="0"/>
                <w:i w:val="0"/>
                <w:color w:val="000000"/>
                <w:sz w:val="13"/>
              </w:rPr>
              <w:t xml:space="preserve">226.08</w:t>
            </w:r>
          </w:p>
        </w:tc>
        <w:tc>
          <w:tcPr>
            <w:tcW w:w="960" w:type="dxa"/>
            <w:tcBorders/>
            <w:vAlign w:val="center"/>
          </w:tcPr>
          <w:p>
            <w:pPr>
              <w:jc w:val="right"/>
            </w:pPr>
            <w:r>
              <w:rPr>
                <w:rFonts w:ascii="宋体" w:eastAsia="宋体" w:hAnsi="宋体" w:cs="宋体"/>
                <w:b w:val="0"/>
                <w:i w:val="0"/>
                <w:color w:val="000000"/>
                <w:sz w:val="13"/>
              </w:rPr>
              <w:t xml:space="preserve">226.08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30.38</w:t>
            </w:r>
          </w:p>
        </w:tc>
        <w:tc>
          <w:tcPr>
            <w:tcW w:w="960" w:type="dxa"/>
            <w:tcBorders/>
            <w:vAlign w:val="center"/>
          </w:tcPr>
          <w:p>
            <w:pPr>
              <w:jc w:val="right"/>
            </w:pPr>
            <w:r>
              <w:rPr>
                <w:rFonts w:ascii="宋体" w:eastAsia="宋体" w:hAnsi="宋体" w:cs="宋体"/>
                <w:b w:val="0"/>
                <w:i w:val="0"/>
                <w:color w:val="000000"/>
                <w:sz w:val="13"/>
              </w:rPr>
              <w:t xml:space="preserve">30.38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30.38</w:t>
            </w:r>
          </w:p>
        </w:tc>
        <w:tc>
          <w:tcPr>
            <w:tcW w:w="960" w:type="dxa"/>
            <w:tcBorders/>
            <w:vAlign w:val="center"/>
          </w:tcPr>
          <w:p>
            <w:pPr>
              <w:jc w:val="right"/>
            </w:pPr>
            <w:r>
              <w:rPr>
                <w:rFonts w:ascii="宋体" w:eastAsia="宋体" w:hAnsi="宋体" w:cs="宋体"/>
                <w:b w:val="0"/>
                <w:i w:val="0"/>
                <w:color w:val="000000"/>
                <w:sz w:val="13"/>
              </w:rPr>
              <w:t xml:space="preserve">30.38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30.38</w:t>
            </w:r>
          </w:p>
        </w:tc>
        <w:tc>
          <w:tcPr>
            <w:tcW w:w="960" w:type="dxa"/>
            <w:tcBorders/>
            <w:vAlign w:val="center"/>
          </w:tcPr>
          <w:p>
            <w:pPr>
              <w:jc w:val="right"/>
            </w:pPr>
            <w:r>
              <w:rPr>
                <w:rFonts w:ascii="宋体" w:eastAsia="宋体" w:hAnsi="宋体" w:cs="宋体"/>
                <w:b w:val="0"/>
                <w:i w:val="0"/>
                <w:color w:val="000000"/>
                <w:sz w:val="13"/>
              </w:rPr>
              <w:t xml:space="preserve">30.38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部门：辽宁省沈阳市浑南区公共资源交易中心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297.94</w:t>
            </w:r>
          </w:p>
        </w:tc>
        <w:tc>
          <w:tcPr>
            <w:tcW w:w="1060" w:type="dxa"/>
            <w:tcBorders/>
            <w:vAlign w:val="center"/>
          </w:tcPr>
          <w:p>
            <w:pPr>
              <w:jc w:val="right"/>
            </w:pPr>
            <w:r>
              <w:rPr>
                <w:rFonts w:ascii="宋体" w:eastAsia="宋体" w:hAnsi="宋体" w:cs="宋体"/>
                <w:b/>
                <w:i w:val="0"/>
                <w:color w:val="000000"/>
                <w:sz w:val="14"/>
              </w:rPr>
              <w:t xml:space="preserve">272.13</w:t>
            </w:r>
          </w:p>
        </w:tc>
        <w:tc>
          <w:tcPr>
            <w:tcW w:w="1060" w:type="dxa"/>
            <w:tcBorders/>
            <w:vAlign w:val="center"/>
          </w:tcPr>
          <w:p>
            <w:pPr>
              <w:jc w:val="right"/>
            </w:pPr>
            <w:r>
              <w:rPr>
                <w:rFonts w:ascii="宋体" w:eastAsia="宋体" w:hAnsi="宋体" w:cs="宋体"/>
                <w:b/>
                <w:i w:val="0"/>
                <w:color w:val="000000"/>
                <w:sz w:val="14"/>
              </w:rPr>
              <w:t xml:space="preserve">25.81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30.12</w:t>
            </w:r>
          </w:p>
        </w:tc>
        <w:tc>
          <w:tcPr>
            <w:tcW w:w="1060" w:type="dxa"/>
            <w:tcBorders/>
            <w:vAlign w:val="center"/>
          </w:tcPr>
          <w:p>
            <w:pPr>
              <w:jc w:val="right"/>
            </w:pPr>
            <w:r>
              <w:rPr>
                <w:rFonts w:ascii="宋体" w:eastAsia="宋体" w:hAnsi="宋体" w:cs="宋体"/>
                <w:b w:val="0"/>
                <w:i w:val="0"/>
                <w:color w:val="000000"/>
                <w:sz w:val="14"/>
              </w:rPr>
              <w:t xml:space="preserve">30.12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30.12</w:t>
            </w:r>
          </w:p>
        </w:tc>
        <w:tc>
          <w:tcPr>
            <w:tcW w:w="1060" w:type="dxa"/>
            <w:tcBorders/>
            <w:vAlign w:val="center"/>
          </w:tcPr>
          <w:p>
            <w:pPr>
              <w:jc w:val="right"/>
            </w:pPr>
            <w:r>
              <w:rPr>
                <w:rFonts w:ascii="宋体" w:eastAsia="宋体" w:hAnsi="宋体" w:cs="宋体"/>
                <w:b w:val="0"/>
                <w:i w:val="0"/>
                <w:color w:val="000000"/>
                <w:sz w:val="14"/>
              </w:rPr>
              <w:t xml:space="preserve">30.12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0.49</w:t>
            </w:r>
          </w:p>
        </w:tc>
        <w:tc>
          <w:tcPr>
            <w:tcW w:w="1060" w:type="dxa"/>
            <w:tcBorders/>
            <w:vAlign w:val="center"/>
          </w:tcPr>
          <w:p>
            <w:pPr>
              <w:jc w:val="right"/>
            </w:pPr>
            <w:r>
              <w:rPr>
                <w:rFonts w:ascii="宋体" w:eastAsia="宋体" w:hAnsi="宋体" w:cs="宋体"/>
                <w:b w:val="0"/>
                <w:i w:val="0"/>
                <w:color w:val="000000"/>
                <w:sz w:val="14"/>
              </w:rPr>
              <w:t xml:space="preserve">0.49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29.63</w:t>
            </w:r>
          </w:p>
        </w:tc>
        <w:tc>
          <w:tcPr>
            <w:tcW w:w="1060" w:type="dxa"/>
            <w:tcBorders/>
            <w:vAlign w:val="center"/>
          </w:tcPr>
          <w:p>
            <w:pPr>
              <w:jc w:val="right"/>
            </w:pPr>
            <w:r>
              <w:rPr>
                <w:rFonts w:ascii="宋体" w:eastAsia="宋体" w:hAnsi="宋体" w:cs="宋体"/>
                <w:b w:val="0"/>
                <w:i w:val="0"/>
                <w:color w:val="000000"/>
                <w:sz w:val="14"/>
              </w:rPr>
              <w:t xml:space="preserve">29.63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11.35</w:t>
            </w:r>
          </w:p>
        </w:tc>
        <w:tc>
          <w:tcPr>
            <w:tcW w:w="1060" w:type="dxa"/>
            <w:tcBorders/>
            <w:vAlign w:val="center"/>
          </w:tcPr>
          <w:p>
            <w:pPr>
              <w:jc w:val="right"/>
            </w:pPr>
            <w:r>
              <w:rPr>
                <w:rFonts w:ascii="宋体" w:eastAsia="宋体" w:hAnsi="宋体" w:cs="宋体"/>
                <w:b w:val="0"/>
                <w:i w:val="0"/>
                <w:color w:val="000000"/>
                <w:sz w:val="14"/>
              </w:rPr>
              <w:t xml:space="preserve">11.35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11.35</w:t>
            </w:r>
          </w:p>
        </w:tc>
        <w:tc>
          <w:tcPr>
            <w:tcW w:w="1060" w:type="dxa"/>
            <w:tcBorders/>
            <w:vAlign w:val="center"/>
          </w:tcPr>
          <w:p>
            <w:pPr>
              <w:jc w:val="right"/>
            </w:pPr>
            <w:r>
              <w:rPr>
                <w:rFonts w:ascii="宋体" w:eastAsia="宋体" w:hAnsi="宋体" w:cs="宋体"/>
                <w:b w:val="0"/>
                <w:i w:val="0"/>
                <w:color w:val="000000"/>
                <w:sz w:val="14"/>
              </w:rPr>
              <w:t xml:space="preserve">11.35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11.35</w:t>
            </w:r>
          </w:p>
        </w:tc>
        <w:tc>
          <w:tcPr>
            <w:tcW w:w="1060" w:type="dxa"/>
            <w:tcBorders/>
            <w:vAlign w:val="center"/>
          </w:tcPr>
          <w:p>
            <w:pPr>
              <w:jc w:val="right"/>
            </w:pPr>
            <w:r>
              <w:rPr>
                <w:rFonts w:ascii="宋体" w:eastAsia="宋体" w:hAnsi="宋体" w:cs="宋体"/>
                <w:b w:val="0"/>
                <w:i w:val="0"/>
                <w:color w:val="000000"/>
                <w:sz w:val="14"/>
              </w:rPr>
              <w:t xml:space="preserve">11.35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w:t>
            </w:r>
          </w:p>
        </w:tc>
        <w:tc>
          <w:tcPr>
            <w:tcW w:w="3440" w:type="dxa"/>
            <w:tcBorders/>
            <w:vAlign w:val="center"/>
          </w:tcPr>
          <w:p>
            <w:pPr>
              <w:jc w:val="left"/>
            </w:pPr>
            <w:r>
              <w:rPr>
                <w:rFonts w:ascii="宋体" w:eastAsia="宋体" w:hAnsi="宋体" w:cs="宋体"/>
                <w:b w:val="0"/>
                <w:i w:val="0"/>
                <w:color w:val="000000"/>
                <w:sz w:val="14"/>
              </w:rPr>
              <w:t xml:space="preserve">城乡社区支出</w:t>
            </w:r>
          </w:p>
        </w:tc>
        <w:tc>
          <w:tcPr>
            <w:tcW w:w="1060" w:type="dxa"/>
            <w:tcBorders/>
            <w:vAlign w:val="center"/>
          </w:tcPr>
          <w:p>
            <w:pPr>
              <w:jc w:val="right"/>
            </w:pPr>
            <w:r>
              <w:rPr>
                <w:rFonts w:ascii="宋体" w:eastAsia="宋体" w:hAnsi="宋体" w:cs="宋体"/>
                <w:b w:val="0"/>
                <w:i w:val="0"/>
                <w:color w:val="000000"/>
                <w:sz w:val="14"/>
              </w:rPr>
              <w:t xml:space="preserve">226.08</w:t>
            </w:r>
          </w:p>
        </w:tc>
        <w:tc>
          <w:tcPr>
            <w:tcW w:w="1060" w:type="dxa"/>
            <w:tcBorders/>
            <w:vAlign w:val="center"/>
          </w:tcPr>
          <w:p>
            <w:pPr>
              <w:jc w:val="right"/>
            </w:pPr>
            <w:r>
              <w:rPr>
                <w:rFonts w:ascii="宋体" w:eastAsia="宋体" w:hAnsi="宋体" w:cs="宋体"/>
                <w:b w:val="0"/>
                <w:i w:val="0"/>
                <w:color w:val="000000"/>
                <w:sz w:val="14"/>
              </w:rPr>
              <w:t xml:space="preserve">200.27</w:t>
            </w:r>
          </w:p>
        </w:tc>
        <w:tc>
          <w:tcPr>
            <w:tcW w:w="1060" w:type="dxa"/>
            <w:tcBorders/>
            <w:vAlign w:val="center"/>
          </w:tcPr>
          <w:p>
            <w:pPr>
              <w:jc w:val="right"/>
            </w:pPr>
            <w:r>
              <w:rPr>
                <w:rFonts w:ascii="宋体" w:eastAsia="宋体" w:hAnsi="宋体" w:cs="宋体"/>
                <w:b w:val="0"/>
                <w:i w:val="0"/>
                <w:color w:val="000000"/>
                <w:sz w:val="14"/>
              </w:rPr>
              <w:t xml:space="preserve">25.81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w:t>
            </w:r>
          </w:p>
        </w:tc>
        <w:tc>
          <w:tcPr>
            <w:tcW w:w="3440" w:type="dxa"/>
            <w:tcBorders/>
            <w:vAlign w:val="center"/>
          </w:tcPr>
          <w:p>
            <w:pPr>
              <w:jc w:val="left"/>
            </w:pPr>
            <w:r>
              <w:rPr>
                <w:rFonts w:ascii="宋体" w:eastAsia="宋体" w:hAnsi="宋体" w:cs="宋体"/>
                <w:b w:val="0"/>
                <w:i w:val="0"/>
                <w:color w:val="000000"/>
                <w:sz w:val="14"/>
              </w:rPr>
              <w:t xml:space="preserve">城乡社区管理事务</w:t>
            </w:r>
          </w:p>
        </w:tc>
        <w:tc>
          <w:tcPr>
            <w:tcW w:w="1060" w:type="dxa"/>
            <w:tcBorders/>
            <w:vAlign w:val="center"/>
          </w:tcPr>
          <w:p>
            <w:pPr>
              <w:jc w:val="right"/>
            </w:pPr>
            <w:r>
              <w:rPr>
                <w:rFonts w:ascii="宋体" w:eastAsia="宋体" w:hAnsi="宋体" w:cs="宋体"/>
                <w:b w:val="0"/>
                <w:i w:val="0"/>
                <w:color w:val="000000"/>
                <w:sz w:val="14"/>
              </w:rPr>
              <w:t xml:space="preserve">226.08</w:t>
            </w:r>
          </w:p>
        </w:tc>
        <w:tc>
          <w:tcPr>
            <w:tcW w:w="1060" w:type="dxa"/>
            <w:tcBorders/>
            <w:vAlign w:val="center"/>
          </w:tcPr>
          <w:p>
            <w:pPr>
              <w:jc w:val="right"/>
            </w:pPr>
            <w:r>
              <w:rPr>
                <w:rFonts w:ascii="宋体" w:eastAsia="宋体" w:hAnsi="宋体" w:cs="宋体"/>
                <w:b w:val="0"/>
                <w:i w:val="0"/>
                <w:color w:val="000000"/>
                <w:sz w:val="14"/>
              </w:rPr>
              <w:t xml:space="preserve">200.27</w:t>
            </w:r>
          </w:p>
        </w:tc>
        <w:tc>
          <w:tcPr>
            <w:tcW w:w="1060" w:type="dxa"/>
            <w:tcBorders/>
            <w:vAlign w:val="center"/>
          </w:tcPr>
          <w:p>
            <w:pPr>
              <w:jc w:val="right"/>
            </w:pPr>
            <w:r>
              <w:rPr>
                <w:rFonts w:ascii="宋体" w:eastAsia="宋体" w:hAnsi="宋体" w:cs="宋体"/>
                <w:b w:val="0"/>
                <w:i w:val="0"/>
                <w:color w:val="000000"/>
                <w:sz w:val="14"/>
              </w:rPr>
              <w:t xml:space="preserve">25.81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2120199</w:t>
            </w:r>
          </w:p>
        </w:tc>
        <w:tc>
          <w:tcPr>
            <w:tcW w:w="3440" w:type="dxa"/>
            <w:tcBorders/>
            <w:vAlign w:val="center"/>
          </w:tcPr>
          <w:p>
            <w:pPr>
              <w:jc w:val="left"/>
            </w:pPr>
            <w:r>
              <w:rPr>
                <w:rFonts w:ascii="宋体" w:eastAsia="宋体" w:hAnsi="宋体" w:cs="宋体"/>
                <w:b w:val="0"/>
                <w:i w:val="0"/>
                <w:color w:val="000000"/>
                <w:sz w:val="14"/>
              </w:rPr>
              <w:t xml:space="preserve">其他城乡社区管理事务支出</w:t>
            </w:r>
          </w:p>
        </w:tc>
        <w:tc>
          <w:tcPr>
            <w:tcW w:w="1060" w:type="dxa"/>
            <w:tcBorders/>
            <w:vAlign w:val="center"/>
          </w:tcPr>
          <w:p>
            <w:pPr>
              <w:jc w:val="right"/>
            </w:pPr>
            <w:r>
              <w:rPr>
                <w:rFonts w:ascii="宋体" w:eastAsia="宋体" w:hAnsi="宋体" w:cs="宋体"/>
                <w:b w:val="0"/>
                <w:i w:val="0"/>
                <w:color w:val="000000"/>
                <w:sz w:val="14"/>
              </w:rPr>
              <w:t xml:space="preserve">226.08</w:t>
            </w:r>
          </w:p>
        </w:tc>
        <w:tc>
          <w:tcPr>
            <w:tcW w:w="1060" w:type="dxa"/>
            <w:tcBorders/>
            <w:vAlign w:val="center"/>
          </w:tcPr>
          <w:p>
            <w:pPr>
              <w:jc w:val="right"/>
            </w:pPr>
            <w:r>
              <w:rPr>
                <w:rFonts w:ascii="宋体" w:eastAsia="宋体" w:hAnsi="宋体" w:cs="宋体"/>
                <w:b w:val="0"/>
                <w:i w:val="0"/>
                <w:color w:val="000000"/>
                <w:sz w:val="14"/>
              </w:rPr>
              <w:t xml:space="preserve">200.27</w:t>
            </w:r>
          </w:p>
        </w:tc>
        <w:tc>
          <w:tcPr>
            <w:tcW w:w="1060" w:type="dxa"/>
            <w:tcBorders/>
            <w:vAlign w:val="center"/>
          </w:tcPr>
          <w:p>
            <w:pPr>
              <w:jc w:val="right"/>
            </w:pPr>
            <w:r>
              <w:rPr>
                <w:rFonts w:ascii="宋体" w:eastAsia="宋体" w:hAnsi="宋体" w:cs="宋体"/>
                <w:b w:val="0"/>
                <w:i w:val="0"/>
                <w:color w:val="000000"/>
                <w:sz w:val="14"/>
              </w:rPr>
              <w:t xml:space="preserve">25.81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30.38</w:t>
            </w:r>
          </w:p>
        </w:tc>
        <w:tc>
          <w:tcPr>
            <w:tcW w:w="1060" w:type="dxa"/>
            <w:tcBorders/>
            <w:vAlign w:val="center"/>
          </w:tcPr>
          <w:p>
            <w:pPr>
              <w:jc w:val="right"/>
            </w:pPr>
            <w:r>
              <w:rPr>
                <w:rFonts w:ascii="宋体" w:eastAsia="宋体" w:hAnsi="宋体" w:cs="宋体"/>
                <w:b w:val="0"/>
                <w:i w:val="0"/>
                <w:color w:val="000000"/>
                <w:sz w:val="14"/>
              </w:rPr>
              <w:t xml:space="preserve">30.38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30.38</w:t>
            </w:r>
          </w:p>
        </w:tc>
        <w:tc>
          <w:tcPr>
            <w:tcW w:w="1060" w:type="dxa"/>
            <w:tcBorders/>
            <w:vAlign w:val="center"/>
          </w:tcPr>
          <w:p>
            <w:pPr>
              <w:jc w:val="right"/>
            </w:pPr>
            <w:r>
              <w:rPr>
                <w:rFonts w:ascii="宋体" w:eastAsia="宋体" w:hAnsi="宋体" w:cs="宋体"/>
                <w:b w:val="0"/>
                <w:i w:val="0"/>
                <w:color w:val="000000"/>
                <w:sz w:val="14"/>
              </w:rPr>
              <w:t xml:space="preserve">30.38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30.38</w:t>
            </w:r>
          </w:p>
        </w:tc>
        <w:tc>
          <w:tcPr>
            <w:tcW w:w="1060" w:type="dxa"/>
            <w:tcBorders/>
            <w:vAlign w:val="center"/>
          </w:tcPr>
          <w:p>
            <w:pPr>
              <w:jc w:val="right"/>
            </w:pPr>
            <w:r>
              <w:rPr>
                <w:rFonts w:ascii="宋体" w:eastAsia="宋体" w:hAnsi="宋体" w:cs="宋体"/>
                <w:b w:val="0"/>
                <w:i w:val="0"/>
                <w:color w:val="000000"/>
                <w:sz w:val="14"/>
              </w:rPr>
              <w:t xml:space="preserve">30.38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部门：辽宁省沈阳市浑南区公共资源交易中心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297.94</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30.13</w:t>
            </w:r>
          </w:p>
        </w:tc>
        <w:tc>
          <w:tcPr>
            <w:tcW w:w="1100" w:type="dxa"/>
            <w:tcBorders/>
            <w:vAlign w:val="center"/>
          </w:tcPr>
          <w:p>
            <w:pPr>
              <w:jc w:val="right"/>
            </w:pPr>
            <w:r>
              <w:rPr>
                <w:rFonts w:ascii="宋体" w:eastAsia="宋体" w:hAnsi="宋体" w:cs="宋体"/>
                <w:b w:val="0"/>
                <w:i w:val="0"/>
                <w:color w:val="000000"/>
                <w:sz w:val="14"/>
              </w:rPr>
              <w:t xml:space="preserve">30.13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11.35</w:t>
            </w:r>
          </w:p>
        </w:tc>
        <w:tc>
          <w:tcPr>
            <w:tcW w:w="1100" w:type="dxa"/>
            <w:tcBorders/>
            <w:vAlign w:val="center"/>
          </w:tcPr>
          <w:p>
            <w:pPr>
              <w:jc w:val="right"/>
            </w:pPr>
            <w:r>
              <w:rPr>
                <w:rFonts w:ascii="宋体" w:eastAsia="宋体" w:hAnsi="宋体" w:cs="宋体"/>
                <w:b w:val="0"/>
                <w:i w:val="0"/>
                <w:color w:val="000000"/>
                <w:sz w:val="14"/>
              </w:rPr>
              <w:t xml:space="preserve">11.35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jc w:val="right"/>
            </w:pPr>
            <w:r>
              <w:rPr>
                <w:rFonts w:ascii="宋体" w:eastAsia="宋体" w:hAnsi="宋体" w:cs="宋体"/>
                <w:b w:val="0"/>
                <w:i w:val="0"/>
                <w:color w:val="000000"/>
                <w:sz w:val="14"/>
              </w:rPr>
              <w:t xml:space="preserve">226.08</w:t>
            </w:r>
          </w:p>
        </w:tc>
        <w:tc>
          <w:tcPr>
            <w:tcW w:w="1100" w:type="dxa"/>
            <w:tcBorders/>
            <w:vAlign w:val="center"/>
          </w:tcPr>
          <w:p>
            <w:pPr>
              <w:jc w:val="right"/>
            </w:pPr>
            <w:r>
              <w:rPr>
                <w:rFonts w:ascii="宋体" w:eastAsia="宋体" w:hAnsi="宋体" w:cs="宋体"/>
                <w:b w:val="0"/>
                <w:i w:val="0"/>
                <w:color w:val="000000"/>
                <w:sz w:val="14"/>
              </w:rPr>
              <w:t xml:space="preserve">226.08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30.38</w:t>
            </w:r>
          </w:p>
        </w:tc>
        <w:tc>
          <w:tcPr>
            <w:tcW w:w="1100" w:type="dxa"/>
            <w:tcBorders/>
            <w:vAlign w:val="center"/>
          </w:tcPr>
          <w:p>
            <w:pPr>
              <w:jc w:val="right"/>
            </w:pPr>
            <w:r>
              <w:rPr>
                <w:rFonts w:ascii="宋体" w:eastAsia="宋体" w:hAnsi="宋体" w:cs="宋体"/>
                <w:b w:val="0"/>
                <w:i w:val="0"/>
                <w:color w:val="000000"/>
                <w:sz w:val="14"/>
              </w:rPr>
              <w:t xml:space="preserve">30.38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297.94</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297.94</w:t>
            </w:r>
          </w:p>
        </w:tc>
        <w:tc>
          <w:tcPr>
            <w:tcW w:w="1100" w:type="dxa"/>
            <w:tcBorders/>
            <w:vAlign w:val="center"/>
          </w:tcPr>
          <w:p>
            <w:pPr>
              <w:jc w:val="right"/>
            </w:pPr>
            <w:r>
              <w:rPr>
                <w:rFonts w:ascii="宋体" w:eastAsia="宋体" w:hAnsi="宋体" w:cs="宋体"/>
                <w:b w:val="0"/>
                <w:i w:val="0"/>
                <w:color w:val="000000"/>
                <w:sz w:val="14"/>
              </w:rPr>
              <w:t xml:space="preserve">297.94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297.94</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297.94</w:t>
            </w:r>
          </w:p>
        </w:tc>
        <w:tc>
          <w:tcPr>
            <w:tcW w:w="1100" w:type="dxa"/>
            <w:tcBorders/>
            <w:vAlign w:val="center"/>
          </w:tcPr>
          <w:p>
            <w:pPr>
              <w:jc w:val="right"/>
            </w:pPr>
            <w:r>
              <w:rPr>
                <w:rFonts w:ascii="宋体" w:eastAsia="宋体" w:hAnsi="宋体" w:cs="宋体"/>
                <w:b w:val="0"/>
                <w:i w:val="0"/>
                <w:color w:val="000000"/>
                <w:sz w:val="14"/>
              </w:rPr>
              <w:t xml:space="preserve">297.94</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部门：辽宁省沈阳市浑南区公共资源交易中心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297.94</w:t>
            </w:r>
          </w:p>
        </w:tc>
        <w:tc>
          <w:tcPr>
            <w:tcW w:w="1780" w:type="dxa"/>
            <w:tcBorders/>
            <w:vAlign w:val="center"/>
          </w:tcPr>
          <w:p>
            <w:pPr>
              <w:jc w:val="right"/>
            </w:pPr>
            <w:r>
              <w:rPr>
                <w:rFonts w:ascii="宋体" w:eastAsia="宋体" w:hAnsi="宋体" w:cs="宋体"/>
                <w:b/>
                <w:i w:val="0"/>
                <w:color w:val="000000"/>
                <w:sz w:val="18"/>
              </w:rPr>
              <w:t xml:space="preserve">272.13</w:t>
            </w:r>
          </w:p>
        </w:tc>
        <w:tc>
          <w:tcPr>
            <w:tcW w:w="1772" w:type="dxa"/>
            <w:tcBorders/>
            <w:vAlign w:val="center"/>
          </w:tcPr>
          <w:p>
            <w:pPr>
              <w:jc w:val="right"/>
            </w:pPr>
            <w:r>
              <w:rPr>
                <w:rFonts w:ascii="宋体" w:eastAsia="宋体" w:hAnsi="宋体" w:cs="宋体"/>
                <w:b/>
                <w:i w:val="0"/>
                <w:color w:val="000000"/>
                <w:sz w:val="18"/>
              </w:rPr>
              <w:t xml:space="preserve">25.81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30.12</w:t>
            </w:r>
          </w:p>
        </w:tc>
        <w:tc>
          <w:tcPr>
            <w:tcW w:w="1780" w:type="dxa"/>
            <w:tcBorders/>
            <w:vAlign w:val="center"/>
          </w:tcPr>
          <w:p>
            <w:pPr>
              <w:jc w:val="right"/>
            </w:pPr>
            <w:r>
              <w:rPr>
                <w:rFonts w:ascii="宋体" w:eastAsia="宋体" w:hAnsi="宋体" w:cs="宋体"/>
                <w:b w:val="0"/>
                <w:i w:val="0"/>
                <w:color w:val="000000"/>
                <w:sz w:val="18"/>
              </w:rPr>
              <w:t xml:space="preserve">30.12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30.12</w:t>
            </w:r>
          </w:p>
        </w:tc>
        <w:tc>
          <w:tcPr>
            <w:tcW w:w="1780" w:type="dxa"/>
            <w:tcBorders/>
            <w:vAlign w:val="center"/>
          </w:tcPr>
          <w:p>
            <w:pPr>
              <w:jc w:val="right"/>
            </w:pPr>
            <w:r>
              <w:rPr>
                <w:rFonts w:ascii="宋体" w:eastAsia="宋体" w:hAnsi="宋体" w:cs="宋体"/>
                <w:b w:val="0"/>
                <w:i w:val="0"/>
                <w:color w:val="000000"/>
                <w:sz w:val="18"/>
              </w:rPr>
              <w:t xml:space="preserve">30.12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0.49</w:t>
            </w:r>
          </w:p>
        </w:tc>
        <w:tc>
          <w:tcPr>
            <w:tcW w:w="1780" w:type="dxa"/>
            <w:tcBorders/>
            <w:vAlign w:val="center"/>
          </w:tcPr>
          <w:p>
            <w:pPr>
              <w:jc w:val="right"/>
            </w:pPr>
            <w:r>
              <w:rPr>
                <w:rFonts w:ascii="宋体" w:eastAsia="宋体" w:hAnsi="宋体" w:cs="宋体"/>
                <w:b w:val="0"/>
                <w:i w:val="0"/>
                <w:color w:val="000000"/>
                <w:sz w:val="18"/>
              </w:rPr>
              <w:t xml:space="preserve">0.49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29.63</w:t>
            </w:r>
          </w:p>
        </w:tc>
        <w:tc>
          <w:tcPr>
            <w:tcW w:w="1780" w:type="dxa"/>
            <w:tcBorders/>
            <w:vAlign w:val="center"/>
          </w:tcPr>
          <w:p>
            <w:pPr>
              <w:jc w:val="right"/>
            </w:pPr>
            <w:r>
              <w:rPr>
                <w:rFonts w:ascii="宋体" w:eastAsia="宋体" w:hAnsi="宋体" w:cs="宋体"/>
                <w:b w:val="0"/>
                <w:i w:val="0"/>
                <w:color w:val="000000"/>
                <w:sz w:val="18"/>
              </w:rPr>
              <w:t xml:space="preserve">29.63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11.35</w:t>
            </w:r>
          </w:p>
        </w:tc>
        <w:tc>
          <w:tcPr>
            <w:tcW w:w="1780" w:type="dxa"/>
            <w:tcBorders/>
            <w:vAlign w:val="center"/>
          </w:tcPr>
          <w:p>
            <w:pPr>
              <w:jc w:val="right"/>
            </w:pPr>
            <w:r>
              <w:rPr>
                <w:rFonts w:ascii="宋体" w:eastAsia="宋体" w:hAnsi="宋体" w:cs="宋体"/>
                <w:b w:val="0"/>
                <w:i w:val="0"/>
                <w:color w:val="000000"/>
                <w:sz w:val="18"/>
              </w:rPr>
              <w:t xml:space="preserve">11.35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11.35</w:t>
            </w:r>
          </w:p>
        </w:tc>
        <w:tc>
          <w:tcPr>
            <w:tcW w:w="1780" w:type="dxa"/>
            <w:tcBorders/>
            <w:vAlign w:val="center"/>
          </w:tcPr>
          <w:p>
            <w:pPr>
              <w:jc w:val="right"/>
            </w:pPr>
            <w:r>
              <w:rPr>
                <w:rFonts w:ascii="宋体" w:eastAsia="宋体" w:hAnsi="宋体" w:cs="宋体"/>
                <w:b w:val="0"/>
                <w:i w:val="0"/>
                <w:color w:val="000000"/>
                <w:sz w:val="18"/>
              </w:rPr>
              <w:t xml:space="preserve">11.35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11.35</w:t>
            </w:r>
          </w:p>
        </w:tc>
        <w:tc>
          <w:tcPr>
            <w:tcW w:w="1780" w:type="dxa"/>
            <w:tcBorders/>
            <w:vAlign w:val="center"/>
          </w:tcPr>
          <w:p>
            <w:pPr>
              <w:jc w:val="right"/>
            </w:pPr>
            <w:r>
              <w:rPr>
                <w:rFonts w:ascii="宋体" w:eastAsia="宋体" w:hAnsi="宋体" w:cs="宋体"/>
                <w:b w:val="0"/>
                <w:i w:val="0"/>
                <w:color w:val="000000"/>
                <w:sz w:val="18"/>
              </w:rPr>
              <w:t xml:space="preserve">11.35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w:t>
            </w:r>
          </w:p>
        </w:tc>
        <w:tc>
          <w:tcPr>
            <w:tcW w:w="4300" w:type="dxa"/>
            <w:tcBorders/>
            <w:vAlign w:val="center"/>
          </w:tcPr>
          <w:p>
            <w:pPr>
              <w:jc w:val="left"/>
            </w:pPr>
            <w:r>
              <w:rPr>
                <w:rFonts w:ascii="宋体" w:eastAsia="宋体" w:hAnsi="宋体" w:cs="宋体"/>
                <w:b w:val="0"/>
                <w:i w:val="0"/>
                <w:color w:val="000000"/>
                <w:sz w:val="18"/>
              </w:rPr>
              <w:t xml:space="preserve">城乡社区支出</w:t>
            </w:r>
          </w:p>
        </w:tc>
        <w:tc>
          <w:tcPr>
            <w:tcW w:w="1780" w:type="dxa"/>
            <w:tcBorders/>
            <w:vAlign w:val="center"/>
          </w:tcPr>
          <w:p>
            <w:pPr>
              <w:jc w:val="right"/>
            </w:pPr>
            <w:r>
              <w:rPr>
                <w:rFonts w:ascii="宋体" w:eastAsia="宋体" w:hAnsi="宋体" w:cs="宋体"/>
                <w:b w:val="0"/>
                <w:i w:val="0"/>
                <w:color w:val="000000"/>
                <w:sz w:val="18"/>
              </w:rPr>
              <w:t xml:space="preserve">226.08</w:t>
            </w:r>
          </w:p>
        </w:tc>
        <w:tc>
          <w:tcPr>
            <w:tcW w:w="1780" w:type="dxa"/>
            <w:tcBorders/>
            <w:vAlign w:val="center"/>
          </w:tcPr>
          <w:p>
            <w:pPr>
              <w:jc w:val="right"/>
            </w:pPr>
            <w:r>
              <w:rPr>
                <w:rFonts w:ascii="宋体" w:eastAsia="宋体" w:hAnsi="宋体" w:cs="宋体"/>
                <w:b w:val="0"/>
                <w:i w:val="0"/>
                <w:color w:val="000000"/>
                <w:sz w:val="18"/>
              </w:rPr>
              <w:t xml:space="preserve">200.27</w:t>
            </w:r>
          </w:p>
        </w:tc>
        <w:tc>
          <w:tcPr>
            <w:tcW w:w="1772" w:type="dxa"/>
            <w:tcBorders/>
            <w:vAlign w:val="center"/>
          </w:tcPr>
          <w:p>
            <w:pPr>
              <w:jc w:val="right"/>
            </w:pPr>
            <w:r>
              <w:rPr>
                <w:rFonts w:ascii="宋体" w:eastAsia="宋体" w:hAnsi="宋体" w:cs="宋体"/>
                <w:b w:val="0"/>
                <w:i w:val="0"/>
                <w:color w:val="000000"/>
                <w:sz w:val="18"/>
              </w:rPr>
              <w:t xml:space="preserve">25.81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w:t>
            </w:r>
          </w:p>
        </w:tc>
        <w:tc>
          <w:tcPr>
            <w:tcW w:w="4300" w:type="dxa"/>
            <w:tcBorders/>
            <w:vAlign w:val="center"/>
          </w:tcPr>
          <w:p>
            <w:pPr>
              <w:jc w:val="left"/>
            </w:pPr>
            <w:r>
              <w:rPr>
                <w:rFonts w:ascii="宋体" w:eastAsia="宋体" w:hAnsi="宋体" w:cs="宋体"/>
                <w:b w:val="0"/>
                <w:i w:val="0"/>
                <w:color w:val="000000"/>
                <w:sz w:val="18"/>
              </w:rPr>
              <w:t xml:space="preserve">城乡社区管理事务</w:t>
            </w:r>
          </w:p>
        </w:tc>
        <w:tc>
          <w:tcPr>
            <w:tcW w:w="1780" w:type="dxa"/>
            <w:tcBorders/>
            <w:vAlign w:val="center"/>
          </w:tcPr>
          <w:p>
            <w:pPr>
              <w:jc w:val="right"/>
            </w:pPr>
            <w:r>
              <w:rPr>
                <w:rFonts w:ascii="宋体" w:eastAsia="宋体" w:hAnsi="宋体" w:cs="宋体"/>
                <w:b w:val="0"/>
                <w:i w:val="0"/>
                <w:color w:val="000000"/>
                <w:sz w:val="18"/>
              </w:rPr>
              <w:t xml:space="preserve">226.08</w:t>
            </w:r>
          </w:p>
        </w:tc>
        <w:tc>
          <w:tcPr>
            <w:tcW w:w="1780" w:type="dxa"/>
            <w:tcBorders/>
            <w:vAlign w:val="center"/>
          </w:tcPr>
          <w:p>
            <w:pPr>
              <w:jc w:val="right"/>
            </w:pPr>
            <w:r>
              <w:rPr>
                <w:rFonts w:ascii="宋体" w:eastAsia="宋体" w:hAnsi="宋体" w:cs="宋体"/>
                <w:b w:val="0"/>
                <w:i w:val="0"/>
                <w:color w:val="000000"/>
                <w:sz w:val="18"/>
              </w:rPr>
              <w:t xml:space="preserve">200.27</w:t>
            </w:r>
          </w:p>
        </w:tc>
        <w:tc>
          <w:tcPr>
            <w:tcW w:w="1772" w:type="dxa"/>
            <w:tcBorders/>
            <w:vAlign w:val="center"/>
          </w:tcPr>
          <w:p>
            <w:pPr>
              <w:jc w:val="right"/>
            </w:pPr>
            <w:r>
              <w:rPr>
                <w:rFonts w:ascii="宋体" w:eastAsia="宋体" w:hAnsi="宋体" w:cs="宋体"/>
                <w:b w:val="0"/>
                <w:i w:val="0"/>
                <w:color w:val="000000"/>
                <w:sz w:val="18"/>
              </w:rPr>
              <w:t xml:space="preserve">25.81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2120199</w:t>
            </w:r>
          </w:p>
        </w:tc>
        <w:tc>
          <w:tcPr>
            <w:tcW w:w="4300" w:type="dxa"/>
            <w:tcBorders/>
            <w:vAlign w:val="center"/>
          </w:tcPr>
          <w:p>
            <w:pPr>
              <w:jc w:val="left"/>
            </w:pPr>
            <w:r>
              <w:rPr>
                <w:rFonts w:ascii="宋体" w:eastAsia="宋体" w:hAnsi="宋体" w:cs="宋体"/>
                <w:b w:val="0"/>
                <w:i w:val="0"/>
                <w:color w:val="000000"/>
                <w:sz w:val="18"/>
              </w:rPr>
              <w:t xml:space="preserve">其他城乡社区管理事务支出</w:t>
            </w:r>
          </w:p>
        </w:tc>
        <w:tc>
          <w:tcPr>
            <w:tcW w:w="1780" w:type="dxa"/>
            <w:tcBorders/>
            <w:vAlign w:val="center"/>
          </w:tcPr>
          <w:p>
            <w:pPr>
              <w:jc w:val="right"/>
            </w:pPr>
            <w:r>
              <w:rPr>
                <w:rFonts w:ascii="宋体" w:eastAsia="宋体" w:hAnsi="宋体" w:cs="宋体"/>
                <w:b w:val="0"/>
                <w:i w:val="0"/>
                <w:color w:val="000000"/>
                <w:sz w:val="18"/>
              </w:rPr>
              <w:t xml:space="preserve">226.08</w:t>
            </w:r>
          </w:p>
        </w:tc>
        <w:tc>
          <w:tcPr>
            <w:tcW w:w="1780" w:type="dxa"/>
            <w:tcBorders/>
            <w:vAlign w:val="center"/>
          </w:tcPr>
          <w:p>
            <w:pPr>
              <w:jc w:val="right"/>
            </w:pPr>
            <w:r>
              <w:rPr>
                <w:rFonts w:ascii="宋体" w:eastAsia="宋体" w:hAnsi="宋体" w:cs="宋体"/>
                <w:b w:val="0"/>
                <w:i w:val="0"/>
                <w:color w:val="000000"/>
                <w:sz w:val="18"/>
              </w:rPr>
              <w:t xml:space="preserve">200.27</w:t>
            </w:r>
          </w:p>
        </w:tc>
        <w:tc>
          <w:tcPr>
            <w:tcW w:w="1772" w:type="dxa"/>
            <w:tcBorders/>
            <w:vAlign w:val="center"/>
          </w:tcPr>
          <w:p>
            <w:pPr>
              <w:jc w:val="right"/>
            </w:pPr>
            <w:r>
              <w:rPr>
                <w:rFonts w:ascii="宋体" w:eastAsia="宋体" w:hAnsi="宋体" w:cs="宋体"/>
                <w:b w:val="0"/>
                <w:i w:val="0"/>
                <w:color w:val="000000"/>
                <w:sz w:val="18"/>
              </w:rPr>
              <w:t xml:space="preserve">25.81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30.38</w:t>
            </w:r>
          </w:p>
        </w:tc>
        <w:tc>
          <w:tcPr>
            <w:tcW w:w="1780" w:type="dxa"/>
            <w:tcBorders/>
            <w:vAlign w:val="center"/>
          </w:tcPr>
          <w:p>
            <w:pPr>
              <w:jc w:val="right"/>
            </w:pPr>
            <w:r>
              <w:rPr>
                <w:rFonts w:ascii="宋体" w:eastAsia="宋体" w:hAnsi="宋体" w:cs="宋体"/>
                <w:b w:val="0"/>
                <w:i w:val="0"/>
                <w:color w:val="000000"/>
                <w:sz w:val="18"/>
              </w:rPr>
              <w:t xml:space="preserve">30.38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30.38</w:t>
            </w:r>
          </w:p>
        </w:tc>
        <w:tc>
          <w:tcPr>
            <w:tcW w:w="1780" w:type="dxa"/>
            <w:tcBorders/>
            <w:vAlign w:val="center"/>
          </w:tcPr>
          <w:p>
            <w:pPr>
              <w:jc w:val="right"/>
            </w:pPr>
            <w:r>
              <w:rPr>
                <w:rFonts w:ascii="宋体" w:eastAsia="宋体" w:hAnsi="宋体" w:cs="宋体"/>
                <w:b w:val="0"/>
                <w:i w:val="0"/>
                <w:color w:val="000000"/>
                <w:sz w:val="18"/>
              </w:rPr>
              <w:t xml:space="preserve">30.38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30.38</w:t>
            </w:r>
          </w:p>
        </w:tc>
        <w:tc>
          <w:tcPr>
            <w:tcW w:w="1780" w:type="dxa"/>
            <w:tcBorders/>
            <w:vAlign w:val="center"/>
          </w:tcPr>
          <w:p>
            <w:pPr>
              <w:jc w:val="right"/>
            </w:pPr>
            <w:r>
              <w:rPr>
                <w:rFonts w:ascii="宋体" w:eastAsia="宋体" w:hAnsi="宋体" w:cs="宋体"/>
                <w:b w:val="0"/>
                <w:i w:val="0"/>
                <w:color w:val="000000"/>
                <w:sz w:val="18"/>
              </w:rPr>
              <w:t xml:space="preserve">30.38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部门：辽宁省沈阳市浑南区公共资源交易中心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256.38</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15.26</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82.60</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2.74</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4.12</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5.85</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5.76</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85.38</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29.63</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10.84</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11.35</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1.29</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0.05</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30.38</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0.49</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jc w:val="right"/>
            </w:pPr>
            <w:r>
              <w:rPr>
                <w:rFonts w:ascii="宋体" w:eastAsia="宋体" w:hAnsi="宋体" w:cs="宋体"/>
                <w:b w:val="0"/>
                <w:i w:val="0"/>
                <w:color w:val="000000"/>
                <w:sz w:val="14"/>
              </w:rPr>
              <w:t xml:space="preserve">0.05</w:t>
            </w: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0.49</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1.55</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0.03</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256.87</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15.26</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部门：辽宁省沈阳市浑南区公共资源交易中心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部门：辽宁省沈阳市浑南区公共资源交易中心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部门：辽宁省沈阳市浑南区公共资源交易中心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082001沈阳市浑南区公共资源交易中心本级-210112000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308.51</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308.51</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211.32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211.32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45.55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45.54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保证公共资源交易中心正常运转</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按要求完成既定目标。</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平台及网络设备无障碍运行情况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稳定运行</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服务企业满意度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当地群众满意度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完善部门内部控制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持续优化</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建立制度规范档案管理</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电子化平台运行维护经费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沈阳市浑南区公共资源交易中心-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沈阳市浑南区公共资源交易中心本级-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按要求完成目标。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沈阳市浑南区公共资源交易中心-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沈阳市浑南区公共资源交易中心本级-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74.38%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目标达成。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雇员、派遣制、借调人员等基本经费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项目专业人员占比</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8.43774081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缴纳残疾人就业保障金（债务科）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沈阳市浑南区公共资源交易中心-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沈阳市浑南区公共资源交易中心本级-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83.55%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确保资金使用能够真正惠及残疾人群体，提高其生活质量和福利水平。</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按要求完成目标。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残疾人专职委员培训人数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培训开展时间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补贴结果公开公平性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补助人群（家庭）生活改善情况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获得改善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残疾人家庭满意度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接受补助的残疾人满意度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98.36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开评标日常工作运行经费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沈阳市浑南区公共资源交易中心-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沈阳市浑南区公共资源交易中心本级-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按要求完成目标。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沈阳市浑南区公共资源交易中心-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沈阳市浑南区公共资源交易中心本级-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66.56%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按要求完成目标。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聘用人员完成率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17.65626515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软件服务费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沈阳市浑南区公共资源交易中心-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沈阳市浑南区公共资源交易中心本级-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设备及材料购置经费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沈阳市浑南区公共资源交易中心-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沈阳市浑南区公共资源交易中心本级-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设备购置费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设备、设施更换数量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台（套）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专家评审准确率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装备采购及时率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设备购置成本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设备设施投入使用率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设备购置类项目持续发挥作用期限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项目单位满意度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服务或受益对象满意度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企事业单位满意度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受益群体满意度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专家评审费用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沈阳市浑南区公共资源交易中心-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沈阳市浑南区公共资源交易中心本级-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66.67%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按要求完成目标。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17.66664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