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辽宁省沈阳市浑南区机关事务保障中心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辽宁省沈阳市浑南区机关事务保障中心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辽宁省沈阳市浑南区机关事务保障中心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辽宁省沈阳市浑南区机关事务保障中心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辽宁省沈阳市浑南区机关事务保障中心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辽宁省沈阳市浑南区机关事务保障中心概况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根据《中共沈阳市浑南区委机构编制委员会关于印发〈区委编委关于调整事业单位机构编制事项〉的通知》（沈浑南委办发[2023]59号）要求，沈阳市浑南区综合事务信息服务中心更名为沈阳市浑南区机关事务保障中心，机构规格相当于正处级，为区委直属事业单位。</w:t>
        <w:br/>
        <w:t xml:space="preserve">    （一）根据党和国家的有关方针政策，结合区级党政机关的实际情况，研究制订机关事务的工作计划和规章制度，并组织实施。</w:t>
        <w:br/>
        <w:t xml:space="preserve">    （二）负责区级党政机关事务的管理、保障和服务工作。</w:t>
        <w:br/>
        <w:t xml:space="preserve">    （三）负责区属行政、事业单位房产管理工作，拟订规章制度并组织实施，统一管理党政机关行政事业单位办公用房。负责党政机关办公用房、附属设施用房分配、调整和维修管理。</w:t>
        <w:br/>
        <w:t xml:space="preserve">    （四）研究拟订服务保障有关规章制度并组织实施，负责党政机关办公楼的物业管理工作，负责对外托管物业服务的监督管理与考核工作；负责机关各楼宇的安全保卫工作；负责机关大院停车场管理工作。</w:t>
        <w:br/>
        <w:t xml:space="preserve">    （五）负责全区机关食堂的日常供餐工作；负责对物业公司餐饮部门的监督管理与考核工作。</w:t>
        <w:br/>
        <w:t xml:space="preserve">    （六）研究拟订全区公务接待工作制度并组织实施；负责区委、区政府、区人大、区政协大型会议和重要活动的有关接待工作。</w:t>
        <w:br/>
        <w:t xml:space="preserve">    （七）负责党政机关公务用车的调配、维修、更新、处置工作；负责区委、区政府的公务用车保障服务工作。</w:t>
        <w:br/>
        <w:t xml:space="preserve">    （八）承担推进、指导、协调、监督公共机构节能工作。负责党政机关节约能源管理工作，组织开展能耗统计、监测和评价考核工作，推动全区公共机构节能工作开展。</w:t>
        <w:br/>
        <w:t xml:space="preserve">    （九）承办区委、区政府交办的其他工作任务。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辽宁省沈阳市浑南区机关事务保障中心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辽宁省沈阳市浑南区机关事务保障中心，本单位无下设机构。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19721.01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19598.28</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99.38</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19598.28</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122.73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0.62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主要是跨年专项等。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增加6487.21万元，增长49.02%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上一年度部分项目款在本年度支付，相应收入随之增加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19598.28</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3463.43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17.67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工资福利支出1310.37万元；商品和服务支出2028.45万元；对个人和家庭的补助124.61万元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16134.85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82.33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主要包括办公费、邮电费、维修（护）费等业务支出。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增加6487.21万元，增长49.48%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支付上一年度部分费用项目款导致</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122.73</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主要是为了保障机构正常运转，完成日常工作任务等原因形成的结余。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结余资金暂未支付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19598.28</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3463.43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16134.85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增加6487.21万元，增长49.48%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支付上一年度部分项目款导致</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93.02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81.21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96.02</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2024年度一般公共预算财政拨款支出19598.28万元。按支出功能分类科目分，包括：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1.一般公共服务支出19122.42万元，具体包括：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机关服务（项）19122.42万元,主要是机关办公楼租赁费等支出，完成年初预算的140.9%，决算数与年初预算数存在差异的主要原因是追加支付上年房租。</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2.社会保障和就业支出272.37万元，具体包括：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（1）社会保障和就业支出（类）行政事业单位养老支出（款）事业单位离退休（项）59.29万元,主要是退休采暖补贴等支出，完成年初预算的101.98%，决算数与年初预算数存在差异的主要原因是退休人员增加。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138.26万元,主要是基本养老保险缴费等支出，完成年初预算的99.86%，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22.19万元,主要是职业年金缴费等支出，完成年初预算的128.56%，决算数与年初预算数存在差异的主要原因是上一年度退休人员工资做结差，需要交在职期间单位部分的职业年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52.63万元,主要是用于病故人员家属的一次性和定期抚恤金、丧葬补助费等支出，完成年初预算的100%，决算数与年初预算数存在差异的主要原因是按照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3.卫生健康支出58.29万元，具体包括：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（1）卫生健康支出（类）行政事业单位医疗（款）事业单位医疗（项）58.29万元,主要是在职人员基本医疗保险缴费等支出，完成年初预算的102.3%，决算数与年初预算数存在差异的主要原因是有新入职人员。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4.住房保障支出145.19万元，具体包括：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（1）住房保障支出（类）住房改革支出（款）住房公积金（项）145.19万元,主要是工作人员住房公积金缴纳等支出，完成年初预算的84.91%，决算数与年初预算数存在差异的主要原因是人员变动。</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144.87</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48.05</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资金暂缓支付</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144.87</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年初未安排预算</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年初未安排预算</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年初未安排预算</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年初未安排预算</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144.87</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48.05</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厉行节约，降低运行维护费的使用</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比上年增加9.43万元，增长6.96%</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中心资产账2023年年末车辆数112台，可使用根据车辆状况可使用车辆80台，2024年拍卖10台、报废1台，年终车辆数101台，根据车辆状况可使用车辆数为80台。我中心作为区公务用车主管部门，财政局将可使用且产权不是我中心的车辆经费统一拨付到我中心，由我中心统一管理，车辆总数2023年和2024年均为111台，其中我中心车辆80台，其他单位车辆31台。2023年公务用车运行维护费支出135.44万元，2024年支出144.87万元，2024年比2023年支出增加9.43万元，支出明细如下：一是油费2024年相比2023年多支出19.19万元，2023年油卡充值67.26万元，2024年油卡充值86.45万元。通过中国石油网站查询2023年实际消费82.06万元，2024年实际消费80.65万元，2024年比2023年减少1.41万元；二是车辆维修费2024年相比2023年少支出7.1万元，2023年支出2022年5月至2023年11月车辆维修费34.57万元（正常情况下支付上年12月至当年11月费用，2022年因疫情原因维修厂不能及时提供发票等材料未能报销），其中2022年12月至2023年11月份车辆维修费支出24.05万元，2024年支出2023年12月至2024年11月车辆维修费约27.47万元。2024年比2023年多支出3.42万元，费用增加原因为车辆使用年限增加，故障率增加；三是车辆保险费2024年相比2023年少支出1.24万元，2023年支出27.56万元，2024年支出26.32万元；四是车辆通行等费用2024年相比2023年少支出1.42万元，2023年支出6.05万元，2024年支出4.63万元。综上所述，2024年当年费用支出比2023年当年费用支出减少0.66万元</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144.87</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主要用于公务车日常维修维护、加油、保险等，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101</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3463.43</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1434.98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2028.45</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1096.10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1096.10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100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101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27</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10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4</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60</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，其他用车主要是各部门公务用车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具体而言，本年度我部门共组织对15个项目实施了绩效评价。从预算资金来源看，涉及一般公共预算的项目15个，涉及政府性基金预算的项目0个，涉及国有资本经营预算的项目0个。</w:t>
        <w:br/>
        <w:t xml:space="preserve">    上述评价工作共涉及财政资金16133.52万元。其中，一般公共预算资金16133.52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6个；得分在80分（含）至90分、等级为“良”的项目有2个；得分在60分（含）至80分、等级为“中”的项目有1；得分在60分以下、等级为“差”的项目有6个。各项目自评发现，部分项目存在预算执行进度偏慢、个别效益指标未能完全达成，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在全面自评的基础上，本部门选取了2个资金量大、社会关注度高、具有代表性的重点项目实施了部门重点评价。评价工作通过据采集分析方式进行,确保了评价结果的客观性和公正性。</w:t>
        <w:br/>
        <w:t xml:space="preserve">    我部门组织对2个项目重点评价，结果显示，被评价项目整体绩效情况良好。其中：第一个重点项目为机关办公楼租赁费，涉及资金12401.61万元，评价平均分为100分，评级情况为优；第二个重点项目为工程项目及小型维修维护费，涉及资金70.92万元，评价平均分为100分，评级情况为优。同时，评价也发现办公楼内设施维修费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部门：辽宁省沈阳市浑南区机关事务保障中心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19,598.28</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19,122.42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272.38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58.29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145.19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19,598.28</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19,598.28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122.73</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122.73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19,721.01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19,721.01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部门：辽宁省沈阳市浑南区机关事务保障中心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19,598.28</w:t>
            </w:r>
          </w:p>
        </w:tc>
        <w:tc>
          <w:tcPr>
            <w:tcW w:w="960" w:type="dxa"/>
            <w:tcBorders/>
            <w:vAlign w:val="center"/>
          </w:tcPr>
          <w:p>
            <w:pPr>
              <w:jc w:val="right"/>
            </w:pPr>
            <w:r>
              <w:rPr>
                <w:rFonts w:ascii="宋体" w:eastAsia="宋体" w:hAnsi="宋体" w:cs="宋体"/>
                <w:b/>
                <w:i w:val="0"/>
                <w:color w:val="000000"/>
                <w:sz w:val="13"/>
              </w:rPr>
              <w:t xml:space="preserve">19,598.28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19,122.42</w:t>
            </w:r>
          </w:p>
        </w:tc>
        <w:tc>
          <w:tcPr>
            <w:tcW w:w="960" w:type="dxa"/>
            <w:tcBorders/>
            <w:vAlign w:val="center"/>
          </w:tcPr>
          <w:p>
            <w:pPr>
              <w:jc w:val="right"/>
            </w:pPr>
            <w:r>
              <w:rPr>
                <w:rFonts w:ascii="宋体" w:eastAsia="宋体" w:hAnsi="宋体" w:cs="宋体"/>
                <w:b w:val="0"/>
                <w:i w:val="0"/>
                <w:color w:val="000000"/>
                <w:sz w:val="13"/>
              </w:rPr>
              <w:t xml:space="preserve">19,122.42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19,122.42</w:t>
            </w:r>
          </w:p>
        </w:tc>
        <w:tc>
          <w:tcPr>
            <w:tcW w:w="960" w:type="dxa"/>
            <w:tcBorders/>
            <w:vAlign w:val="center"/>
          </w:tcPr>
          <w:p>
            <w:pPr>
              <w:jc w:val="right"/>
            </w:pPr>
            <w:r>
              <w:rPr>
                <w:rFonts w:ascii="宋体" w:eastAsia="宋体" w:hAnsi="宋体" w:cs="宋体"/>
                <w:b w:val="0"/>
                <w:i w:val="0"/>
                <w:color w:val="000000"/>
                <w:sz w:val="13"/>
              </w:rPr>
              <w:t xml:space="preserve">19,122.42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2010303</w:t>
            </w:r>
          </w:p>
        </w:tc>
        <w:tc>
          <w:tcPr>
            <w:tcW w:w="3200" w:type="dxa"/>
            <w:tcBorders/>
            <w:vAlign w:val="center"/>
          </w:tcPr>
          <w:p>
            <w:pPr>
              <w:jc w:val="left"/>
            </w:pPr>
            <w:r>
              <w:rPr>
                <w:rFonts w:ascii="宋体" w:eastAsia="宋体" w:hAnsi="宋体" w:cs="宋体"/>
                <w:b w:val="0"/>
                <w:i w:val="0"/>
                <w:color w:val="000000"/>
                <w:sz w:val="13"/>
              </w:rPr>
              <w:t xml:space="preserve">机关服务</w:t>
            </w:r>
          </w:p>
        </w:tc>
        <w:tc>
          <w:tcPr>
            <w:tcW w:w="960" w:type="dxa"/>
            <w:tcBorders/>
            <w:vAlign w:val="center"/>
          </w:tcPr>
          <w:p>
            <w:pPr>
              <w:jc w:val="right"/>
            </w:pPr>
            <w:r>
              <w:rPr>
                <w:rFonts w:ascii="宋体" w:eastAsia="宋体" w:hAnsi="宋体" w:cs="宋体"/>
                <w:b w:val="0"/>
                <w:i w:val="0"/>
                <w:color w:val="000000"/>
                <w:sz w:val="13"/>
              </w:rPr>
              <w:t xml:space="preserve">19,122.42</w:t>
            </w:r>
          </w:p>
        </w:tc>
        <w:tc>
          <w:tcPr>
            <w:tcW w:w="960" w:type="dxa"/>
            <w:tcBorders/>
            <w:vAlign w:val="center"/>
          </w:tcPr>
          <w:p>
            <w:pPr>
              <w:jc w:val="right"/>
            </w:pPr>
            <w:r>
              <w:rPr>
                <w:rFonts w:ascii="宋体" w:eastAsia="宋体" w:hAnsi="宋体" w:cs="宋体"/>
                <w:b w:val="0"/>
                <w:i w:val="0"/>
                <w:color w:val="000000"/>
                <w:sz w:val="13"/>
              </w:rPr>
              <w:t xml:space="preserve">19,122.42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272.37</w:t>
            </w:r>
          </w:p>
        </w:tc>
        <w:tc>
          <w:tcPr>
            <w:tcW w:w="960" w:type="dxa"/>
            <w:tcBorders/>
            <w:vAlign w:val="center"/>
          </w:tcPr>
          <w:p>
            <w:pPr>
              <w:jc w:val="right"/>
            </w:pPr>
            <w:r>
              <w:rPr>
                <w:rFonts w:ascii="宋体" w:eastAsia="宋体" w:hAnsi="宋体" w:cs="宋体"/>
                <w:b w:val="0"/>
                <w:i w:val="0"/>
                <w:color w:val="000000"/>
                <w:sz w:val="13"/>
              </w:rPr>
              <w:t xml:space="preserve">272.37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219.74</w:t>
            </w:r>
          </w:p>
        </w:tc>
        <w:tc>
          <w:tcPr>
            <w:tcW w:w="960" w:type="dxa"/>
            <w:tcBorders/>
            <w:vAlign w:val="center"/>
          </w:tcPr>
          <w:p>
            <w:pPr>
              <w:jc w:val="right"/>
            </w:pPr>
            <w:r>
              <w:rPr>
                <w:rFonts w:ascii="宋体" w:eastAsia="宋体" w:hAnsi="宋体" w:cs="宋体"/>
                <w:b w:val="0"/>
                <w:i w:val="0"/>
                <w:color w:val="000000"/>
                <w:sz w:val="13"/>
              </w:rPr>
              <w:t xml:space="preserve">219.74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59.29</w:t>
            </w:r>
          </w:p>
        </w:tc>
        <w:tc>
          <w:tcPr>
            <w:tcW w:w="960" w:type="dxa"/>
            <w:tcBorders/>
            <w:vAlign w:val="center"/>
          </w:tcPr>
          <w:p>
            <w:pPr>
              <w:jc w:val="right"/>
            </w:pPr>
            <w:r>
              <w:rPr>
                <w:rFonts w:ascii="宋体" w:eastAsia="宋体" w:hAnsi="宋体" w:cs="宋体"/>
                <w:b w:val="0"/>
                <w:i w:val="0"/>
                <w:color w:val="000000"/>
                <w:sz w:val="13"/>
              </w:rPr>
              <w:t xml:space="preserve">59.29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138.26</w:t>
            </w:r>
          </w:p>
        </w:tc>
        <w:tc>
          <w:tcPr>
            <w:tcW w:w="960" w:type="dxa"/>
            <w:tcBorders/>
            <w:vAlign w:val="center"/>
          </w:tcPr>
          <w:p>
            <w:pPr>
              <w:jc w:val="right"/>
            </w:pPr>
            <w:r>
              <w:rPr>
                <w:rFonts w:ascii="宋体" w:eastAsia="宋体" w:hAnsi="宋体" w:cs="宋体"/>
                <w:b w:val="0"/>
                <w:i w:val="0"/>
                <w:color w:val="000000"/>
                <w:sz w:val="13"/>
              </w:rPr>
              <w:t xml:space="preserve">138.26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22.19</w:t>
            </w:r>
          </w:p>
        </w:tc>
        <w:tc>
          <w:tcPr>
            <w:tcW w:w="960" w:type="dxa"/>
            <w:tcBorders/>
            <w:vAlign w:val="center"/>
          </w:tcPr>
          <w:p>
            <w:pPr>
              <w:jc w:val="right"/>
            </w:pPr>
            <w:r>
              <w:rPr>
                <w:rFonts w:ascii="宋体" w:eastAsia="宋体" w:hAnsi="宋体" w:cs="宋体"/>
                <w:b w:val="0"/>
                <w:i w:val="0"/>
                <w:color w:val="000000"/>
                <w:sz w:val="13"/>
              </w:rPr>
              <w:t xml:space="preserve">22.19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52.63</w:t>
            </w:r>
          </w:p>
        </w:tc>
        <w:tc>
          <w:tcPr>
            <w:tcW w:w="960" w:type="dxa"/>
            <w:tcBorders/>
            <w:vAlign w:val="center"/>
          </w:tcPr>
          <w:p>
            <w:pPr>
              <w:jc w:val="right"/>
            </w:pPr>
            <w:r>
              <w:rPr>
                <w:rFonts w:ascii="宋体" w:eastAsia="宋体" w:hAnsi="宋体" w:cs="宋体"/>
                <w:b w:val="0"/>
                <w:i w:val="0"/>
                <w:color w:val="000000"/>
                <w:sz w:val="13"/>
              </w:rPr>
              <w:t xml:space="preserve">52.63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52.63</w:t>
            </w:r>
          </w:p>
        </w:tc>
        <w:tc>
          <w:tcPr>
            <w:tcW w:w="960" w:type="dxa"/>
            <w:tcBorders/>
            <w:vAlign w:val="center"/>
          </w:tcPr>
          <w:p>
            <w:pPr>
              <w:jc w:val="right"/>
            </w:pPr>
            <w:r>
              <w:rPr>
                <w:rFonts w:ascii="宋体" w:eastAsia="宋体" w:hAnsi="宋体" w:cs="宋体"/>
                <w:b w:val="0"/>
                <w:i w:val="0"/>
                <w:color w:val="000000"/>
                <w:sz w:val="13"/>
              </w:rPr>
              <w:t xml:space="preserve">52.63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58.29</w:t>
            </w:r>
          </w:p>
        </w:tc>
        <w:tc>
          <w:tcPr>
            <w:tcW w:w="960" w:type="dxa"/>
            <w:tcBorders/>
            <w:vAlign w:val="center"/>
          </w:tcPr>
          <w:p>
            <w:pPr>
              <w:jc w:val="right"/>
            </w:pPr>
            <w:r>
              <w:rPr>
                <w:rFonts w:ascii="宋体" w:eastAsia="宋体" w:hAnsi="宋体" w:cs="宋体"/>
                <w:b w:val="0"/>
                <w:i w:val="0"/>
                <w:color w:val="000000"/>
                <w:sz w:val="13"/>
              </w:rPr>
              <w:t xml:space="preserve">58.29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58.29</w:t>
            </w:r>
          </w:p>
        </w:tc>
        <w:tc>
          <w:tcPr>
            <w:tcW w:w="960" w:type="dxa"/>
            <w:tcBorders/>
            <w:vAlign w:val="center"/>
          </w:tcPr>
          <w:p>
            <w:pPr>
              <w:jc w:val="right"/>
            </w:pPr>
            <w:r>
              <w:rPr>
                <w:rFonts w:ascii="宋体" w:eastAsia="宋体" w:hAnsi="宋体" w:cs="宋体"/>
                <w:b w:val="0"/>
                <w:i w:val="0"/>
                <w:color w:val="000000"/>
                <w:sz w:val="13"/>
              </w:rPr>
              <w:t xml:space="preserve">58.29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58.29</w:t>
            </w:r>
          </w:p>
        </w:tc>
        <w:tc>
          <w:tcPr>
            <w:tcW w:w="960" w:type="dxa"/>
            <w:tcBorders/>
            <w:vAlign w:val="center"/>
          </w:tcPr>
          <w:p>
            <w:pPr>
              <w:jc w:val="right"/>
            </w:pPr>
            <w:r>
              <w:rPr>
                <w:rFonts w:ascii="宋体" w:eastAsia="宋体" w:hAnsi="宋体" w:cs="宋体"/>
                <w:b w:val="0"/>
                <w:i w:val="0"/>
                <w:color w:val="000000"/>
                <w:sz w:val="13"/>
              </w:rPr>
              <w:t xml:space="preserve">58.29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145.19</w:t>
            </w:r>
          </w:p>
        </w:tc>
        <w:tc>
          <w:tcPr>
            <w:tcW w:w="960" w:type="dxa"/>
            <w:tcBorders/>
            <w:vAlign w:val="center"/>
          </w:tcPr>
          <w:p>
            <w:pPr>
              <w:jc w:val="right"/>
            </w:pPr>
            <w:r>
              <w:rPr>
                <w:rFonts w:ascii="宋体" w:eastAsia="宋体" w:hAnsi="宋体" w:cs="宋体"/>
                <w:b w:val="0"/>
                <w:i w:val="0"/>
                <w:color w:val="000000"/>
                <w:sz w:val="13"/>
              </w:rPr>
              <w:t xml:space="preserve">145.19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145.19</w:t>
            </w:r>
          </w:p>
        </w:tc>
        <w:tc>
          <w:tcPr>
            <w:tcW w:w="960" w:type="dxa"/>
            <w:tcBorders/>
            <w:vAlign w:val="center"/>
          </w:tcPr>
          <w:p>
            <w:pPr>
              <w:jc w:val="right"/>
            </w:pPr>
            <w:r>
              <w:rPr>
                <w:rFonts w:ascii="宋体" w:eastAsia="宋体" w:hAnsi="宋体" w:cs="宋体"/>
                <w:b w:val="0"/>
                <w:i w:val="0"/>
                <w:color w:val="000000"/>
                <w:sz w:val="13"/>
              </w:rPr>
              <w:t xml:space="preserve">145.19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145.19</w:t>
            </w:r>
          </w:p>
        </w:tc>
        <w:tc>
          <w:tcPr>
            <w:tcW w:w="960" w:type="dxa"/>
            <w:tcBorders/>
            <w:vAlign w:val="center"/>
          </w:tcPr>
          <w:p>
            <w:pPr>
              <w:jc w:val="right"/>
            </w:pPr>
            <w:r>
              <w:rPr>
                <w:rFonts w:ascii="宋体" w:eastAsia="宋体" w:hAnsi="宋体" w:cs="宋体"/>
                <w:b w:val="0"/>
                <w:i w:val="0"/>
                <w:color w:val="000000"/>
                <w:sz w:val="13"/>
              </w:rPr>
              <w:t xml:space="preserve">145.19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部门：辽宁省沈阳市浑南区机关事务保障中心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19,598.28</w:t>
            </w:r>
          </w:p>
        </w:tc>
        <w:tc>
          <w:tcPr>
            <w:tcW w:w="1060" w:type="dxa"/>
            <w:tcBorders/>
            <w:vAlign w:val="center"/>
          </w:tcPr>
          <w:p>
            <w:pPr>
              <w:jc w:val="right"/>
            </w:pPr>
            <w:r>
              <w:rPr>
                <w:rFonts w:ascii="宋体" w:eastAsia="宋体" w:hAnsi="宋体" w:cs="宋体"/>
                <w:b/>
                <w:i w:val="0"/>
                <w:color w:val="000000"/>
                <w:sz w:val="14"/>
              </w:rPr>
              <w:t xml:space="preserve">3,463.43</w:t>
            </w:r>
          </w:p>
        </w:tc>
        <w:tc>
          <w:tcPr>
            <w:tcW w:w="1060" w:type="dxa"/>
            <w:tcBorders/>
            <w:vAlign w:val="center"/>
          </w:tcPr>
          <w:p>
            <w:pPr>
              <w:jc w:val="right"/>
            </w:pPr>
            <w:r>
              <w:rPr>
                <w:rFonts w:ascii="宋体" w:eastAsia="宋体" w:hAnsi="宋体" w:cs="宋体"/>
                <w:b/>
                <w:i w:val="0"/>
                <w:color w:val="000000"/>
                <w:sz w:val="14"/>
              </w:rPr>
              <w:t xml:space="preserve">16,134.85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19,122.42</w:t>
            </w:r>
          </w:p>
        </w:tc>
        <w:tc>
          <w:tcPr>
            <w:tcW w:w="1060" w:type="dxa"/>
            <w:tcBorders/>
            <w:vAlign w:val="center"/>
          </w:tcPr>
          <w:p>
            <w:pPr>
              <w:jc w:val="right"/>
            </w:pPr>
            <w:r>
              <w:rPr>
                <w:rFonts w:ascii="宋体" w:eastAsia="宋体" w:hAnsi="宋体" w:cs="宋体"/>
                <w:b w:val="0"/>
                <w:i w:val="0"/>
                <w:color w:val="000000"/>
                <w:sz w:val="14"/>
              </w:rPr>
              <w:t xml:space="preserve">2,987.57</w:t>
            </w:r>
          </w:p>
        </w:tc>
        <w:tc>
          <w:tcPr>
            <w:tcW w:w="1060" w:type="dxa"/>
            <w:tcBorders/>
            <w:vAlign w:val="center"/>
          </w:tcPr>
          <w:p>
            <w:pPr>
              <w:jc w:val="right"/>
            </w:pPr>
            <w:r>
              <w:rPr>
                <w:rFonts w:ascii="宋体" w:eastAsia="宋体" w:hAnsi="宋体" w:cs="宋体"/>
                <w:b w:val="0"/>
                <w:i w:val="0"/>
                <w:color w:val="000000"/>
                <w:sz w:val="14"/>
              </w:rPr>
              <w:t xml:space="preserve">16,134.85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19,122.42</w:t>
            </w:r>
          </w:p>
        </w:tc>
        <w:tc>
          <w:tcPr>
            <w:tcW w:w="1060" w:type="dxa"/>
            <w:tcBorders/>
            <w:vAlign w:val="center"/>
          </w:tcPr>
          <w:p>
            <w:pPr>
              <w:jc w:val="right"/>
            </w:pPr>
            <w:r>
              <w:rPr>
                <w:rFonts w:ascii="宋体" w:eastAsia="宋体" w:hAnsi="宋体" w:cs="宋体"/>
                <w:b w:val="0"/>
                <w:i w:val="0"/>
                <w:color w:val="000000"/>
                <w:sz w:val="14"/>
              </w:rPr>
              <w:t xml:space="preserve">2,987.57</w:t>
            </w:r>
          </w:p>
        </w:tc>
        <w:tc>
          <w:tcPr>
            <w:tcW w:w="1060" w:type="dxa"/>
            <w:tcBorders/>
            <w:vAlign w:val="center"/>
          </w:tcPr>
          <w:p>
            <w:pPr>
              <w:jc w:val="right"/>
            </w:pPr>
            <w:r>
              <w:rPr>
                <w:rFonts w:ascii="宋体" w:eastAsia="宋体" w:hAnsi="宋体" w:cs="宋体"/>
                <w:b w:val="0"/>
                <w:i w:val="0"/>
                <w:color w:val="000000"/>
                <w:sz w:val="14"/>
              </w:rPr>
              <w:t xml:space="preserve">16,134.85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2010303</w:t>
            </w:r>
          </w:p>
        </w:tc>
        <w:tc>
          <w:tcPr>
            <w:tcW w:w="3440" w:type="dxa"/>
            <w:tcBorders/>
            <w:vAlign w:val="center"/>
          </w:tcPr>
          <w:p>
            <w:pPr>
              <w:jc w:val="left"/>
            </w:pPr>
            <w:r>
              <w:rPr>
                <w:rFonts w:ascii="宋体" w:eastAsia="宋体" w:hAnsi="宋体" w:cs="宋体"/>
                <w:b w:val="0"/>
                <w:i w:val="0"/>
                <w:color w:val="000000"/>
                <w:sz w:val="14"/>
              </w:rPr>
              <w:t xml:space="preserve">机关服务</w:t>
            </w:r>
          </w:p>
        </w:tc>
        <w:tc>
          <w:tcPr>
            <w:tcW w:w="1060" w:type="dxa"/>
            <w:tcBorders/>
            <w:vAlign w:val="center"/>
          </w:tcPr>
          <w:p>
            <w:pPr>
              <w:jc w:val="right"/>
            </w:pPr>
            <w:r>
              <w:rPr>
                <w:rFonts w:ascii="宋体" w:eastAsia="宋体" w:hAnsi="宋体" w:cs="宋体"/>
                <w:b w:val="0"/>
                <w:i w:val="0"/>
                <w:color w:val="000000"/>
                <w:sz w:val="14"/>
              </w:rPr>
              <w:t xml:space="preserve">19,122.42</w:t>
            </w:r>
          </w:p>
        </w:tc>
        <w:tc>
          <w:tcPr>
            <w:tcW w:w="1060" w:type="dxa"/>
            <w:tcBorders/>
            <w:vAlign w:val="center"/>
          </w:tcPr>
          <w:p>
            <w:pPr>
              <w:jc w:val="right"/>
            </w:pPr>
            <w:r>
              <w:rPr>
                <w:rFonts w:ascii="宋体" w:eastAsia="宋体" w:hAnsi="宋体" w:cs="宋体"/>
                <w:b w:val="0"/>
                <w:i w:val="0"/>
                <w:color w:val="000000"/>
                <w:sz w:val="14"/>
              </w:rPr>
              <w:t xml:space="preserve">2,987.57</w:t>
            </w:r>
          </w:p>
        </w:tc>
        <w:tc>
          <w:tcPr>
            <w:tcW w:w="1060" w:type="dxa"/>
            <w:tcBorders/>
            <w:vAlign w:val="center"/>
          </w:tcPr>
          <w:p>
            <w:pPr>
              <w:jc w:val="right"/>
            </w:pPr>
            <w:r>
              <w:rPr>
                <w:rFonts w:ascii="宋体" w:eastAsia="宋体" w:hAnsi="宋体" w:cs="宋体"/>
                <w:b w:val="0"/>
                <w:i w:val="0"/>
                <w:color w:val="000000"/>
                <w:sz w:val="14"/>
              </w:rPr>
              <w:t xml:space="preserve">16,134.85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272.37</w:t>
            </w:r>
          </w:p>
        </w:tc>
        <w:tc>
          <w:tcPr>
            <w:tcW w:w="1060" w:type="dxa"/>
            <w:tcBorders/>
            <w:vAlign w:val="center"/>
          </w:tcPr>
          <w:p>
            <w:pPr>
              <w:jc w:val="right"/>
            </w:pPr>
            <w:r>
              <w:rPr>
                <w:rFonts w:ascii="宋体" w:eastAsia="宋体" w:hAnsi="宋体" w:cs="宋体"/>
                <w:b w:val="0"/>
                <w:i w:val="0"/>
                <w:color w:val="000000"/>
                <w:sz w:val="14"/>
              </w:rPr>
              <w:t xml:space="preserve">272.37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219.74</w:t>
            </w:r>
          </w:p>
        </w:tc>
        <w:tc>
          <w:tcPr>
            <w:tcW w:w="1060" w:type="dxa"/>
            <w:tcBorders/>
            <w:vAlign w:val="center"/>
          </w:tcPr>
          <w:p>
            <w:pPr>
              <w:jc w:val="right"/>
            </w:pPr>
            <w:r>
              <w:rPr>
                <w:rFonts w:ascii="宋体" w:eastAsia="宋体" w:hAnsi="宋体" w:cs="宋体"/>
                <w:b w:val="0"/>
                <w:i w:val="0"/>
                <w:color w:val="000000"/>
                <w:sz w:val="14"/>
              </w:rPr>
              <w:t xml:space="preserve">219.74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59.29</w:t>
            </w:r>
          </w:p>
        </w:tc>
        <w:tc>
          <w:tcPr>
            <w:tcW w:w="1060" w:type="dxa"/>
            <w:tcBorders/>
            <w:vAlign w:val="center"/>
          </w:tcPr>
          <w:p>
            <w:pPr>
              <w:jc w:val="right"/>
            </w:pPr>
            <w:r>
              <w:rPr>
                <w:rFonts w:ascii="宋体" w:eastAsia="宋体" w:hAnsi="宋体" w:cs="宋体"/>
                <w:b w:val="0"/>
                <w:i w:val="0"/>
                <w:color w:val="000000"/>
                <w:sz w:val="14"/>
              </w:rPr>
              <w:t xml:space="preserve">59.29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138.26</w:t>
            </w:r>
          </w:p>
        </w:tc>
        <w:tc>
          <w:tcPr>
            <w:tcW w:w="1060" w:type="dxa"/>
            <w:tcBorders/>
            <w:vAlign w:val="center"/>
          </w:tcPr>
          <w:p>
            <w:pPr>
              <w:jc w:val="right"/>
            </w:pPr>
            <w:r>
              <w:rPr>
                <w:rFonts w:ascii="宋体" w:eastAsia="宋体" w:hAnsi="宋体" w:cs="宋体"/>
                <w:b w:val="0"/>
                <w:i w:val="0"/>
                <w:color w:val="000000"/>
                <w:sz w:val="14"/>
              </w:rPr>
              <w:t xml:space="preserve">138.26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22.19</w:t>
            </w:r>
          </w:p>
        </w:tc>
        <w:tc>
          <w:tcPr>
            <w:tcW w:w="1060" w:type="dxa"/>
            <w:tcBorders/>
            <w:vAlign w:val="center"/>
          </w:tcPr>
          <w:p>
            <w:pPr>
              <w:jc w:val="right"/>
            </w:pPr>
            <w:r>
              <w:rPr>
                <w:rFonts w:ascii="宋体" w:eastAsia="宋体" w:hAnsi="宋体" w:cs="宋体"/>
                <w:b w:val="0"/>
                <w:i w:val="0"/>
                <w:color w:val="000000"/>
                <w:sz w:val="14"/>
              </w:rPr>
              <w:t xml:space="preserve">22.19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52.63</w:t>
            </w:r>
          </w:p>
        </w:tc>
        <w:tc>
          <w:tcPr>
            <w:tcW w:w="1060" w:type="dxa"/>
            <w:tcBorders/>
            <w:vAlign w:val="center"/>
          </w:tcPr>
          <w:p>
            <w:pPr>
              <w:jc w:val="right"/>
            </w:pPr>
            <w:r>
              <w:rPr>
                <w:rFonts w:ascii="宋体" w:eastAsia="宋体" w:hAnsi="宋体" w:cs="宋体"/>
                <w:b w:val="0"/>
                <w:i w:val="0"/>
                <w:color w:val="000000"/>
                <w:sz w:val="14"/>
              </w:rPr>
              <w:t xml:space="preserve">52.63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52.63</w:t>
            </w:r>
          </w:p>
        </w:tc>
        <w:tc>
          <w:tcPr>
            <w:tcW w:w="1060" w:type="dxa"/>
            <w:tcBorders/>
            <w:vAlign w:val="center"/>
          </w:tcPr>
          <w:p>
            <w:pPr>
              <w:jc w:val="right"/>
            </w:pPr>
            <w:r>
              <w:rPr>
                <w:rFonts w:ascii="宋体" w:eastAsia="宋体" w:hAnsi="宋体" w:cs="宋体"/>
                <w:b w:val="0"/>
                <w:i w:val="0"/>
                <w:color w:val="000000"/>
                <w:sz w:val="14"/>
              </w:rPr>
              <w:t xml:space="preserve">52.63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58.29</w:t>
            </w:r>
          </w:p>
        </w:tc>
        <w:tc>
          <w:tcPr>
            <w:tcW w:w="1060" w:type="dxa"/>
            <w:tcBorders/>
            <w:vAlign w:val="center"/>
          </w:tcPr>
          <w:p>
            <w:pPr>
              <w:jc w:val="right"/>
            </w:pPr>
            <w:r>
              <w:rPr>
                <w:rFonts w:ascii="宋体" w:eastAsia="宋体" w:hAnsi="宋体" w:cs="宋体"/>
                <w:b w:val="0"/>
                <w:i w:val="0"/>
                <w:color w:val="000000"/>
                <w:sz w:val="14"/>
              </w:rPr>
              <w:t xml:space="preserve">58.29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58.29</w:t>
            </w:r>
          </w:p>
        </w:tc>
        <w:tc>
          <w:tcPr>
            <w:tcW w:w="1060" w:type="dxa"/>
            <w:tcBorders/>
            <w:vAlign w:val="center"/>
          </w:tcPr>
          <w:p>
            <w:pPr>
              <w:jc w:val="right"/>
            </w:pPr>
            <w:r>
              <w:rPr>
                <w:rFonts w:ascii="宋体" w:eastAsia="宋体" w:hAnsi="宋体" w:cs="宋体"/>
                <w:b w:val="0"/>
                <w:i w:val="0"/>
                <w:color w:val="000000"/>
                <w:sz w:val="14"/>
              </w:rPr>
              <w:t xml:space="preserve">58.29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58.29</w:t>
            </w:r>
          </w:p>
        </w:tc>
        <w:tc>
          <w:tcPr>
            <w:tcW w:w="1060" w:type="dxa"/>
            <w:tcBorders/>
            <w:vAlign w:val="center"/>
          </w:tcPr>
          <w:p>
            <w:pPr>
              <w:jc w:val="right"/>
            </w:pPr>
            <w:r>
              <w:rPr>
                <w:rFonts w:ascii="宋体" w:eastAsia="宋体" w:hAnsi="宋体" w:cs="宋体"/>
                <w:b w:val="0"/>
                <w:i w:val="0"/>
                <w:color w:val="000000"/>
                <w:sz w:val="14"/>
              </w:rPr>
              <w:t xml:space="preserve">58.29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145.19</w:t>
            </w:r>
          </w:p>
        </w:tc>
        <w:tc>
          <w:tcPr>
            <w:tcW w:w="1060" w:type="dxa"/>
            <w:tcBorders/>
            <w:vAlign w:val="center"/>
          </w:tcPr>
          <w:p>
            <w:pPr>
              <w:jc w:val="right"/>
            </w:pPr>
            <w:r>
              <w:rPr>
                <w:rFonts w:ascii="宋体" w:eastAsia="宋体" w:hAnsi="宋体" w:cs="宋体"/>
                <w:b w:val="0"/>
                <w:i w:val="0"/>
                <w:color w:val="000000"/>
                <w:sz w:val="14"/>
              </w:rPr>
              <w:t xml:space="preserve">145.19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145.19</w:t>
            </w:r>
          </w:p>
        </w:tc>
        <w:tc>
          <w:tcPr>
            <w:tcW w:w="1060" w:type="dxa"/>
            <w:tcBorders/>
            <w:vAlign w:val="center"/>
          </w:tcPr>
          <w:p>
            <w:pPr>
              <w:jc w:val="right"/>
            </w:pPr>
            <w:r>
              <w:rPr>
                <w:rFonts w:ascii="宋体" w:eastAsia="宋体" w:hAnsi="宋体" w:cs="宋体"/>
                <w:b w:val="0"/>
                <w:i w:val="0"/>
                <w:color w:val="000000"/>
                <w:sz w:val="14"/>
              </w:rPr>
              <w:t xml:space="preserve">145.19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145.19</w:t>
            </w:r>
          </w:p>
        </w:tc>
        <w:tc>
          <w:tcPr>
            <w:tcW w:w="1060" w:type="dxa"/>
            <w:tcBorders/>
            <w:vAlign w:val="center"/>
          </w:tcPr>
          <w:p>
            <w:pPr>
              <w:jc w:val="right"/>
            </w:pPr>
            <w:r>
              <w:rPr>
                <w:rFonts w:ascii="宋体" w:eastAsia="宋体" w:hAnsi="宋体" w:cs="宋体"/>
                <w:b w:val="0"/>
                <w:i w:val="0"/>
                <w:color w:val="000000"/>
                <w:sz w:val="14"/>
              </w:rPr>
              <w:t xml:space="preserve">145.19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部门：辽宁省沈阳市浑南区机关事务保障中心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19,598.28</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19,122.42</w:t>
            </w:r>
          </w:p>
        </w:tc>
        <w:tc>
          <w:tcPr>
            <w:tcW w:w="1100" w:type="dxa"/>
            <w:tcBorders/>
            <w:vAlign w:val="center"/>
          </w:tcPr>
          <w:p>
            <w:pPr>
              <w:jc w:val="right"/>
            </w:pPr>
            <w:r>
              <w:rPr>
                <w:rFonts w:ascii="宋体" w:eastAsia="宋体" w:hAnsi="宋体" w:cs="宋体"/>
                <w:b w:val="0"/>
                <w:i w:val="0"/>
                <w:color w:val="000000"/>
                <w:sz w:val="14"/>
              </w:rPr>
              <w:t xml:space="preserve">19,122.42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272.38</w:t>
            </w:r>
          </w:p>
        </w:tc>
        <w:tc>
          <w:tcPr>
            <w:tcW w:w="1100" w:type="dxa"/>
            <w:tcBorders/>
            <w:vAlign w:val="center"/>
          </w:tcPr>
          <w:p>
            <w:pPr>
              <w:jc w:val="right"/>
            </w:pPr>
            <w:r>
              <w:rPr>
                <w:rFonts w:ascii="宋体" w:eastAsia="宋体" w:hAnsi="宋体" w:cs="宋体"/>
                <w:b w:val="0"/>
                <w:i w:val="0"/>
                <w:color w:val="000000"/>
                <w:sz w:val="14"/>
              </w:rPr>
              <w:t xml:space="preserve">272.38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58.29</w:t>
            </w:r>
          </w:p>
        </w:tc>
        <w:tc>
          <w:tcPr>
            <w:tcW w:w="1100" w:type="dxa"/>
            <w:tcBorders/>
            <w:vAlign w:val="center"/>
          </w:tcPr>
          <w:p>
            <w:pPr>
              <w:jc w:val="right"/>
            </w:pPr>
            <w:r>
              <w:rPr>
                <w:rFonts w:ascii="宋体" w:eastAsia="宋体" w:hAnsi="宋体" w:cs="宋体"/>
                <w:b w:val="0"/>
                <w:i w:val="0"/>
                <w:color w:val="000000"/>
                <w:sz w:val="14"/>
              </w:rPr>
              <w:t xml:space="preserve">58.29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145.19</w:t>
            </w:r>
          </w:p>
        </w:tc>
        <w:tc>
          <w:tcPr>
            <w:tcW w:w="1100" w:type="dxa"/>
            <w:tcBorders/>
            <w:vAlign w:val="center"/>
          </w:tcPr>
          <w:p>
            <w:pPr>
              <w:jc w:val="right"/>
            </w:pPr>
            <w:r>
              <w:rPr>
                <w:rFonts w:ascii="宋体" w:eastAsia="宋体" w:hAnsi="宋体" w:cs="宋体"/>
                <w:b w:val="0"/>
                <w:i w:val="0"/>
                <w:color w:val="000000"/>
                <w:sz w:val="14"/>
              </w:rPr>
              <w:t xml:space="preserve">145.19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19,598.28</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19,598.28</w:t>
            </w:r>
          </w:p>
        </w:tc>
        <w:tc>
          <w:tcPr>
            <w:tcW w:w="1100" w:type="dxa"/>
            <w:tcBorders/>
            <w:vAlign w:val="center"/>
          </w:tcPr>
          <w:p>
            <w:pPr>
              <w:jc w:val="right"/>
            </w:pPr>
            <w:r>
              <w:rPr>
                <w:rFonts w:ascii="宋体" w:eastAsia="宋体" w:hAnsi="宋体" w:cs="宋体"/>
                <w:b w:val="0"/>
                <w:i w:val="0"/>
                <w:color w:val="000000"/>
                <w:sz w:val="14"/>
              </w:rPr>
              <w:t xml:space="preserve">19,598.28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19,598.28</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19,598.28</w:t>
            </w:r>
          </w:p>
        </w:tc>
        <w:tc>
          <w:tcPr>
            <w:tcW w:w="1100" w:type="dxa"/>
            <w:tcBorders/>
            <w:vAlign w:val="center"/>
          </w:tcPr>
          <w:p>
            <w:pPr>
              <w:jc w:val="right"/>
            </w:pPr>
            <w:r>
              <w:rPr>
                <w:rFonts w:ascii="宋体" w:eastAsia="宋体" w:hAnsi="宋体" w:cs="宋体"/>
                <w:b w:val="0"/>
                <w:i w:val="0"/>
                <w:color w:val="000000"/>
                <w:sz w:val="14"/>
              </w:rPr>
              <w:t xml:space="preserve">19,598.28</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部门：辽宁省沈阳市浑南区机关事务保障中心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19,598.28</w:t>
            </w:r>
          </w:p>
        </w:tc>
        <w:tc>
          <w:tcPr>
            <w:tcW w:w="1780" w:type="dxa"/>
            <w:tcBorders/>
            <w:vAlign w:val="center"/>
          </w:tcPr>
          <w:p>
            <w:pPr>
              <w:jc w:val="right"/>
            </w:pPr>
            <w:r>
              <w:rPr>
                <w:rFonts w:ascii="宋体" w:eastAsia="宋体" w:hAnsi="宋体" w:cs="宋体"/>
                <w:b/>
                <w:i w:val="0"/>
                <w:color w:val="000000"/>
                <w:sz w:val="18"/>
              </w:rPr>
              <w:t xml:space="preserve">3,463.43</w:t>
            </w:r>
          </w:p>
        </w:tc>
        <w:tc>
          <w:tcPr>
            <w:tcW w:w="1772" w:type="dxa"/>
            <w:tcBorders/>
            <w:vAlign w:val="center"/>
          </w:tcPr>
          <w:p>
            <w:pPr>
              <w:jc w:val="right"/>
            </w:pPr>
            <w:r>
              <w:rPr>
                <w:rFonts w:ascii="宋体" w:eastAsia="宋体" w:hAnsi="宋体" w:cs="宋体"/>
                <w:b/>
                <w:i w:val="0"/>
                <w:color w:val="000000"/>
                <w:sz w:val="18"/>
              </w:rPr>
              <w:t xml:space="preserve">16,134.85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19,122.42</w:t>
            </w:r>
          </w:p>
        </w:tc>
        <w:tc>
          <w:tcPr>
            <w:tcW w:w="1780" w:type="dxa"/>
            <w:tcBorders/>
            <w:vAlign w:val="center"/>
          </w:tcPr>
          <w:p>
            <w:pPr>
              <w:jc w:val="right"/>
            </w:pPr>
            <w:r>
              <w:rPr>
                <w:rFonts w:ascii="宋体" w:eastAsia="宋体" w:hAnsi="宋体" w:cs="宋体"/>
                <w:b w:val="0"/>
                <w:i w:val="0"/>
                <w:color w:val="000000"/>
                <w:sz w:val="18"/>
              </w:rPr>
              <w:t xml:space="preserve">2,987.57</w:t>
            </w:r>
          </w:p>
        </w:tc>
        <w:tc>
          <w:tcPr>
            <w:tcW w:w="1772" w:type="dxa"/>
            <w:tcBorders/>
            <w:vAlign w:val="center"/>
          </w:tcPr>
          <w:p>
            <w:pPr>
              <w:jc w:val="right"/>
            </w:pPr>
            <w:r>
              <w:rPr>
                <w:rFonts w:ascii="宋体" w:eastAsia="宋体" w:hAnsi="宋体" w:cs="宋体"/>
                <w:b w:val="0"/>
                <w:i w:val="0"/>
                <w:color w:val="000000"/>
                <w:sz w:val="18"/>
              </w:rPr>
              <w:t xml:space="preserve">16,134.85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19,122.42</w:t>
            </w:r>
          </w:p>
        </w:tc>
        <w:tc>
          <w:tcPr>
            <w:tcW w:w="1780" w:type="dxa"/>
            <w:tcBorders/>
            <w:vAlign w:val="center"/>
          </w:tcPr>
          <w:p>
            <w:pPr>
              <w:jc w:val="right"/>
            </w:pPr>
            <w:r>
              <w:rPr>
                <w:rFonts w:ascii="宋体" w:eastAsia="宋体" w:hAnsi="宋体" w:cs="宋体"/>
                <w:b w:val="0"/>
                <w:i w:val="0"/>
                <w:color w:val="000000"/>
                <w:sz w:val="18"/>
              </w:rPr>
              <w:t xml:space="preserve">2,987.57</w:t>
            </w:r>
          </w:p>
        </w:tc>
        <w:tc>
          <w:tcPr>
            <w:tcW w:w="1772" w:type="dxa"/>
            <w:tcBorders/>
            <w:vAlign w:val="center"/>
          </w:tcPr>
          <w:p>
            <w:pPr>
              <w:jc w:val="right"/>
            </w:pPr>
            <w:r>
              <w:rPr>
                <w:rFonts w:ascii="宋体" w:eastAsia="宋体" w:hAnsi="宋体" w:cs="宋体"/>
                <w:b w:val="0"/>
                <w:i w:val="0"/>
                <w:color w:val="000000"/>
                <w:sz w:val="18"/>
              </w:rPr>
              <w:t xml:space="preserve">16,134.85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2010303</w:t>
            </w:r>
          </w:p>
        </w:tc>
        <w:tc>
          <w:tcPr>
            <w:tcW w:w="4300" w:type="dxa"/>
            <w:tcBorders/>
            <w:vAlign w:val="center"/>
          </w:tcPr>
          <w:p>
            <w:pPr>
              <w:jc w:val="left"/>
            </w:pPr>
            <w:r>
              <w:rPr>
                <w:rFonts w:ascii="宋体" w:eastAsia="宋体" w:hAnsi="宋体" w:cs="宋体"/>
                <w:b w:val="0"/>
                <w:i w:val="0"/>
                <w:color w:val="000000"/>
                <w:sz w:val="18"/>
              </w:rPr>
              <w:t xml:space="preserve">机关服务</w:t>
            </w:r>
          </w:p>
        </w:tc>
        <w:tc>
          <w:tcPr>
            <w:tcW w:w="1780" w:type="dxa"/>
            <w:tcBorders/>
            <w:vAlign w:val="center"/>
          </w:tcPr>
          <w:p>
            <w:pPr>
              <w:jc w:val="right"/>
            </w:pPr>
            <w:r>
              <w:rPr>
                <w:rFonts w:ascii="宋体" w:eastAsia="宋体" w:hAnsi="宋体" w:cs="宋体"/>
                <w:b w:val="0"/>
                <w:i w:val="0"/>
                <w:color w:val="000000"/>
                <w:sz w:val="18"/>
              </w:rPr>
              <w:t xml:space="preserve">19,122.42</w:t>
            </w:r>
          </w:p>
        </w:tc>
        <w:tc>
          <w:tcPr>
            <w:tcW w:w="1780" w:type="dxa"/>
            <w:tcBorders/>
            <w:vAlign w:val="center"/>
          </w:tcPr>
          <w:p>
            <w:pPr>
              <w:jc w:val="right"/>
            </w:pPr>
            <w:r>
              <w:rPr>
                <w:rFonts w:ascii="宋体" w:eastAsia="宋体" w:hAnsi="宋体" w:cs="宋体"/>
                <w:b w:val="0"/>
                <w:i w:val="0"/>
                <w:color w:val="000000"/>
                <w:sz w:val="18"/>
              </w:rPr>
              <w:t xml:space="preserve">2,987.57</w:t>
            </w:r>
          </w:p>
        </w:tc>
        <w:tc>
          <w:tcPr>
            <w:tcW w:w="1772" w:type="dxa"/>
            <w:tcBorders/>
            <w:vAlign w:val="center"/>
          </w:tcPr>
          <w:p>
            <w:pPr>
              <w:jc w:val="right"/>
            </w:pPr>
            <w:r>
              <w:rPr>
                <w:rFonts w:ascii="宋体" w:eastAsia="宋体" w:hAnsi="宋体" w:cs="宋体"/>
                <w:b w:val="0"/>
                <w:i w:val="0"/>
                <w:color w:val="000000"/>
                <w:sz w:val="18"/>
              </w:rPr>
              <w:t xml:space="preserve">16,134.85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272.37</w:t>
            </w:r>
          </w:p>
        </w:tc>
        <w:tc>
          <w:tcPr>
            <w:tcW w:w="1780" w:type="dxa"/>
            <w:tcBorders/>
            <w:vAlign w:val="center"/>
          </w:tcPr>
          <w:p>
            <w:pPr>
              <w:jc w:val="right"/>
            </w:pPr>
            <w:r>
              <w:rPr>
                <w:rFonts w:ascii="宋体" w:eastAsia="宋体" w:hAnsi="宋体" w:cs="宋体"/>
                <w:b w:val="0"/>
                <w:i w:val="0"/>
                <w:color w:val="000000"/>
                <w:sz w:val="18"/>
              </w:rPr>
              <w:t xml:space="preserve">272.37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219.74</w:t>
            </w:r>
          </w:p>
        </w:tc>
        <w:tc>
          <w:tcPr>
            <w:tcW w:w="1780" w:type="dxa"/>
            <w:tcBorders/>
            <w:vAlign w:val="center"/>
          </w:tcPr>
          <w:p>
            <w:pPr>
              <w:jc w:val="right"/>
            </w:pPr>
            <w:r>
              <w:rPr>
                <w:rFonts w:ascii="宋体" w:eastAsia="宋体" w:hAnsi="宋体" w:cs="宋体"/>
                <w:b w:val="0"/>
                <w:i w:val="0"/>
                <w:color w:val="000000"/>
                <w:sz w:val="18"/>
              </w:rPr>
              <w:t xml:space="preserve">219.74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59.29</w:t>
            </w:r>
          </w:p>
        </w:tc>
        <w:tc>
          <w:tcPr>
            <w:tcW w:w="1780" w:type="dxa"/>
            <w:tcBorders/>
            <w:vAlign w:val="center"/>
          </w:tcPr>
          <w:p>
            <w:pPr>
              <w:jc w:val="right"/>
            </w:pPr>
            <w:r>
              <w:rPr>
                <w:rFonts w:ascii="宋体" w:eastAsia="宋体" w:hAnsi="宋体" w:cs="宋体"/>
                <w:b w:val="0"/>
                <w:i w:val="0"/>
                <w:color w:val="000000"/>
                <w:sz w:val="18"/>
              </w:rPr>
              <w:t xml:space="preserve">59.29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138.26</w:t>
            </w:r>
          </w:p>
        </w:tc>
        <w:tc>
          <w:tcPr>
            <w:tcW w:w="1780" w:type="dxa"/>
            <w:tcBorders/>
            <w:vAlign w:val="center"/>
          </w:tcPr>
          <w:p>
            <w:pPr>
              <w:jc w:val="right"/>
            </w:pPr>
            <w:r>
              <w:rPr>
                <w:rFonts w:ascii="宋体" w:eastAsia="宋体" w:hAnsi="宋体" w:cs="宋体"/>
                <w:b w:val="0"/>
                <w:i w:val="0"/>
                <w:color w:val="000000"/>
                <w:sz w:val="18"/>
              </w:rPr>
              <w:t xml:space="preserve">138.26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22.19</w:t>
            </w:r>
          </w:p>
        </w:tc>
        <w:tc>
          <w:tcPr>
            <w:tcW w:w="1780" w:type="dxa"/>
            <w:tcBorders/>
            <w:vAlign w:val="center"/>
          </w:tcPr>
          <w:p>
            <w:pPr>
              <w:jc w:val="right"/>
            </w:pPr>
            <w:r>
              <w:rPr>
                <w:rFonts w:ascii="宋体" w:eastAsia="宋体" w:hAnsi="宋体" w:cs="宋体"/>
                <w:b w:val="0"/>
                <w:i w:val="0"/>
                <w:color w:val="000000"/>
                <w:sz w:val="18"/>
              </w:rPr>
              <w:t xml:space="preserve">22.19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52.63</w:t>
            </w:r>
          </w:p>
        </w:tc>
        <w:tc>
          <w:tcPr>
            <w:tcW w:w="1780" w:type="dxa"/>
            <w:tcBorders/>
            <w:vAlign w:val="center"/>
          </w:tcPr>
          <w:p>
            <w:pPr>
              <w:jc w:val="right"/>
            </w:pPr>
            <w:r>
              <w:rPr>
                <w:rFonts w:ascii="宋体" w:eastAsia="宋体" w:hAnsi="宋体" w:cs="宋体"/>
                <w:b w:val="0"/>
                <w:i w:val="0"/>
                <w:color w:val="000000"/>
                <w:sz w:val="18"/>
              </w:rPr>
              <w:t xml:space="preserve">52.63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52.63</w:t>
            </w:r>
          </w:p>
        </w:tc>
        <w:tc>
          <w:tcPr>
            <w:tcW w:w="1780" w:type="dxa"/>
            <w:tcBorders/>
            <w:vAlign w:val="center"/>
          </w:tcPr>
          <w:p>
            <w:pPr>
              <w:jc w:val="right"/>
            </w:pPr>
            <w:r>
              <w:rPr>
                <w:rFonts w:ascii="宋体" w:eastAsia="宋体" w:hAnsi="宋体" w:cs="宋体"/>
                <w:b w:val="0"/>
                <w:i w:val="0"/>
                <w:color w:val="000000"/>
                <w:sz w:val="18"/>
              </w:rPr>
              <w:t xml:space="preserve">52.63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58.29</w:t>
            </w:r>
          </w:p>
        </w:tc>
        <w:tc>
          <w:tcPr>
            <w:tcW w:w="1780" w:type="dxa"/>
            <w:tcBorders/>
            <w:vAlign w:val="center"/>
          </w:tcPr>
          <w:p>
            <w:pPr>
              <w:jc w:val="right"/>
            </w:pPr>
            <w:r>
              <w:rPr>
                <w:rFonts w:ascii="宋体" w:eastAsia="宋体" w:hAnsi="宋体" w:cs="宋体"/>
                <w:b w:val="0"/>
                <w:i w:val="0"/>
                <w:color w:val="000000"/>
                <w:sz w:val="18"/>
              </w:rPr>
              <w:t xml:space="preserve">58.29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58.29</w:t>
            </w:r>
          </w:p>
        </w:tc>
        <w:tc>
          <w:tcPr>
            <w:tcW w:w="1780" w:type="dxa"/>
            <w:tcBorders/>
            <w:vAlign w:val="center"/>
          </w:tcPr>
          <w:p>
            <w:pPr>
              <w:jc w:val="right"/>
            </w:pPr>
            <w:r>
              <w:rPr>
                <w:rFonts w:ascii="宋体" w:eastAsia="宋体" w:hAnsi="宋体" w:cs="宋体"/>
                <w:b w:val="0"/>
                <w:i w:val="0"/>
                <w:color w:val="000000"/>
                <w:sz w:val="18"/>
              </w:rPr>
              <w:t xml:space="preserve">58.29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58.29</w:t>
            </w:r>
          </w:p>
        </w:tc>
        <w:tc>
          <w:tcPr>
            <w:tcW w:w="1780" w:type="dxa"/>
            <w:tcBorders/>
            <w:vAlign w:val="center"/>
          </w:tcPr>
          <w:p>
            <w:pPr>
              <w:jc w:val="right"/>
            </w:pPr>
            <w:r>
              <w:rPr>
                <w:rFonts w:ascii="宋体" w:eastAsia="宋体" w:hAnsi="宋体" w:cs="宋体"/>
                <w:b w:val="0"/>
                <w:i w:val="0"/>
                <w:color w:val="000000"/>
                <w:sz w:val="18"/>
              </w:rPr>
              <w:t xml:space="preserve">58.29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145.19</w:t>
            </w:r>
          </w:p>
        </w:tc>
        <w:tc>
          <w:tcPr>
            <w:tcW w:w="1780" w:type="dxa"/>
            <w:tcBorders/>
            <w:vAlign w:val="center"/>
          </w:tcPr>
          <w:p>
            <w:pPr>
              <w:jc w:val="right"/>
            </w:pPr>
            <w:r>
              <w:rPr>
                <w:rFonts w:ascii="宋体" w:eastAsia="宋体" w:hAnsi="宋体" w:cs="宋体"/>
                <w:b w:val="0"/>
                <w:i w:val="0"/>
                <w:color w:val="000000"/>
                <w:sz w:val="18"/>
              </w:rPr>
              <w:t xml:space="preserve">145.19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145.19</w:t>
            </w:r>
          </w:p>
        </w:tc>
        <w:tc>
          <w:tcPr>
            <w:tcW w:w="1780" w:type="dxa"/>
            <w:tcBorders/>
            <w:vAlign w:val="center"/>
          </w:tcPr>
          <w:p>
            <w:pPr>
              <w:jc w:val="right"/>
            </w:pPr>
            <w:r>
              <w:rPr>
                <w:rFonts w:ascii="宋体" w:eastAsia="宋体" w:hAnsi="宋体" w:cs="宋体"/>
                <w:b w:val="0"/>
                <w:i w:val="0"/>
                <w:color w:val="000000"/>
                <w:sz w:val="18"/>
              </w:rPr>
              <w:t xml:space="preserve">145.19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145.19</w:t>
            </w:r>
          </w:p>
        </w:tc>
        <w:tc>
          <w:tcPr>
            <w:tcW w:w="1780" w:type="dxa"/>
            <w:tcBorders/>
            <w:vAlign w:val="center"/>
          </w:tcPr>
          <w:p>
            <w:pPr>
              <w:jc w:val="right"/>
            </w:pPr>
            <w:r>
              <w:rPr>
                <w:rFonts w:ascii="宋体" w:eastAsia="宋体" w:hAnsi="宋体" w:cs="宋体"/>
                <w:b w:val="0"/>
                <w:i w:val="0"/>
                <w:color w:val="000000"/>
                <w:sz w:val="18"/>
              </w:rPr>
              <w:t xml:space="preserve">145.19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部门：辽宁省沈阳市浑南区机关事务保障中心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1,310.37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2,028.45</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364.19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6.43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18.22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29.79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32.70</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498.54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74.20</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138.26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770.08</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22.19</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49.24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58.29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968.73</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3.01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0.25</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145.19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2.57</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124.61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0.12</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59.29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52.63</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12.68</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1.09</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0.81</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8.12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jc w:val="right"/>
            </w:pPr>
            <w:r>
              <w:rPr>
                <w:rFonts w:ascii="宋体" w:eastAsia="宋体" w:hAnsi="宋体" w:cs="宋体"/>
                <w:b w:val="0"/>
                <w:i w:val="0"/>
                <w:color w:val="000000"/>
                <w:sz w:val="14"/>
              </w:rPr>
              <w:t xml:space="preserve">144.87</w:t>
            </w: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1.93</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1,434.98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2,028.45</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部门：辽宁省沈阳市浑南区机关事务保障中心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jc w:val="right"/>
            </w:pPr>
            <w:r>
              <w:rPr>
                <w:rFonts w:ascii="宋体" w:eastAsia="宋体" w:hAnsi="宋体" w:cs="宋体"/>
                <w:b w:val="0"/>
                <w:i w:val="0"/>
                <w:color w:val="000000"/>
                <w:sz w:val="23"/>
              </w:rPr>
              <w:t xml:space="preserve">301.50</w:t>
            </w:r>
          </w:p>
        </w:tc>
        <w:tc>
          <w:tcPr>
            <w:tcW w:w="3092" w:type="dxa"/>
            <w:vAlign w:val="center"/>
          </w:tcPr>
          <w:p>
            <w:pPr>
              <w:jc w:val="right"/>
            </w:pPr>
            <w:r>
              <w:rPr>
                <w:rFonts w:ascii="宋体" w:eastAsia="宋体" w:hAnsi="宋体" w:cs="宋体"/>
                <w:b w:val="0"/>
                <w:i w:val="0"/>
                <w:color w:val="000000"/>
                <w:sz w:val="23"/>
              </w:rPr>
              <w:t xml:space="preserve">144.87</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301.50</w:t>
            </w:r>
          </w:p>
        </w:tc>
        <w:tc>
          <w:tcPr>
            <w:tcW w:w="3092" w:type="dxa"/>
            <w:tcBorders/>
            <w:vAlign w:val="center"/>
          </w:tcPr>
          <w:p>
            <w:pPr>
              <w:jc w:val="right"/>
            </w:pPr>
            <w:r>
              <w:rPr>
                <w:rFonts w:ascii="宋体" w:eastAsia="宋体" w:hAnsi="宋体" w:cs="宋体"/>
                <w:b w:val="0"/>
                <w:i w:val="0"/>
                <w:color w:val="000000"/>
                <w:sz w:val="23"/>
              </w:rPr>
              <w:t xml:space="preserve">144.87</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301.50</w:t>
            </w:r>
          </w:p>
        </w:tc>
        <w:tc>
          <w:tcPr>
            <w:tcW w:w="3092" w:type="dxa"/>
            <w:tcBorders/>
            <w:vAlign w:val="center"/>
          </w:tcPr>
          <w:p>
            <w:pPr>
              <w:jc w:val="right"/>
            </w:pPr>
            <w:r>
              <w:rPr>
                <w:rFonts w:ascii="宋体" w:eastAsia="宋体" w:hAnsi="宋体" w:cs="宋体"/>
                <w:b w:val="0"/>
                <w:i w:val="0"/>
                <w:color w:val="000000"/>
                <w:sz w:val="23"/>
              </w:rPr>
              <w:t xml:space="preserve">144.87</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部门：辽宁省沈阳市浑南区机关事务保障中心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部门：辽宁省沈阳市浑南区机关事务保障中心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032001沈阳市浑南区机关事务保障中心本级-210112000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4264.97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4264.97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45.74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45.74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998.84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998.84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436.13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436.13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1982.71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1982.7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进一步提升党政、机关事务的管理、保障和服务工作；保障行政事业单位房产管理工作；保障全区机关食堂的日常供餐工作；保障行政事业单位公务用车服务工作。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完成了党政、机关事务的管理、保障和服务工作；保障行政事业单位房产管理工作；保障全区机关食堂的日常供餐工作；保障行政事业单位公务用车服务工作。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设备利用率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后勤保障服务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职工群众满意率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服务职工群众内部工作机制建立情况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办公楼内设施维护费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244.64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30.58%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区机关大院、安姆大厦、新时代文明实践中心、检法大厦、生物医药、产业园，点位办公楼内供电、供暖、制冷、供水、排水、电梯等设施设备的正常检验检测、设施设备维修更换、日常保养等工作。各办公楼宇近3万余具灭火器年检，信安达公司供暖设备维护费用，保障上述点位楼宇正常运行，楼内员工正常办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区机关大院、安姆大厦、新时代文明实践中心、检法大厦、生物医药、产业园，点位办公楼内供电、供暖、制冷、供水、排水、电梯等设施设备的正常检验检测、设施设备维修更换、日常保养等工作。各办公楼宇近3万余具灭火器年检，信安达公司供暖设备维护费用，保障上述点位楼宇正常运行，楼内员工正常办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设施维护数量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设施设备维修购置验收合格率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保障仪器设备正常运行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34.0579541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工程项目及小型维修维护费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实际办公用房调整情况及需求，通过该项目的投入保障机关1号楼、2号楼、3号楼、安姆大厦、新综合楼、残艺中心等办公楼的日常维护，避免产生欠款，确保各单位的正常办公，办公用房得以充分利用，避免浪费办公面积.</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通过该项目的投入保障机关1号楼、2号楼、3号楼、安姆大厦、新综合楼、残艺中心等办公楼的日常维护，避免产生欠款，确保各单位的正常办公，办公用房得以充分利用，避免浪费办公面积.</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工程尾款支付完成率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建筑质量标准达标率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建设项目投入使用率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67.77%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该项目的投入保障雇员及合同制人员的个人补贴和办公经费。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保障了雇员及合同制人员的个人补贴和办公经费。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符合发放的人员比率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人民幸福指数提升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17.77708333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机关办公楼租赁费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12401.61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12401.61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完成2018年省委巡视组反馈意见，盘活区闲置国有资产，保障集中办公区各部门正常办公。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盘活区闲置国有资产，保障集中办公区各部门正常办公。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租借建筑数量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栋</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租金支付准确率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维护国家权益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提高硬件条件和场地房间设施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机关食堂煤气费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70.24%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中心管辖的机关食堂点位有所调整，该项目的投入有效保障了机关食堂顺利供餐。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该项目的投入有效保障了机关食堂顺利供餐。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资质通过率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质量检查频率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监测质量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生产效率提高率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8.02409639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机关食堂设备及维修费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食堂自2012年成立至今，仍部分延用原中央厨房遗留设备，陈旧老化现象较为严重，部分设备已失去维修价值，通过该项目的投入保障机关食堂正常供餐，并保障安姆、审批大厅等10个食堂计划增开的风味窗口设备投入，从而丰富了伙食调剂，为广大干部职工提供优质的就餐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通过该项目的投入，保障了机关食堂正常供餐，并保障安姆、审批大厅等10个食堂计划增开的风味窗口设备投入，从而丰富了伙食调剂，为广大干部职工提供优质的就餐服务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设备采购完成率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全年维保设备故障处理率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设备设施投入使用率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34.33333333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机关食堂运行费及杂费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中华人民共和国食品卫生法》、《生活饮用水卫生标准》及《二次供水设施卫生规范》等有关法律规范，为维护机关干部食品安全，杜绝食源性传染病尤其是食品中毒事件的发生，通过该项目的投入，结合中心工作的实际情况，将机关10个食堂及食品加工车间餐厨具卫生检测、食堂出水端水质检测、生活水箱清洗及检测工作列为全年的重点任务，确保机关食堂餐具合格，保障机关各食堂饮用水质量、烟道清洁，保障就餐机关干部食品安全和用餐健康。v根据《中华人民共和国食品卫生法》、《生活饮用水卫生标准》及《二次供水设施卫生规范》等有关法律规范，为维护机关干部食品安全，杜绝食源性传染病尤其是食品中毒事件的发生，通过该项目的投入，结合中心工作的实际情况，将机关10个食堂及食品加工车间餐厨具卫生检测、食堂出水端水质检测、生活水箱清洗及检测工作列为全年的重点任务，确保机关食堂餐具合格，保障机关各食堂饮用水质量、烟道清洁，保障就餐机关干部食品安全和用餐健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机关10个食堂及食品加工车间餐厨具卫生检测、食堂出水端水质检测、生活水箱清洗及检测工作列为全年的重点任务，确保机关食堂餐具合格，保障机关各食堂饮用水质量、烟道清洁，保障就餐机关干部食品安全和用餐健康。</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食品安全监督抽样检验数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食品抽检数批次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批次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食品卫生合格率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提高食品安全质量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提升食品安全状况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机关杂品费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86.11%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中心保障10家机关食堂的餐饮用品供应工作，保障全区30个机关及街道办事处点位（约32万平方米）的物业保洁类低值易耗品的供应。保障区机关大院、安姆大厦、新时代文明实践中心等点位办公楼内工程配件的供应。保障区机关大院公共会议室的会议用品、音响配件供应。保障区机关大院值班室等处的杂品供应。</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10家机关食堂的餐饮用品供应工作，保障全区30个机关及街道办事处点位（约32万平方米）的物业保洁类低值易耗品的供应。保障区机关大院、安姆大厦、新时代文明实践中心等点位办公楼内工程配件的供应。保障区机关大院公共会议室的会议用品、音响配件供应。保障区机关大院值班室等处的杂品供应。</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紧急采购响应率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采购物资价格波动率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缴纳残疾人就业保障金（债务科）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91.41%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《关于印发辽宁省残疾人就业保障金征收使用管理实施办法的通知》辽财非2016（415号）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保障了残疾人群体的权益。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保障全年重要保障期天数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符合发放的人员比率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人民幸福指数提升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节能工作经费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深入贯彻习近平新时代中国特色社会主义思想，助力我区实现碳达峰、碳中和，不断提高全区各公共机构节能意识，营造浓厚节能氛围，按照市节能办要求，每年都要召开节能培训、公共机构节能宣传周等活动，节能宣传及培训工作每年都会列为市节能办重点考核项目。按照沈阳市公共机构节能工作年度考核评价标准，包括公共机构能耗网络网络数据填报统计、节能改造、能耗数据会审、节约型机关创建、节水型机关创建、水平衡测试、能源审计等项目均为年度考核中专项重点项目，所占分值较大，考评分数高低直接影响我区在全市排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召开了节能培训、公共机构节能宣传周等活动，节能宣传及培训工作每年都会列为市节能办重点考核项目。按照沈阳市公共机构节能工作年度考核评价标准执行了，包括公共机构能耗网络网络数据填报统计、节能改造、能耗数据会审、节约型机关创建、节水型机关创建、水平衡测试、能源审计等项目均为年度考核中专项重点项目，所占分值较大，考评分数高低直接影响我区在全市排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参加培训人员到课率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宣传片拍摄及制作工作完成率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公益宣传完成率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节能降耗情况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派遣制人员工资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该项目的投入保障派遣制人员的个人工资经费。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保障派遣制人员的个人工资经费。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浪潮PS企业管理软件正常运转，实现中心保管、物业、餐饮和财务物品库存软件管理，实现财务库存每月对账；保障固定资产及办公用房科学管理。保障跨部门综合执法平台600台车辆正常运营；保障机关食堂餐饮小程序正常运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浪潮PS企业管理软件正常运转，实现中心保管、物业、餐饮和财务物品库存软件管理，实现财务库存每月对账；保障固定资产及办公用房科学管理。保障跨部门综合执法平台600台车辆正常运营；保障机关食堂餐饮小程序正常运营。</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系统软件运维数量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软件数据库更新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监管专用软件维护更新频率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装备、设备及软件验收合格率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后续运营维护机制的建立情况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后续运营维护资金来源明确、充足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生活补助费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保障人员退休工资及各项生活补助费及时放发，保障该人群日常生活水平，提高该人群满意度</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保障了人员退休工资及各项生活补助费及时放发，保障该人群日常生活水平，提高该人群满意度</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资金惠及人员数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补贴项目准确率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项目数量完成率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人民幸福指数提升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物业、保安管理服务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6504.09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2946.71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45.31%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照国家相关安全法规及《保安服务管理服务条例》保安服务内容的要求，保安服务主要承当各点位办公楼宇安全保卫工作，维护院内车辆正常行驶、停放秩序，保障院内正常办公秩序。认真贯彻落实各项安全保卫工作制度和职责，保证各办公楼良好有序的办公秩序。通过该项目的投入为一号楼、政务服务中心、振兴工业园、检法大厦、机关各点位及街道办事处提供提供全方位、一体化、高质量、高标准的后勤保障服务，使事务更好地服务于政务，促进有限的资源发挥更大的效能，提升同业的竞争力，从而达到“机构专业化、管理制度化、配置标准化、操作信息化、服务社会化”</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了各点位办公楼宇安全保卫工作，维护院内车辆正常行驶、停放秩序，保障院内正常办公秩序。认真贯彻落实各项安全保卫工作制度和职责，保障了各办公楼良好有序的办公秩序。通过该项目的投入为一号楼、政务服务中心、振兴工业园、检法大厦、机关各点位及街道办事处提供提供全方位、一体化、高质量、高标准的后勤保障服务，使事务更好地服务于政务，促进有限的资源发挥更大的效能，提升同业的竞争力，从而达到“机构专业化、管理制度化、配置标准化、操作信息化、服务社会化”</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保障全年重要保障期天数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保障系统正常运行天数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保障能力提高率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35.53055636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应急保障经费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沈阳市浑南区机关事务保障中心本级-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77.27%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该项目的投入保障应急事件发生时后勤保障工作顺利完成，保障区委区政府四大班子会议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该项目的投入保障了应急事件发生时后勤保障工作顺利完成，保障区委区政府四大班子会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保障全年重要保障期天数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应急保障能力建设合格率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储备物资应急保障率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应急保障能力完备性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8.727346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