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辽宁省沈阳市浑南区金融发展服务中心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辽宁省沈阳市浑南区金融发展服务中心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辽宁省沈阳市浑南区金融发展服务中心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辽宁省沈阳市浑南区金融发展服务中心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辽宁省沈阳市浑南区金融发展服务中心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辽宁省沈阳市浑南区金融发展服务中心概况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 贯彻落实国家、省、市有关金融工作方针、政策、法 律、法规和省委省政府、市委市政府有关金融工作的决议、决定 及工作部署。</w:t>
        <w:br/>
        <w:t xml:space="preserve">    （二） 按照区委、区政府工作安排，结合国家、省、市金融 政策，拟订全区金融业发展规划，拟订改善我区金融发展环境、 促进全区金融业发展的有关政策、措施及管理办法并组织实施。</w:t>
        <w:br/>
        <w:t xml:space="preserve">    （三） 推动建立完善的金融服务体系，优化金融生态，吸引 聚集金融资源，贯彻落实国家、省、市有关金融发展战略和金融 改革创新政策，助力加快区域性金融中心建设，支持经济社会发 展。</w:t>
        <w:br/>
        <w:t xml:space="preserve">    （四） 拟订全区多层次资本市场建设的相关政策、规划和措 施并组织实施，拟订推进企业上市的政策措施并组织实施。对区 政府出资参股的各类基金进行归口管理和业务指导，负责组织协 调各部门推广运用政府和社会资本合作模式（PPP）等工作。</w:t>
        <w:br/>
        <w:t xml:space="preserve">    （五） 宣传推介出台支持企业发展的金融政策，做好中小微 企业服务平台的运营和管理工作。与银行等各类金融机构协调配 合，做好风险资金池项下及其他创新金融产品的推广对接，为区 内企业提供全方位的金融服务；维护驻区小贷公司和融资性担保 公司的日常监督管理工作，负责金融办营商环境建设工作。.</w:t>
        <w:br/>
        <w:t xml:space="preserve">    （六） 落实金融稳定协调机制，配合省、市金融管理部门和 驻区金融机构，防范化解和处置各类区域性金融风险，组织实施 地方金融行业风险防范和化解工作，协调落实区委、区政府打击 非法集资各项工作部署。承担区处置非法集资领导办公室日常工作。</w:t>
        <w:br/>
        <w:t xml:space="preserve">    （七） 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辽宁省沈阳市浑南区金融发展服务中心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沈阳市浑南区金融发展服务中心本级，本单位无下设机构。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1117.56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1117.56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1117.56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增加800.27万元，增长252.23%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增加深交所辽宁基地保障经费</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1117.56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293.89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26.30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工资福利支出277.58万元；商品和服务支出15.83万元；对个人和家庭的补助0.47万元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823.67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73.70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主要包括深交所辽宁基地保障经费、编外人员经费及处理非法集资宣传等业务支出。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增加800.27万元，增长252.23%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增加深交所辽宁基地保障经费</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本年度没有结转和结余资金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1117.56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293.89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823.67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增加800.27万元，增长252.23%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增加深交所辽宁基地保障经费</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269.03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99.32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689.32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2024年度一般公共预算财政拨款支出1117.56万元。按支出功能分类科目分，包括：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1.社会保障和就业支出31.08万元，具体包括：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0.47万元,主要是退休人员取暖费补贴等支出，完成年初预算的100%，决算数与年初预算数存在差异的主要原因是没有差异，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30.61万元,主要是在职人员养老保险等支出，完成年初预算的100%，决算数与年初预算数存在差异的主要原因是没有差异，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2.卫生健康支出11.99万元，具体包括：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（1）卫生健康支出（类）行政事业单位医疗（款）事业单位医疗（项）11.99万元,主要是在职人员医疗保险等支出，完成年初预算的100%，决算数与年初预算数存在差异的主要原因是没有差异，完全按照预算执行。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3.金融支出1042.89万元，具体包括：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金融支出（类）金融发展支出（款）其他金融发展支出（项）1042.89万元,主要是在职人员工资、办公经费及深交所辽宁基地保障经费等支出，完成年初预算的100%，决算数与年初预算数存在差异的主要原因是没有差异，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4.住房保障支出31.59万元，具体包括：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（1）住房保障支出（类）住房改革支出（款）住房公积金（项）31.59万元,主要是在职人员住房公积金等支出，完成年初预算的100%，决算数与年初预算数存在差异的主要原因是没有差异，完全按照预算执行。</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两年均未发生此业务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两年均未发生此业务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两年均未发生此业务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293.88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278.05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15.83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具体而言，本年度我部门共组织对10个项目实施了绩效评价。从预算资金来源看，涉及一般公共预算的项目10个，涉及政府性基金预算的项目0个，涉及国有资本经营预算的项目0个。</w:t>
        <w:br/>
        <w:t xml:space="preserve">    上述评价工作共涉及财政资金295.91万元。其中，一般公共预算资金295.91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1个；得分在60分（含）至80分、等级为“中”的项目有1个；得分在60分以下、等级为“差”的项目有5个。各项目自评发现，部分项目存在项目执行力不够问题，预算执行进度偏慢、个别效益指标未能完全达成等，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16.金融支出（类）金融发展支出（款）其他金融发展支出（项）：反映用于其他金融发展方面的支出。</w:t>
        <w:br/>
        <w:t xml:space="preserve">    17.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1,117.56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31.09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11.99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jc w:val="right"/>
            </w:pPr>
            <w:r>
              <w:rPr>
                <w:rFonts w:ascii="宋体" w:eastAsia="宋体" w:hAnsi="宋体" w:cs="宋体"/>
                <w:b w:val="0"/>
                <w:i w:val="0"/>
                <w:color w:val="000000"/>
                <w:sz w:val="16"/>
              </w:rPr>
              <w:t xml:space="preserve">1,042.89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31.59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1,117.56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1,117.56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1,117.56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1,117.56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1,117.56</w:t>
            </w:r>
          </w:p>
        </w:tc>
        <w:tc>
          <w:tcPr>
            <w:tcW w:w="960" w:type="dxa"/>
            <w:tcBorders/>
            <w:vAlign w:val="center"/>
          </w:tcPr>
          <w:p>
            <w:pPr>
              <w:jc w:val="right"/>
            </w:pPr>
            <w:r>
              <w:rPr>
                <w:rFonts w:ascii="宋体" w:eastAsia="宋体" w:hAnsi="宋体" w:cs="宋体"/>
                <w:b/>
                <w:i w:val="0"/>
                <w:color w:val="000000"/>
                <w:sz w:val="13"/>
              </w:rPr>
              <w:t xml:space="preserve">1,117.56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31.08</w:t>
            </w:r>
          </w:p>
        </w:tc>
        <w:tc>
          <w:tcPr>
            <w:tcW w:w="960" w:type="dxa"/>
            <w:tcBorders/>
            <w:vAlign w:val="center"/>
          </w:tcPr>
          <w:p>
            <w:pPr>
              <w:jc w:val="right"/>
            </w:pPr>
            <w:r>
              <w:rPr>
                <w:rFonts w:ascii="宋体" w:eastAsia="宋体" w:hAnsi="宋体" w:cs="宋体"/>
                <w:b w:val="0"/>
                <w:i w:val="0"/>
                <w:color w:val="000000"/>
                <w:sz w:val="13"/>
              </w:rPr>
              <w:t xml:space="preserve">31.08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31.08</w:t>
            </w:r>
          </w:p>
        </w:tc>
        <w:tc>
          <w:tcPr>
            <w:tcW w:w="960" w:type="dxa"/>
            <w:tcBorders/>
            <w:vAlign w:val="center"/>
          </w:tcPr>
          <w:p>
            <w:pPr>
              <w:jc w:val="right"/>
            </w:pPr>
            <w:r>
              <w:rPr>
                <w:rFonts w:ascii="宋体" w:eastAsia="宋体" w:hAnsi="宋体" w:cs="宋体"/>
                <w:b w:val="0"/>
                <w:i w:val="0"/>
                <w:color w:val="000000"/>
                <w:sz w:val="13"/>
              </w:rPr>
              <w:t xml:space="preserve">31.08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0.47</w:t>
            </w:r>
          </w:p>
        </w:tc>
        <w:tc>
          <w:tcPr>
            <w:tcW w:w="960" w:type="dxa"/>
            <w:tcBorders/>
            <w:vAlign w:val="center"/>
          </w:tcPr>
          <w:p>
            <w:pPr>
              <w:jc w:val="right"/>
            </w:pPr>
            <w:r>
              <w:rPr>
                <w:rFonts w:ascii="宋体" w:eastAsia="宋体" w:hAnsi="宋体" w:cs="宋体"/>
                <w:b w:val="0"/>
                <w:i w:val="0"/>
                <w:color w:val="000000"/>
                <w:sz w:val="13"/>
              </w:rPr>
              <w:t xml:space="preserve">0.47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30.61</w:t>
            </w:r>
          </w:p>
        </w:tc>
        <w:tc>
          <w:tcPr>
            <w:tcW w:w="960" w:type="dxa"/>
            <w:tcBorders/>
            <w:vAlign w:val="center"/>
          </w:tcPr>
          <w:p>
            <w:pPr>
              <w:jc w:val="right"/>
            </w:pPr>
            <w:r>
              <w:rPr>
                <w:rFonts w:ascii="宋体" w:eastAsia="宋体" w:hAnsi="宋体" w:cs="宋体"/>
                <w:b w:val="0"/>
                <w:i w:val="0"/>
                <w:color w:val="000000"/>
                <w:sz w:val="13"/>
              </w:rPr>
              <w:t xml:space="preserve">30.61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11.99</w:t>
            </w:r>
          </w:p>
        </w:tc>
        <w:tc>
          <w:tcPr>
            <w:tcW w:w="960" w:type="dxa"/>
            <w:tcBorders/>
            <w:vAlign w:val="center"/>
          </w:tcPr>
          <w:p>
            <w:pPr>
              <w:jc w:val="right"/>
            </w:pPr>
            <w:r>
              <w:rPr>
                <w:rFonts w:ascii="宋体" w:eastAsia="宋体" w:hAnsi="宋体" w:cs="宋体"/>
                <w:b w:val="0"/>
                <w:i w:val="0"/>
                <w:color w:val="000000"/>
                <w:sz w:val="13"/>
              </w:rPr>
              <w:t xml:space="preserve">11.99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11.99</w:t>
            </w:r>
          </w:p>
        </w:tc>
        <w:tc>
          <w:tcPr>
            <w:tcW w:w="960" w:type="dxa"/>
            <w:tcBorders/>
            <w:vAlign w:val="center"/>
          </w:tcPr>
          <w:p>
            <w:pPr>
              <w:jc w:val="right"/>
            </w:pPr>
            <w:r>
              <w:rPr>
                <w:rFonts w:ascii="宋体" w:eastAsia="宋体" w:hAnsi="宋体" w:cs="宋体"/>
                <w:b w:val="0"/>
                <w:i w:val="0"/>
                <w:color w:val="000000"/>
                <w:sz w:val="13"/>
              </w:rPr>
              <w:t xml:space="preserve">11.99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11.99</w:t>
            </w:r>
          </w:p>
        </w:tc>
        <w:tc>
          <w:tcPr>
            <w:tcW w:w="960" w:type="dxa"/>
            <w:tcBorders/>
            <w:vAlign w:val="center"/>
          </w:tcPr>
          <w:p>
            <w:pPr>
              <w:jc w:val="right"/>
            </w:pPr>
            <w:r>
              <w:rPr>
                <w:rFonts w:ascii="宋体" w:eastAsia="宋体" w:hAnsi="宋体" w:cs="宋体"/>
                <w:b w:val="0"/>
                <w:i w:val="0"/>
                <w:color w:val="000000"/>
                <w:sz w:val="13"/>
              </w:rPr>
              <w:t xml:space="preserve">11.99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217</w:t>
            </w:r>
          </w:p>
        </w:tc>
        <w:tc>
          <w:tcPr>
            <w:tcW w:w="3200" w:type="dxa"/>
            <w:tcBorders/>
            <w:vAlign w:val="center"/>
          </w:tcPr>
          <w:p>
            <w:pPr>
              <w:jc w:val="left"/>
            </w:pPr>
            <w:r>
              <w:rPr>
                <w:rFonts w:ascii="宋体" w:eastAsia="宋体" w:hAnsi="宋体" w:cs="宋体"/>
                <w:b w:val="0"/>
                <w:i w:val="0"/>
                <w:color w:val="000000"/>
                <w:sz w:val="13"/>
              </w:rPr>
              <w:t xml:space="preserve">金融支出</w:t>
            </w:r>
          </w:p>
        </w:tc>
        <w:tc>
          <w:tcPr>
            <w:tcW w:w="960" w:type="dxa"/>
            <w:tcBorders/>
            <w:vAlign w:val="center"/>
          </w:tcPr>
          <w:p>
            <w:pPr>
              <w:jc w:val="right"/>
            </w:pPr>
            <w:r>
              <w:rPr>
                <w:rFonts w:ascii="宋体" w:eastAsia="宋体" w:hAnsi="宋体" w:cs="宋体"/>
                <w:b w:val="0"/>
                <w:i w:val="0"/>
                <w:color w:val="000000"/>
                <w:sz w:val="13"/>
              </w:rPr>
              <w:t xml:space="preserve">1,042.89</w:t>
            </w:r>
          </w:p>
        </w:tc>
        <w:tc>
          <w:tcPr>
            <w:tcW w:w="960" w:type="dxa"/>
            <w:tcBorders/>
            <w:vAlign w:val="center"/>
          </w:tcPr>
          <w:p>
            <w:pPr>
              <w:jc w:val="right"/>
            </w:pPr>
            <w:r>
              <w:rPr>
                <w:rFonts w:ascii="宋体" w:eastAsia="宋体" w:hAnsi="宋体" w:cs="宋体"/>
                <w:b w:val="0"/>
                <w:i w:val="0"/>
                <w:color w:val="000000"/>
                <w:sz w:val="13"/>
              </w:rPr>
              <w:t xml:space="preserve">1,042.89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21703</w:t>
            </w:r>
          </w:p>
        </w:tc>
        <w:tc>
          <w:tcPr>
            <w:tcW w:w="3200" w:type="dxa"/>
            <w:tcBorders/>
            <w:vAlign w:val="center"/>
          </w:tcPr>
          <w:p>
            <w:pPr>
              <w:jc w:val="left"/>
            </w:pPr>
            <w:r>
              <w:rPr>
                <w:rFonts w:ascii="宋体" w:eastAsia="宋体" w:hAnsi="宋体" w:cs="宋体"/>
                <w:b w:val="0"/>
                <w:i w:val="0"/>
                <w:color w:val="000000"/>
                <w:sz w:val="13"/>
              </w:rPr>
              <w:t xml:space="preserve">金融发展支出</w:t>
            </w:r>
          </w:p>
        </w:tc>
        <w:tc>
          <w:tcPr>
            <w:tcW w:w="960" w:type="dxa"/>
            <w:tcBorders/>
            <w:vAlign w:val="center"/>
          </w:tcPr>
          <w:p>
            <w:pPr>
              <w:jc w:val="right"/>
            </w:pPr>
            <w:r>
              <w:rPr>
                <w:rFonts w:ascii="宋体" w:eastAsia="宋体" w:hAnsi="宋体" w:cs="宋体"/>
                <w:b w:val="0"/>
                <w:i w:val="0"/>
                <w:color w:val="000000"/>
                <w:sz w:val="13"/>
              </w:rPr>
              <w:t xml:space="preserve">1,042.89</w:t>
            </w:r>
          </w:p>
        </w:tc>
        <w:tc>
          <w:tcPr>
            <w:tcW w:w="960" w:type="dxa"/>
            <w:tcBorders/>
            <w:vAlign w:val="center"/>
          </w:tcPr>
          <w:p>
            <w:pPr>
              <w:jc w:val="right"/>
            </w:pPr>
            <w:r>
              <w:rPr>
                <w:rFonts w:ascii="宋体" w:eastAsia="宋体" w:hAnsi="宋体" w:cs="宋体"/>
                <w:b w:val="0"/>
                <w:i w:val="0"/>
                <w:color w:val="000000"/>
                <w:sz w:val="13"/>
              </w:rPr>
              <w:t xml:space="preserve">1,042.89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2170399</w:t>
            </w:r>
          </w:p>
        </w:tc>
        <w:tc>
          <w:tcPr>
            <w:tcW w:w="3200" w:type="dxa"/>
            <w:tcBorders/>
            <w:vAlign w:val="center"/>
          </w:tcPr>
          <w:p>
            <w:pPr>
              <w:jc w:val="left"/>
            </w:pPr>
            <w:r>
              <w:rPr>
                <w:rFonts w:ascii="宋体" w:eastAsia="宋体" w:hAnsi="宋体" w:cs="宋体"/>
                <w:b w:val="0"/>
                <w:i w:val="0"/>
                <w:color w:val="000000"/>
                <w:sz w:val="13"/>
              </w:rPr>
              <w:t xml:space="preserve">其他金融发展支出</w:t>
            </w:r>
          </w:p>
        </w:tc>
        <w:tc>
          <w:tcPr>
            <w:tcW w:w="960" w:type="dxa"/>
            <w:tcBorders/>
            <w:vAlign w:val="center"/>
          </w:tcPr>
          <w:p>
            <w:pPr>
              <w:jc w:val="right"/>
            </w:pPr>
            <w:r>
              <w:rPr>
                <w:rFonts w:ascii="宋体" w:eastAsia="宋体" w:hAnsi="宋体" w:cs="宋体"/>
                <w:b w:val="0"/>
                <w:i w:val="0"/>
                <w:color w:val="000000"/>
                <w:sz w:val="13"/>
              </w:rPr>
              <w:t xml:space="preserve">1,042.89</w:t>
            </w:r>
          </w:p>
        </w:tc>
        <w:tc>
          <w:tcPr>
            <w:tcW w:w="960" w:type="dxa"/>
            <w:tcBorders/>
            <w:vAlign w:val="center"/>
          </w:tcPr>
          <w:p>
            <w:pPr>
              <w:jc w:val="right"/>
            </w:pPr>
            <w:r>
              <w:rPr>
                <w:rFonts w:ascii="宋体" w:eastAsia="宋体" w:hAnsi="宋体" w:cs="宋体"/>
                <w:b w:val="0"/>
                <w:i w:val="0"/>
                <w:color w:val="000000"/>
                <w:sz w:val="13"/>
              </w:rPr>
              <w:t xml:space="preserve">1,042.89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1,117.56</w:t>
            </w:r>
          </w:p>
        </w:tc>
        <w:tc>
          <w:tcPr>
            <w:tcW w:w="1060" w:type="dxa"/>
            <w:tcBorders/>
            <w:vAlign w:val="center"/>
          </w:tcPr>
          <w:p>
            <w:pPr>
              <w:jc w:val="right"/>
            </w:pPr>
            <w:r>
              <w:rPr>
                <w:rFonts w:ascii="宋体" w:eastAsia="宋体" w:hAnsi="宋体" w:cs="宋体"/>
                <w:b/>
                <w:i w:val="0"/>
                <w:color w:val="000000"/>
                <w:sz w:val="14"/>
              </w:rPr>
              <w:t xml:space="preserve">293.89</w:t>
            </w:r>
          </w:p>
        </w:tc>
        <w:tc>
          <w:tcPr>
            <w:tcW w:w="1060" w:type="dxa"/>
            <w:tcBorders/>
            <w:vAlign w:val="center"/>
          </w:tcPr>
          <w:p>
            <w:pPr>
              <w:jc w:val="right"/>
            </w:pPr>
            <w:r>
              <w:rPr>
                <w:rFonts w:ascii="宋体" w:eastAsia="宋体" w:hAnsi="宋体" w:cs="宋体"/>
                <w:b/>
                <w:i w:val="0"/>
                <w:color w:val="000000"/>
                <w:sz w:val="14"/>
              </w:rPr>
              <w:t xml:space="preserve">823.67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31.08</w:t>
            </w:r>
          </w:p>
        </w:tc>
        <w:tc>
          <w:tcPr>
            <w:tcW w:w="1060" w:type="dxa"/>
            <w:tcBorders/>
            <w:vAlign w:val="center"/>
          </w:tcPr>
          <w:p>
            <w:pPr>
              <w:jc w:val="right"/>
            </w:pPr>
            <w:r>
              <w:rPr>
                <w:rFonts w:ascii="宋体" w:eastAsia="宋体" w:hAnsi="宋体" w:cs="宋体"/>
                <w:b w:val="0"/>
                <w:i w:val="0"/>
                <w:color w:val="000000"/>
                <w:sz w:val="14"/>
              </w:rPr>
              <w:t xml:space="preserve">31.08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31.08</w:t>
            </w:r>
          </w:p>
        </w:tc>
        <w:tc>
          <w:tcPr>
            <w:tcW w:w="1060" w:type="dxa"/>
            <w:tcBorders/>
            <w:vAlign w:val="center"/>
          </w:tcPr>
          <w:p>
            <w:pPr>
              <w:jc w:val="right"/>
            </w:pPr>
            <w:r>
              <w:rPr>
                <w:rFonts w:ascii="宋体" w:eastAsia="宋体" w:hAnsi="宋体" w:cs="宋体"/>
                <w:b w:val="0"/>
                <w:i w:val="0"/>
                <w:color w:val="000000"/>
                <w:sz w:val="14"/>
              </w:rPr>
              <w:t xml:space="preserve">31.08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0.47</w:t>
            </w:r>
          </w:p>
        </w:tc>
        <w:tc>
          <w:tcPr>
            <w:tcW w:w="1060" w:type="dxa"/>
            <w:tcBorders/>
            <w:vAlign w:val="center"/>
          </w:tcPr>
          <w:p>
            <w:pPr>
              <w:jc w:val="right"/>
            </w:pPr>
            <w:r>
              <w:rPr>
                <w:rFonts w:ascii="宋体" w:eastAsia="宋体" w:hAnsi="宋体" w:cs="宋体"/>
                <w:b w:val="0"/>
                <w:i w:val="0"/>
                <w:color w:val="000000"/>
                <w:sz w:val="14"/>
              </w:rPr>
              <w:t xml:space="preserve">0.47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30.61</w:t>
            </w:r>
          </w:p>
        </w:tc>
        <w:tc>
          <w:tcPr>
            <w:tcW w:w="1060" w:type="dxa"/>
            <w:tcBorders/>
            <w:vAlign w:val="center"/>
          </w:tcPr>
          <w:p>
            <w:pPr>
              <w:jc w:val="right"/>
            </w:pPr>
            <w:r>
              <w:rPr>
                <w:rFonts w:ascii="宋体" w:eastAsia="宋体" w:hAnsi="宋体" w:cs="宋体"/>
                <w:b w:val="0"/>
                <w:i w:val="0"/>
                <w:color w:val="000000"/>
                <w:sz w:val="14"/>
              </w:rPr>
              <w:t xml:space="preserve">30.61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11.99</w:t>
            </w:r>
          </w:p>
        </w:tc>
        <w:tc>
          <w:tcPr>
            <w:tcW w:w="1060" w:type="dxa"/>
            <w:tcBorders/>
            <w:vAlign w:val="center"/>
          </w:tcPr>
          <w:p>
            <w:pPr>
              <w:jc w:val="right"/>
            </w:pPr>
            <w:r>
              <w:rPr>
                <w:rFonts w:ascii="宋体" w:eastAsia="宋体" w:hAnsi="宋体" w:cs="宋体"/>
                <w:b w:val="0"/>
                <w:i w:val="0"/>
                <w:color w:val="000000"/>
                <w:sz w:val="14"/>
              </w:rPr>
              <w:t xml:space="preserve">11.99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11.99</w:t>
            </w:r>
          </w:p>
        </w:tc>
        <w:tc>
          <w:tcPr>
            <w:tcW w:w="1060" w:type="dxa"/>
            <w:tcBorders/>
            <w:vAlign w:val="center"/>
          </w:tcPr>
          <w:p>
            <w:pPr>
              <w:jc w:val="right"/>
            </w:pPr>
            <w:r>
              <w:rPr>
                <w:rFonts w:ascii="宋体" w:eastAsia="宋体" w:hAnsi="宋体" w:cs="宋体"/>
                <w:b w:val="0"/>
                <w:i w:val="0"/>
                <w:color w:val="000000"/>
                <w:sz w:val="14"/>
              </w:rPr>
              <w:t xml:space="preserve">11.99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11.99</w:t>
            </w:r>
          </w:p>
        </w:tc>
        <w:tc>
          <w:tcPr>
            <w:tcW w:w="1060" w:type="dxa"/>
            <w:tcBorders/>
            <w:vAlign w:val="center"/>
          </w:tcPr>
          <w:p>
            <w:pPr>
              <w:jc w:val="right"/>
            </w:pPr>
            <w:r>
              <w:rPr>
                <w:rFonts w:ascii="宋体" w:eastAsia="宋体" w:hAnsi="宋体" w:cs="宋体"/>
                <w:b w:val="0"/>
                <w:i w:val="0"/>
                <w:color w:val="000000"/>
                <w:sz w:val="14"/>
              </w:rPr>
              <w:t xml:space="preserve">11.99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217</w:t>
            </w:r>
          </w:p>
        </w:tc>
        <w:tc>
          <w:tcPr>
            <w:tcW w:w="3440" w:type="dxa"/>
            <w:tcBorders/>
            <w:vAlign w:val="center"/>
          </w:tcPr>
          <w:p>
            <w:pPr>
              <w:jc w:val="left"/>
            </w:pPr>
            <w:r>
              <w:rPr>
                <w:rFonts w:ascii="宋体" w:eastAsia="宋体" w:hAnsi="宋体" w:cs="宋体"/>
                <w:b w:val="0"/>
                <w:i w:val="0"/>
                <w:color w:val="000000"/>
                <w:sz w:val="14"/>
              </w:rPr>
              <w:t xml:space="preserve">金融支出</w:t>
            </w:r>
          </w:p>
        </w:tc>
        <w:tc>
          <w:tcPr>
            <w:tcW w:w="1060" w:type="dxa"/>
            <w:tcBorders/>
            <w:vAlign w:val="center"/>
          </w:tcPr>
          <w:p>
            <w:pPr>
              <w:jc w:val="right"/>
            </w:pPr>
            <w:r>
              <w:rPr>
                <w:rFonts w:ascii="宋体" w:eastAsia="宋体" w:hAnsi="宋体" w:cs="宋体"/>
                <w:b w:val="0"/>
                <w:i w:val="0"/>
                <w:color w:val="000000"/>
                <w:sz w:val="14"/>
              </w:rPr>
              <w:t xml:space="preserve">1,042.89</w:t>
            </w:r>
          </w:p>
        </w:tc>
        <w:tc>
          <w:tcPr>
            <w:tcW w:w="1060" w:type="dxa"/>
            <w:tcBorders/>
            <w:vAlign w:val="center"/>
          </w:tcPr>
          <w:p>
            <w:pPr>
              <w:jc w:val="right"/>
            </w:pPr>
            <w:r>
              <w:rPr>
                <w:rFonts w:ascii="宋体" w:eastAsia="宋体" w:hAnsi="宋体" w:cs="宋体"/>
                <w:b w:val="0"/>
                <w:i w:val="0"/>
                <w:color w:val="000000"/>
                <w:sz w:val="14"/>
              </w:rPr>
              <w:t xml:space="preserve">219.23</w:t>
            </w:r>
          </w:p>
        </w:tc>
        <w:tc>
          <w:tcPr>
            <w:tcW w:w="1060" w:type="dxa"/>
            <w:tcBorders/>
            <w:vAlign w:val="center"/>
          </w:tcPr>
          <w:p>
            <w:pPr>
              <w:jc w:val="right"/>
            </w:pPr>
            <w:r>
              <w:rPr>
                <w:rFonts w:ascii="宋体" w:eastAsia="宋体" w:hAnsi="宋体" w:cs="宋体"/>
                <w:b w:val="0"/>
                <w:i w:val="0"/>
                <w:color w:val="000000"/>
                <w:sz w:val="14"/>
              </w:rPr>
              <w:t xml:space="preserve">823.67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21703</w:t>
            </w:r>
          </w:p>
        </w:tc>
        <w:tc>
          <w:tcPr>
            <w:tcW w:w="3440" w:type="dxa"/>
            <w:tcBorders/>
            <w:vAlign w:val="center"/>
          </w:tcPr>
          <w:p>
            <w:pPr>
              <w:jc w:val="left"/>
            </w:pPr>
            <w:r>
              <w:rPr>
                <w:rFonts w:ascii="宋体" w:eastAsia="宋体" w:hAnsi="宋体" w:cs="宋体"/>
                <w:b w:val="0"/>
                <w:i w:val="0"/>
                <w:color w:val="000000"/>
                <w:sz w:val="14"/>
              </w:rPr>
              <w:t xml:space="preserve">金融发展支出</w:t>
            </w:r>
          </w:p>
        </w:tc>
        <w:tc>
          <w:tcPr>
            <w:tcW w:w="1060" w:type="dxa"/>
            <w:tcBorders/>
            <w:vAlign w:val="center"/>
          </w:tcPr>
          <w:p>
            <w:pPr>
              <w:jc w:val="right"/>
            </w:pPr>
            <w:r>
              <w:rPr>
                <w:rFonts w:ascii="宋体" w:eastAsia="宋体" w:hAnsi="宋体" w:cs="宋体"/>
                <w:b w:val="0"/>
                <w:i w:val="0"/>
                <w:color w:val="000000"/>
                <w:sz w:val="14"/>
              </w:rPr>
              <w:t xml:space="preserve">1,042.89</w:t>
            </w:r>
          </w:p>
        </w:tc>
        <w:tc>
          <w:tcPr>
            <w:tcW w:w="1060" w:type="dxa"/>
            <w:tcBorders/>
            <w:vAlign w:val="center"/>
          </w:tcPr>
          <w:p>
            <w:pPr>
              <w:jc w:val="right"/>
            </w:pPr>
            <w:r>
              <w:rPr>
                <w:rFonts w:ascii="宋体" w:eastAsia="宋体" w:hAnsi="宋体" w:cs="宋体"/>
                <w:b w:val="0"/>
                <w:i w:val="0"/>
                <w:color w:val="000000"/>
                <w:sz w:val="14"/>
              </w:rPr>
              <w:t xml:space="preserve">219.23</w:t>
            </w:r>
          </w:p>
        </w:tc>
        <w:tc>
          <w:tcPr>
            <w:tcW w:w="1060" w:type="dxa"/>
            <w:tcBorders/>
            <w:vAlign w:val="center"/>
          </w:tcPr>
          <w:p>
            <w:pPr>
              <w:jc w:val="right"/>
            </w:pPr>
            <w:r>
              <w:rPr>
                <w:rFonts w:ascii="宋体" w:eastAsia="宋体" w:hAnsi="宋体" w:cs="宋体"/>
                <w:b w:val="0"/>
                <w:i w:val="0"/>
                <w:color w:val="000000"/>
                <w:sz w:val="14"/>
              </w:rPr>
              <w:t xml:space="preserve">823.67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2170399</w:t>
            </w:r>
          </w:p>
        </w:tc>
        <w:tc>
          <w:tcPr>
            <w:tcW w:w="3440" w:type="dxa"/>
            <w:tcBorders/>
            <w:vAlign w:val="center"/>
          </w:tcPr>
          <w:p>
            <w:pPr>
              <w:jc w:val="left"/>
            </w:pPr>
            <w:r>
              <w:rPr>
                <w:rFonts w:ascii="宋体" w:eastAsia="宋体" w:hAnsi="宋体" w:cs="宋体"/>
                <w:b w:val="0"/>
                <w:i w:val="0"/>
                <w:color w:val="000000"/>
                <w:sz w:val="14"/>
              </w:rPr>
              <w:t xml:space="preserve">其他金融发展支出</w:t>
            </w:r>
          </w:p>
        </w:tc>
        <w:tc>
          <w:tcPr>
            <w:tcW w:w="1060" w:type="dxa"/>
            <w:tcBorders/>
            <w:vAlign w:val="center"/>
          </w:tcPr>
          <w:p>
            <w:pPr>
              <w:jc w:val="right"/>
            </w:pPr>
            <w:r>
              <w:rPr>
                <w:rFonts w:ascii="宋体" w:eastAsia="宋体" w:hAnsi="宋体" w:cs="宋体"/>
                <w:b w:val="0"/>
                <w:i w:val="0"/>
                <w:color w:val="000000"/>
                <w:sz w:val="14"/>
              </w:rPr>
              <w:t xml:space="preserve">1,042.89</w:t>
            </w:r>
          </w:p>
        </w:tc>
        <w:tc>
          <w:tcPr>
            <w:tcW w:w="1060" w:type="dxa"/>
            <w:tcBorders/>
            <w:vAlign w:val="center"/>
          </w:tcPr>
          <w:p>
            <w:pPr>
              <w:jc w:val="right"/>
            </w:pPr>
            <w:r>
              <w:rPr>
                <w:rFonts w:ascii="宋体" w:eastAsia="宋体" w:hAnsi="宋体" w:cs="宋体"/>
                <w:b w:val="0"/>
                <w:i w:val="0"/>
                <w:color w:val="000000"/>
                <w:sz w:val="14"/>
              </w:rPr>
              <w:t xml:space="preserve">219.23</w:t>
            </w:r>
          </w:p>
        </w:tc>
        <w:tc>
          <w:tcPr>
            <w:tcW w:w="1060" w:type="dxa"/>
            <w:tcBorders/>
            <w:vAlign w:val="center"/>
          </w:tcPr>
          <w:p>
            <w:pPr>
              <w:jc w:val="right"/>
            </w:pPr>
            <w:r>
              <w:rPr>
                <w:rFonts w:ascii="宋体" w:eastAsia="宋体" w:hAnsi="宋体" w:cs="宋体"/>
                <w:b w:val="0"/>
                <w:i w:val="0"/>
                <w:color w:val="000000"/>
                <w:sz w:val="14"/>
              </w:rPr>
              <w:t xml:space="preserve">823.67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1,117.56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31.09</w:t>
            </w:r>
          </w:p>
        </w:tc>
        <w:tc>
          <w:tcPr>
            <w:tcW w:w="1100" w:type="dxa"/>
            <w:tcBorders/>
            <w:vAlign w:val="center"/>
          </w:tcPr>
          <w:p>
            <w:pPr>
              <w:jc w:val="right"/>
            </w:pPr>
            <w:r>
              <w:rPr>
                <w:rFonts w:ascii="宋体" w:eastAsia="宋体" w:hAnsi="宋体" w:cs="宋体"/>
                <w:b w:val="0"/>
                <w:i w:val="0"/>
                <w:color w:val="000000"/>
                <w:sz w:val="14"/>
              </w:rPr>
              <w:t xml:space="preserve">31.09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11.99</w:t>
            </w:r>
          </w:p>
        </w:tc>
        <w:tc>
          <w:tcPr>
            <w:tcW w:w="1100" w:type="dxa"/>
            <w:tcBorders/>
            <w:vAlign w:val="center"/>
          </w:tcPr>
          <w:p>
            <w:pPr>
              <w:jc w:val="right"/>
            </w:pPr>
            <w:r>
              <w:rPr>
                <w:rFonts w:ascii="宋体" w:eastAsia="宋体" w:hAnsi="宋体" w:cs="宋体"/>
                <w:b w:val="0"/>
                <w:i w:val="0"/>
                <w:color w:val="000000"/>
                <w:sz w:val="14"/>
              </w:rPr>
              <w:t xml:space="preserve">11.99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jc w:val="right"/>
            </w:pPr>
            <w:r>
              <w:rPr>
                <w:rFonts w:ascii="宋体" w:eastAsia="宋体" w:hAnsi="宋体" w:cs="宋体"/>
                <w:b w:val="0"/>
                <w:i w:val="0"/>
                <w:color w:val="000000"/>
                <w:sz w:val="14"/>
              </w:rPr>
              <w:t xml:space="preserve">1,042.89</w:t>
            </w:r>
          </w:p>
        </w:tc>
        <w:tc>
          <w:tcPr>
            <w:tcW w:w="1100" w:type="dxa"/>
            <w:tcBorders/>
            <w:vAlign w:val="center"/>
          </w:tcPr>
          <w:p>
            <w:pPr>
              <w:jc w:val="right"/>
            </w:pPr>
            <w:r>
              <w:rPr>
                <w:rFonts w:ascii="宋体" w:eastAsia="宋体" w:hAnsi="宋体" w:cs="宋体"/>
                <w:b w:val="0"/>
                <w:i w:val="0"/>
                <w:color w:val="000000"/>
                <w:sz w:val="14"/>
              </w:rPr>
              <w:t xml:space="preserve">1,042.89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31.59</w:t>
            </w:r>
          </w:p>
        </w:tc>
        <w:tc>
          <w:tcPr>
            <w:tcW w:w="1100" w:type="dxa"/>
            <w:tcBorders/>
            <w:vAlign w:val="center"/>
          </w:tcPr>
          <w:p>
            <w:pPr>
              <w:jc w:val="right"/>
            </w:pPr>
            <w:r>
              <w:rPr>
                <w:rFonts w:ascii="宋体" w:eastAsia="宋体" w:hAnsi="宋体" w:cs="宋体"/>
                <w:b w:val="0"/>
                <w:i w:val="0"/>
                <w:color w:val="000000"/>
                <w:sz w:val="14"/>
              </w:rPr>
              <w:t xml:space="preserve">31.59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1,117.56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1,117.56</w:t>
            </w:r>
          </w:p>
        </w:tc>
        <w:tc>
          <w:tcPr>
            <w:tcW w:w="1100" w:type="dxa"/>
            <w:tcBorders/>
            <w:vAlign w:val="center"/>
          </w:tcPr>
          <w:p>
            <w:pPr>
              <w:jc w:val="right"/>
            </w:pPr>
            <w:r>
              <w:rPr>
                <w:rFonts w:ascii="宋体" w:eastAsia="宋体" w:hAnsi="宋体" w:cs="宋体"/>
                <w:b w:val="0"/>
                <w:i w:val="0"/>
                <w:color w:val="000000"/>
                <w:sz w:val="14"/>
              </w:rPr>
              <w:t xml:space="preserve">1,117.56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1,117.56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1,117.56</w:t>
            </w:r>
          </w:p>
        </w:tc>
        <w:tc>
          <w:tcPr>
            <w:tcW w:w="1100" w:type="dxa"/>
            <w:tcBorders/>
            <w:vAlign w:val="center"/>
          </w:tcPr>
          <w:p>
            <w:pPr>
              <w:jc w:val="right"/>
            </w:pPr>
            <w:r>
              <w:rPr>
                <w:rFonts w:ascii="宋体" w:eastAsia="宋体" w:hAnsi="宋体" w:cs="宋体"/>
                <w:b w:val="0"/>
                <w:i w:val="0"/>
                <w:color w:val="000000"/>
                <w:sz w:val="14"/>
              </w:rPr>
              <w:t xml:space="preserve">1,117.56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1,117.56</w:t>
            </w:r>
          </w:p>
        </w:tc>
        <w:tc>
          <w:tcPr>
            <w:tcW w:w="1780" w:type="dxa"/>
            <w:tcBorders/>
            <w:vAlign w:val="center"/>
          </w:tcPr>
          <w:p>
            <w:pPr>
              <w:jc w:val="right"/>
            </w:pPr>
            <w:r>
              <w:rPr>
                <w:rFonts w:ascii="宋体" w:eastAsia="宋体" w:hAnsi="宋体" w:cs="宋体"/>
                <w:b/>
                <w:i w:val="0"/>
                <w:color w:val="000000"/>
                <w:sz w:val="18"/>
              </w:rPr>
              <w:t xml:space="preserve">293.89</w:t>
            </w:r>
          </w:p>
        </w:tc>
        <w:tc>
          <w:tcPr>
            <w:tcW w:w="1772" w:type="dxa"/>
            <w:tcBorders/>
            <w:vAlign w:val="center"/>
          </w:tcPr>
          <w:p>
            <w:pPr>
              <w:jc w:val="right"/>
            </w:pPr>
            <w:r>
              <w:rPr>
                <w:rFonts w:ascii="宋体" w:eastAsia="宋体" w:hAnsi="宋体" w:cs="宋体"/>
                <w:b/>
                <w:i w:val="0"/>
                <w:color w:val="000000"/>
                <w:sz w:val="18"/>
              </w:rPr>
              <w:t xml:space="preserve">823.67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31.08</w:t>
            </w:r>
          </w:p>
        </w:tc>
        <w:tc>
          <w:tcPr>
            <w:tcW w:w="1780" w:type="dxa"/>
            <w:tcBorders/>
            <w:vAlign w:val="center"/>
          </w:tcPr>
          <w:p>
            <w:pPr>
              <w:jc w:val="right"/>
            </w:pPr>
            <w:r>
              <w:rPr>
                <w:rFonts w:ascii="宋体" w:eastAsia="宋体" w:hAnsi="宋体" w:cs="宋体"/>
                <w:b w:val="0"/>
                <w:i w:val="0"/>
                <w:color w:val="000000"/>
                <w:sz w:val="18"/>
              </w:rPr>
              <w:t xml:space="preserve">31.08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31.08</w:t>
            </w:r>
          </w:p>
        </w:tc>
        <w:tc>
          <w:tcPr>
            <w:tcW w:w="1780" w:type="dxa"/>
            <w:tcBorders/>
            <w:vAlign w:val="center"/>
          </w:tcPr>
          <w:p>
            <w:pPr>
              <w:jc w:val="right"/>
            </w:pPr>
            <w:r>
              <w:rPr>
                <w:rFonts w:ascii="宋体" w:eastAsia="宋体" w:hAnsi="宋体" w:cs="宋体"/>
                <w:b w:val="0"/>
                <w:i w:val="0"/>
                <w:color w:val="000000"/>
                <w:sz w:val="18"/>
              </w:rPr>
              <w:t xml:space="preserve">31.08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0.47</w:t>
            </w:r>
          </w:p>
        </w:tc>
        <w:tc>
          <w:tcPr>
            <w:tcW w:w="1780" w:type="dxa"/>
            <w:tcBorders/>
            <w:vAlign w:val="center"/>
          </w:tcPr>
          <w:p>
            <w:pPr>
              <w:jc w:val="right"/>
            </w:pPr>
            <w:r>
              <w:rPr>
                <w:rFonts w:ascii="宋体" w:eastAsia="宋体" w:hAnsi="宋体" w:cs="宋体"/>
                <w:b w:val="0"/>
                <w:i w:val="0"/>
                <w:color w:val="000000"/>
                <w:sz w:val="18"/>
              </w:rPr>
              <w:t xml:space="preserve">0.47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30.61</w:t>
            </w:r>
          </w:p>
        </w:tc>
        <w:tc>
          <w:tcPr>
            <w:tcW w:w="1780" w:type="dxa"/>
            <w:tcBorders/>
            <w:vAlign w:val="center"/>
          </w:tcPr>
          <w:p>
            <w:pPr>
              <w:jc w:val="right"/>
            </w:pPr>
            <w:r>
              <w:rPr>
                <w:rFonts w:ascii="宋体" w:eastAsia="宋体" w:hAnsi="宋体" w:cs="宋体"/>
                <w:b w:val="0"/>
                <w:i w:val="0"/>
                <w:color w:val="000000"/>
                <w:sz w:val="18"/>
              </w:rPr>
              <w:t xml:space="preserve">30.61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11.99</w:t>
            </w:r>
          </w:p>
        </w:tc>
        <w:tc>
          <w:tcPr>
            <w:tcW w:w="1780" w:type="dxa"/>
            <w:tcBorders/>
            <w:vAlign w:val="center"/>
          </w:tcPr>
          <w:p>
            <w:pPr>
              <w:jc w:val="right"/>
            </w:pPr>
            <w:r>
              <w:rPr>
                <w:rFonts w:ascii="宋体" w:eastAsia="宋体" w:hAnsi="宋体" w:cs="宋体"/>
                <w:b w:val="0"/>
                <w:i w:val="0"/>
                <w:color w:val="000000"/>
                <w:sz w:val="18"/>
              </w:rPr>
              <w:t xml:space="preserve">11.99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11.99</w:t>
            </w:r>
          </w:p>
        </w:tc>
        <w:tc>
          <w:tcPr>
            <w:tcW w:w="1780" w:type="dxa"/>
            <w:tcBorders/>
            <w:vAlign w:val="center"/>
          </w:tcPr>
          <w:p>
            <w:pPr>
              <w:jc w:val="right"/>
            </w:pPr>
            <w:r>
              <w:rPr>
                <w:rFonts w:ascii="宋体" w:eastAsia="宋体" w:hAnsi="宋体" w:cs="宋体"/>
                <w:b w:val="0"/>
                <w:i w:val="0"/>
                <w:color w:val="000000"/>
                <w:sz w:val="18"/>
              </w:rPr>
              <w:t xml:space="preserve">11.99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11.99</w:t>
            </w:r>
          </w:p>
        </w:tc>
        <w:tc>
          <w:tcPr>
            <w:tcW w:w="1780" w:type="dxa"/>
            <w:tcBorders/>
            <w:vAlign w:val="center"/>
          </w:tcPr>
          <w:p>
            <w:pPr>
              <w:jc w:val="right"/>
            </w:pPr>
            <w:r>
              <w:rPr>
                <w:rFonts w:ascii="宋体" w:eastAsia="宋体" w:hAnsi="宋体" w:cs="宋体"/>
                <w:b w:val="0"/>
                <w:i w:val="0"/>
                <w:color w:val="000000"/>
                <w:sz w:val="18"/>
              </w:rPr>
              <w:t xml:space="preserve">11.99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217</w:t>
            </w:r>
          </w:p>
        </w:tc>
        <w:tc>
          <w:tcPr>
            <w:tcW w:w="4300" w:type="dxa"/>
            <w:tcBorders/>
            <w:vAlign w:val="center"/>
          </w:tcPr>
          <w:p>
            <w:pPr>
              <w:jc w:val="left"/>
            </w:pPr>
            <w:r>
              <w:rPr>
                <w:rFonts w:ascii="宋体" w:eastAsia="宋体" w:hAnsi="宋体" w:cs="宋体"/>
                <w:b w:val="0"/>
                <w:i w:val="0"/>
                <w:color w:val="000000"/>
                <w:sz w:val="18"/>
              </w:rPr>
              <w:t xml:space="preserve">金融支出</w:t>
            </w:r>
          </w:p>
        </w:tc>
        <w:tc>
          <w:tcPr>
            <w:tcW w:w="1780" w:type="dxa"/>
            <w:tcBorders/>
            <w:vAlign w:val="center"/>
          </w:tcPr>
          <w:p>
            <w:pPr>
              <w:jc w:val="right"/>
            </w:pPr>
            <w:r>
              <w:rPr>
                <w:rFonts w:ascii="宋体" w:eastAsia="宋体" w:hAnsi="宋体" w:cs="宋体"/>
                <w:b w:val="0"/>
                <w:i w:val="0"/>
                <w:color w:val="000000"/>
                <w:sz w:val="18"/>
              </w:rPr>
              <w:t xml:space="preserve">1,042.89</w:t>
            </w:r>
          </w:p>
        </w:tc>
        <w:tc>
          <w:tcPr>
            <w:tcW w:w="1780" w:type="dxa"/>
            <w:tcBorders/>
            <w:vAlign w:val="center"/>
          </w:tcPr>
          <w:p>
            <w:pPr>
              <w:jc w:val="right"/>
            </w:pPr>
            <w:r>
              <w:rPr>
                <w:rFonts w:ascii="宋体" w:eastAsia="宋体" w:hAnsi="宋体" w:cs="宋体"/>
                <w:b w:val="0"/>
                <w:i w:val="0"/>
                <w:color w:val="000000"/>
                <w:sz w:val="18"/>
              </w:rPr>
              <w:t xml:space="preserve">219.23</w:t>
            </w:r>
          </w:p>
        </w:tc>
        <w:tc>
          <w:tcPr>
            <w:tcW w:w="1772" w:type="dxa"/>
            <w:tcBorders/>
            <w:vAlign w:val="center"/>
          </w:tcPr>
          <w:p>
            <w:pPr>
              <w:jc w:val="right"/>
            </w:pPr>
            <w:r>
              <w:rPr>
                <w:rFonts w:ascii="宋体" w:eastAsia="宋体" w:hAnsi="宋体" w:cs="宋体"/>
                <w:b w:val="0"/>
                <w:i w:val="0"/>
                <w:color w:val="000000"/>
                <w:sz w:val="18"/>
              </w:rPr>
              <w:t xml:space="preserve">823.67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21703</w:t>
            </w:r>
          </w:p>
        </w:tc>
        <w:tc>
          <w:tcPr>
            <w:tcW w:w="4300" w:type="dxa"/>
            <w:tcBorders/>
            <w:vAlign w:val="center"/>
          </w:tcPr>
          <w:p>
            <w:pPr>
              <w:jc w:val="left"/>
            </w:pPr>
            <w:r>
              <w:rPr>
                <w:rFonts w:ascii="宋体" w:eastAsia="宋体" w:hAnsi="宋体" w:cs="宋体"/>
                <w:b w:val="0"/>
                <w:i w:val="0"/>
                <w:color w:val="000000"/>
                <w:sz w:val="18"/>
              </w:rPr>
              <w:t xml:space="preserve">金融发展支出</w:t>
            </w:r>
          </w:p>
        </w:tc>
        <w:tc>
          <w:tcPr>
            <w:tcW w:w="1780" w:type="dxa"/>
            <w:tcBorders/>
            <w:vAlign w:val="center"/>
          </w:tcPr>
          <w:p>
            <w:pPr>
              <w:jc w:val="right"/>
            </w:pPr>
            <w:r>
              <w:rPr>
                <w:rFonts w:ascii="宋体" w:eastAsia="宋体" w:hAnsi="宋体" w:cs="宋体"/>
                <w:b w:val="0"/>
                <w:i w:val="0"/>
                <w:color w:val="000000"/>
                <w:sz w:val="18"/>
              </w:rPr>
              <w:t xml:space="preserve">1,042.89</w:t>
            </w:r>
          </w:p>
        </w:tc>
        <w:tc>
          <w:tcPr>
            <w:tcW w:w="1780" w:type="dxa"/>
            <w:tcBorders/>
            <w:vAlign w:val="center"/>
          </w:tcPr>
          <w:p>
            <w:pPr>
              <w:jc w:val="right"/>
            </w:pPr>
            <w:r>
              <w:rPr>
                <w:rFonts w:ascii="宋体" w:eastAsia="宋体" w:hAnsi="宋体" w:cs="宋体"/>
                <w:b w:val="0"/>
                <w:i w:val="0"/>
                <w:color w:val="000000"/>
                <w:sz w:val="18"/>
              </w:rPr>
              <w:t xml:space="preserve">219.23</w:t>
            </w:r>
          </w:p>
        </w:tc>
        <w:tc>
          <w:tcPr>
            <w:tcW w:w="1772" w:type="dxa"/>
            <w:tcBorders/>
            <w:vAlign w:val="center"/>
          </w:tcPr>
          <w:p>
            <w:pPr>
              <w:jc w:val="right"/>
            </w:pPr>
            <w:r>
              <w:rPr>
                <w:rFonts w:ascii="宋体" w:eastAsia="宋体" w:hAnsi="宋体" w:cs="宋体"/>
                <w:b w:val="0"/>
                <w:i w:val="0"/>
                <w:color w:val="000000"/>
                <w:sz w:val="18"/>
              </w:rPr>
              <w:t xml:space="preserve">823.67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2170399</w:t>
            </w:r>
          </w:p>
        </w:tc>
        <w:tc>
          <w:tcPr>
            <w:tcW w:w="4300" w:type="dxa"/>
            <w:tcBorders/>
            <w:vAlign w:val="center"/>
          </w:tcPr>
          <w:p>
            <w:pPr>
              <w:jc w:val="left"/>
            </w:pPr>
            <w:r>
              <w:rPr>
                <w:rFonts w:ascii="宋体" w:eastAsia="宋体" w:hAnsi="宋体" w:cs="宋体"/>
                <w:b w:val="0"/>
                <w:i w:val="0"/>
                <w:color w:val="000000"/>
                <w:sz w:val="18"/>
              </w:rPr>
              <w:t xml:space="preserve">其他金融发展支出</w:t>
            </w:r>
          </w:p>
        </w:tc>
        <w:tc>
          <w:tcPr>
            <w:tcW w:w="1780" w:type="dxa"/>
            <w:tcBorders/>
            <w:vAlign w:val="center"/>
          </w:tcPr>
          <w:p>
            <w:pPr>
              <w:jc w:val="right"/>
            </w:pPr>
            <w:r>
              <w:rPr>
                <w:rFonts w:ascii="宋体" w:eastAsia="宋体" w:hAnsi="宋体" w:cs="宋体"/>
                <w:b w:val="0"/>
                <w:i w:val="0"/>
                <w:color w:val="000000"/>
                <w:sz w:val="18"/>
              </w:rPr>
              <w:t xml:space="preserve">1,042.89</w:t>
            </w:r>
          </w:p>
        </w:tc>
        <w:tc>
          <w:tcPr>
            <w:tcW w:w="1780" w:type="dxa"/>
            <w:tcBorders/>
            <w:vAlign w:val="center"/>
          </w:tcPr>
          <w:p>
            <w:pPr>
              <w:jc w:val="right"/>
            </w:pPr>
            <w:r>
              <w:rPr>
                <w:rFonts w:ascii="宋体" w:eastAsia="宋体" w:hAnsi="宋体" w:cs="宋体"/>
                <w:b w:val="0"/>
                <w:i w:val="0"/>
                <w:color w:val="000000"/>
                <w:sz w:val="18"/>
              </w:rPr>
              <w:t xml:space="preserve">219.23</w:t>
            </w:r>
          </w:p>
        </w:tc>
        <w:tc>
          <w:tcPr>
            <w:tcW w:w="1772" w:type="dxa"/>
            <w:tcBorders/>
            <w:vAlign w:val="center"/>
          </w:tcPr>
          <w:p>
            <w:pPr>
              <w:jc w:val="right"/>
            </w:pPr>
            <w:r>
              <w:rPr>
                <w:rFonts w:ascii="宋体" w:eastAsia="宋体" w:hAnsi="宋体" w:cs="宋体"/>
                <w:b w:val="0"/>
                <w:i w:val="0"/>
                <w:color w:val="000000"/>
                <w:sz w:val="18"/>
              </w:rPr>
              <w:t xml:space="preserve">823.67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277.58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15.83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82.48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2.09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4.36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6.33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102.27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30.61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10.66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11.99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1.34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31.59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2.95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278.05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15.83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部门：辽宁省沈阳市浑南区金融发展服务中心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处非宣传经费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此项工作涉及市考核指标，2024年应予以安排，将按照工作进度逐步开展相关活动。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按照工作需求完成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全年执法检查数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培训人才类型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发债企业募集资金用于本地项目投资比例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非法采砂案件控制率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宣传促销成本控制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审计移送处理事项涉及的金额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帮助企业有效处理双反案件效果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21.608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按照工作需要和实际情况完成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已经按照要求完成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平台服务残疾人数量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7岁以下贫困残疾儿童生活补助救助补贴发放及时率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对残疾人个体创业给予资金补助标准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残疾人社会参与度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残疾人照护服务能力提升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改善残疾人学习质量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金融岛项目咨询费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按照区委区政府2025年工作计划安排，将围绕金融岛业务进一步深入开展调研等相关工作。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按照工作需要和实际情况完成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完成金融文化教育建设配套亭阁数量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营建金融生态环境宣传资料数量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营建金融生态环境宣传资料成本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金融机构监管评级成本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金融机构支持民营企业发展奖励政策的实施期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金融企业人员满意度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9.197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17.67528517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深交所辽宁基地保障经费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按照工作安排完成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首贷中心开发及维护费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按照市人民银行的要求，此项经费已经安装、验收完毕，并正常运行。按合同应予付款，否则可能会影响营商环境。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按照预算要求执行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发放贷款人数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省科技融资担保贷款金额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扶贫小额贷款还款率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创业担保贷款回收率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创业担保贷款利率保持在政策规定水平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扶贫小额贷款贴息标准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创业担保贷款存量增长率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贷款回收率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小额贷款覆盖率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贷款银行满意度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按照实际情况完成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8.48125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银企对接经费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此项工作涉及市考核指标，2024年应予以安排，将按照工作进度逐步开展相关活动。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按照工作实际情况</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走访企业数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调查企业户数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企业上市成功率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单户企业或单个项目现场检查时间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补助企业改制资金拨付完成时间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企业融资路演活动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企业上市培训次数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受助企业回报率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降低企业融资成本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构建企业监管格局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其他:根据预算要求并结合单位实际情况，编制2024年度金融中心预算，按照财政预算要求执行。</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7.102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招商差旅费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沈阳市浑南区金融发展服务中心本级-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按照区委区政府2024年工作计划安排，将围绕金融岛业务进一步深入开展调研等相关工作。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按照工作实际安排完成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招商推介活动次数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招商活动的签约项目个数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招商引资增长率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招商引资项目总体增长率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农业招商会展活动时限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开展项目考核、调研等工作差旅费标准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招商活动的签约的项目金额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11.039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招商活动签约项目增长率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11.122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其他:根据工作需要和安排，严格按照要求执行部门预算，优化任务优先级排序机制，加强调研评估。</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17.1656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081001沈阳市浑南区金融发展服务中心本级-210112000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295.91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295.91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215.99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215.99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完成当年任务，有效完成任务。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按工作需要完成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根据工作需要和安排，严格按照要求执行部门预算，优化任务优先级排序机制，加强调研评估。</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其他:根据工作需要和安排，严格按照要求执行部门预算，优化任务优先级排序机制，加强调研评估。</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工作完成情况办结率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根据工作需要和安排，严格按照要求执行部门预算，优化任务优先级排序机制，加强调研评估。</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其他:根据工作需要和安排，严格按照要求执行部门预算，优化任务优先级排序机制，加强调研评估。</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根据工作需要和安排，严格按照要求执行部门预算，优化任务优先级排序机制，加强调研评估。</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其他:根据工作需要和安排，严格按照要求执行部门预算，优化任务优先级排序机制，加强调研评估。</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根据工作需要和安排，严格按照要求执行部门预算，优化任务优先级排序机制，加强调研评估。</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其他:根据工作需要和安排，严格按照要求执行部门预算，优化任务优先级排序机制，加强调研评估。</w:t>
            </w: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还本付息及时性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认真执行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未达成预期指标且效果较差60%-0%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根据工作需要和安排，严格按照要求执行部门预算，优化任务优先级排序机制，加强调研评估。</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其他:根据工作需要和安排，严格按照要求执行部门预算，优化任务优先级排序机制，加强调研评估。</w:t>
            </w: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受益对象满意度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社会公众投诉次数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典当行等三类机构监管制度健全性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认真完成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推进三链融合发展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部分达成预期指标并具有一定效果80%-60%（含）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根据工作需要和安排，严格按照要求执行部门预算，优化任务优先级排序机制，加强调研评估。</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其他:根据工作需要和安排，严格按照要求执行部门预算，优化任务优先级排序机制，加强调研评估。</w:t>
            </w: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94.47</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