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辽宁省沈阳高新技术产业开发区管理委员会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辽宁省沈阳高新技术产业开发区管理委员会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辽宁省沈阳高新技术产业开发区管理委员会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辽宁省沈阳高新技术产业开发区管理委员会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辽宁省沈阳高新技术产业开发区管理委员会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辽宁省沈阳高新技术产业开发区管理委员会概况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沈阳高新技术产业开发区管理委员会主要负责高新区的政策制定、发展规划、科技创新、投资促进和项目建设服务等经济发展职能。</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辽宁省沈阳高新技术产业开发区管理委员会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沈阳高新技术产业开发区管理委员会本级，本单位无下设机构。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21689.55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21527.29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99.25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16527.29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5000.00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162.27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0.75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主要是智慧之云供暖费等收入。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增加4775.01万元，增长28.23%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大力支持科学技术等项目运作</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21689.55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2970.29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13.69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工资福利支出2693.14万元；商品和服务支出263.98万元；对个人和家庭的补助13.17万元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18719.26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86.31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主要包括科学技术等业务支出。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增加4775.01万元，增长28.23%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大力支持科学技术等项目运作，支出相应增加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本年度无结转和结余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21527.29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2970.29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18557.00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增加4682.74万元，增长27.80%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大力支持科学技术等项目运作,支出相应增加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236.12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89.13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320.82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2024年度一般公共预算财政拨款支出16527.29万元。按支出功能分类科目分，包括：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1.一般公共服务支出706.28万元，具体包括：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商贸事务（款）招商引资（项）706.28万元,主要是招商引资费用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2.科学技术支出14843.68万元，具体包括：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科学技术管理事务（款）其他科学技术管理事务支出（项）6590.02万元,主要是工资福利支出、日常运转费用等支出，完成年初预算的78.91%，决算数与年初预算数存在差异的主要原因是财政拨款收入减少，支出相应减少，决算数小于预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科学技术支出（类）其他科学技术支出（款）其他科学技术支出（项）8253.66万元,主要是产业扶持资金等支出，完成年初预算的100%，决算数与年初预算数存在差异的主要原因是产业扶持专项资金预算安排在政府大专项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3.社会保障和就业支出474.33万元，具体包括：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11.81万元,主要是退休人员采暖费等支出，完成年初预算的70.34%，决算数与年初预算数存在差异的主要原因是按照实际发生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272.55万元,主要是职工养老保险缴费等支出，完成年初预算的96.68%，决算数与年初预算数存在差异的主要原因是人员调整及缴费基数调整，当年职工养老保险支出减少，决算数小于预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188.61万元,主要是职工职业年金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1.36万元,主要是职工伤残抚恤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4.卫生健康支出100.45万元，具体包括：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100.45万元,主要是职工医疗保险等支出，完成年初预算的89.54%，决算数与年初预算数存在差异的主要原因是人员调整及缴费基数调整，本年医疗保险缴费支出减少，决算数小于预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5.资源勘探工业信息等支出35.09万元，具体包括：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其他资源勘探工业信息等支出（款）其他资源勘探工业信息等支出（项）35.09万元,主要是辽宁省集成电路展示厅设计搭建布展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6.商业服务业等支出80.00万元，具体包括：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涉外发展服务支出（款）其他涉外发展服务支出（项）30.00万元,主要是招商软件平台运营维护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商业服务业等支出（类）其他商业服务业等支出（款）其他商业服务业等支出（项）50.00万元,主要是新经济智库项目服务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7.住房保障支出287.47万元，具体包括：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287.47万元,主要是职工住房公积金等支出，完成年初预算的82.37%，决算数与年初预算数存在差异的主要原因是人员调整及缴费基数调整，本年公积金缴费支出减少，决算数小于预算数。</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2024年度政府性基金预算财政拨款支出5000.00万元。按支出功能分类科目分，包括：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1.城乡社区支出71.00万元，具体包括：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其他国有土地使用权出让收入安排的支出（项）71.00万元,主要是孵化器项目资金等支出，完成年初预算的100%，决算数与年初预算数存在差异的主要原因是完全按照预算执行，决算数与预算数实际上无任何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2.其他支出4929.00万元，具体包括：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其他政府性基金及对应专项债务收入安排的支出（款）其他地方自行试点项目收益专项债券收入安排的支出（项）4929.00万元,主要是孵化器项目资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本年未发生此业务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上年与本年均未发生此业务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上年与本年均未发生此业务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本年未发生此业务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上年与本年均未发生此业务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2970.29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2706.31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263.98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高新区管委会为事业单位，无机关运行经费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56.55</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56.55</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56.55</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100.00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具体而言，本年度我部门共组织对20个项目实施了绩效评价。从预算资金来源看，涉及一般公共预算的项目20个，涉及政府性基金预算的项目0个，涉及国有资本经营预算的项目0个。</w:t>
        <w:br/>
        <w:t xml:space="preserve">    上述评价工作共涉及财政资金13319.91万元。其中，一般公共预算资金13319.91,其中，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7个；得分在80分（含）至90分、等级为“良”的项目有0个；得分在60分（含）至80分、等级为“中”的项目有4；得分在60分以下、等级为“差”的项目有9个。各项目自评发现，部分项目存在问题，如：预算执行率较低，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产业及人才发展专项资金，涉及资金8497.44万元，评价平均分为99.34分，评级情况为优；第二个重点项目为物业管理费（高新区），涉及资金559.47万元，评价平均分为99.03分，评级情况为优；第三个重点项目为机关办公楼租赁费（高新区），涉及资金973.56万元，评价平均分为94.04分，评级情况为优。同时，评价也发现项目咨询费（高新区）、调研分析费项目存在问题，如：绩效指标设置不够细化、资金使用效益有待进一步提升等。针对评价发现的问题，我们已督促项目部门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br/>
        <w:t xml:space="preserve">    17.政府性基金预算财政拨款支出：为实现特定政策目标和支持特定事业发展，按照法定预算进行的、具有专项用途的财政支出活动，它对于推动国家基础设施建设和重点公共事业发展起着至关重要的作用。</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16,527.29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706.28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5,000.00</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162.27</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15,005.94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474.33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100.45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71.00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35.09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80.00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287.47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4,929.00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21,689.55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21,689.55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21,689.55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21,689.55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21,689.55</w:t>
            </w:r>
          </w:p>
        </w:tc>
        <w:tc>
          <w:tcPr>
            <w:tcW w:w="960" w:type="dxa"/>
            <w:tcBorders/>
            <w:vAlign w:val="center"/>
          </w:tcPr>
          <w:p>
            <w:pPr>
              <w:jc w:val="right"/>
            </w:pPr>
            <w:r>
              <w:rPr>
                <w:rFonts w:ascii="宋体" w:eastAsia="宋体" w:hAnsi="宋体" w:cs="宋体"/>
                <w:b/>
                <w:i w:val="0"/>
                <w:color w:val="000000"/>
                <w:sz w:val="13"/>
              </w:rPr>
              <w:t xml:space="preserve">21,527.29</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162.27</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706.28</w:t>
            </w:r>
          </w:p>
        </w:tc>
        <w:tc>
          <w:tcPr>
            <w:tcW w:w="960" w:type="dxa"/>
            <w:tcBorders/>
            <w:vAlign w:val="center"/>
          </w:tcPr>
          <w:p>
            <w:pPr>
              <w:jc w:val="right"/>
            </w:pPr>
            <w:r>
              <w:rPr>
                <w:rFonts w:ascii="宋体" w:eastAsia="宋体" w:hAnsi="宋体" w:cs="宋体"/>
                <w:b w:val="0"/>
                <w:i w:val="0"/>
                <w:color w:val="000000"/>
                <w:sz w:val="13"/>
              </w:rPr>
              <w:t xml:space="preserve">706.28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w:t>
            </w:r>
          </w:p>
        </w:tc>
        <w:tc>
          <w:tcPr>
            <w:tcW w:w="3200" w:type="dxa"/>
            <w:tcBorders/>
            <w:vAlign w:val="center"/>
          </w:tcPr>
          <w:p>
            <w:pPr>
              <w:jc w:val="left"/>
            </w:pPr>
            <w:r>
              <w:rPr>
                <w:rFonts w:ascii="宋体" w:eastAsia="宋体" w:hAnsi="宋体" w:cs="宋体"/>
                <w:b w:val="0"/>
                <w:i w:val="0"/>
                <w:color w:val="000000"/>
                <w:sz w:val="13"/>
              </w:rPr>
              <w:t xml:space="preserve">商贸事务</w:t>
            </w:r>
          </w:p>
        </w:tc>
        <w:tc>
          <w:tcPr>
            <w:tcW w:w="960" w:type="dxa"/>
            <w:tcBorders/>
            <w:vAlign w:val="center"/>
          </w:tcPr>
          <w:p>
            <w:pPr>
              <w:jc w:val="right"/>
            </w:pPr>
            <w:r>
              <w:rPr>
                <w:rFonts w:ascii="宋体" w:eastAsia="宋体" w:hAnsi="宋体" w:cs="宋体"/>
                <w:b w:val="0"/>
                <w:i w:val="0"/>
                <w:color w:val="000000"/>
                <w:sz w:val="13"/>
              </w:rPr>
              <w:t xml:space="preserve">706.28</w:t>
            </w:r>
          </w:p>
        </w:tc>
        <w:tc>
          <w:tcPr>
            <w:tcW w:w="960" w:type="dxa"/>
            <w:tcBorders/>
            <w:vAlign w:val="center"/>
          </w:tcPr>
          <w:p>
            <w:pPr>
              <w:jc w:val="right"/>
            </w:pPr>
            <w:r>
              <w:rPr>
                <w:rFonts w:ascii="宋体" w:eastAsia="宋体" w:hAnsi="宋体" w:cs="宋体"/>
                <w:b w:val="0"/>
                <w:i w:val="0"/>
                <w:color w:val="000000"/>
                <w:sz w:val="13"/>
              </w:rPr>
              <w:t xml:space="preserve">706.28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2011308</w:t>
            </w:r>
          </w:p>
        </w:tc>
        <w:tc>
          <w:tcPr>
            <w:tcW w:w="3200" w:type="dxa"/>
            <w:tcBorders/>
            <w:vAlign w:val="center"/>
          </w:tcPr>
          <w:p>
            <w:pPr>
              <w:jc w:val="left"/>
            </w:pPr>
            <w:r>
              <w:rPr>
                <w:rFonts w:ascii="宋体" w:eastAsia="宋体" w:hAnsi="宋体" w:cs="宋体"/>
                <w:b w:val="0"/>
                <w:i w:val="0"/>
                <w:color w:val="000000"/>
                <w:sz w:val="13"/>
              </w:rPr>
              <w:t xml:space="preserve">招商引资</w:t>
            </w:r>
          </w:p>
        </w:tc>
        <w:tc>
          <w:tcPr>
            <w:tcW w:w="960" w:type="dxa"/>
            <w:tcBorders/>
            <w:vAlign w:val="center"/>
          </w:tcPr>
          <w:p>
            <w:pPr>
              <w:jc w:val="right"/>
            </w:pPr>
            <w:r>
              <w:rPr>
                <w:rFonts w:ascii="宋体" w:eastAsia="宋体" w:hAnsi="宋体" w:cs="宋体"/>
                <w:b w:val="0"/>
                <w:i w:val="0"/>
                <w:color w:val="000000"/>
                <w:sz w:val="13"/>
              </w:rPr>
              <w:t xml:space="preserve">706.28</w:t>
            </w:r>
          </w:p>
        </w:tc>
        <w:tc>
          <w:tcPr>
            <w:tcW w:w="960" w:type="dxa"/>
            <w:tcBorders/>
            <w:vAlign w:val="center"/>
          </w:tcPr>
          <w:p>
            <w:pPr>
              <w:jc w:val="right"/>
            </w:pPr>
            <w:r>
              <w:rPr>
                <w:rFonts w:ascii="宋体" w:eastAsia="宋体" w:hAnsi="宋体" w:cs="宋体"/>
                <w:b w:val="0"/>
                <w:i w:val="0"/>
                <w:color w:val="000000"/>
                <w:sz w:val="13"/>
              </w:rPr>
              <w:t xml:space="preserve">706.28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15,005.94</w:t>
            </w:r>
          </w:p>
        </w:tc>
        <w:tc>
          <w:tcPr>
            <w:tcW w:w="960" w:type="dxa"/>
            <w:tcBorders/>
            <w:vAlign w:val="center"/>
          </w:tcPr>
          <w:p>
            <w:pPr>
              <w:jc w:val="right"/>
            </w:pPr>
            <w:r>
              <w:rPr>
                <w:rFonts w:ascii="宋体" w:eastAsia="宋体" w:hAnsi="宋体" w:cs="宋体"/>
                <w:b w:val="0"/>
                <w:i w:val="0"/>
                <w:color w:val="000000"/>
                <w:sz w:val="13"/>
              </w:rPr>
              <w:t xml:space="preserve">14,843.68</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162.27</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20601</w:t>
            </w:r>
          </w:p>
        </w:tc>
        <w:tc>
          <w:tcPr>
            <w:tcW w:w="3200" w:type="dxa"/>
            <w:tcBorders/>
            <w:vAlign w:val="center"/>
          </w:tcPr>
          <w:p>
            <w:pPr>
              <w:jc w:val="left"/>
            </w:pPr>
            <w:r>
              <w:rPr>
                <w:rFonts w:ascii="宋体" w:eastAsia="宋体" w:hAnsi="宋体" w:cs="宋体"/>
                <w:b w:val="0"/>
                <w:i w:val="0"/>
                <w:color w:val="000000"/>
                <w:sz w:val="13"/>
              </w:rPr>
              <w:t xml:space="preserve">科学技术管理事务</w:t>
            </w:r>
          </w:p>
        </w:tc>
        <w:tc>
          <w:tcPr>
            <w:tcW w:w="960" w:type="dxa"/>
            <w:tcBorders/>
            <w:vAlign w:val="center"/>
          </w:tcPr>
          <w:p>
            <w:pPr>
              <w:jc w:val="right"/>
            </w:pPr>
            <w:r>
              <w:rPr>
                <w:rFonts w:ascii="宋体" w:eastAsia="宋体" w:hAnsi="宋体" w:cs="宋体"/>
                <w:b w:val="0"/>
                <w:i w:val="0"/>
                <w:color w:val="000000"/>
                <w:sz w:val="13"/>
              </w:rPr>
              <w:t xml:space="preserve">6,752.28</w:t>
            </w:r>
          </w:p>
        </w:tc>
        <w:tc>
          <w:tcPr>
            <w:tcW w:w="960" w:type="dxa"/>
            <w:tcBorders/>
            <w:vAlign w:val="center"/>
          </w:tcPr>
          <w:p>
            <w:pPr>
              <w:jc w:val="right"/>
            </w:pPr>
            <w:r>
              <w:rPr>
                <w:rFonts w:ascii="宋体" w:eastAsia="宋体" w:hAnsi="宋体" w:cs="宋体"/>
                <w:b w:val="0"/>
                <w:i w:val="0"/>
                <w:color w:val="000000"/>
                <w:sz w:val="13"/>
              </w:rPr>
              <w:t xml:space="preserve">6,590.02</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162.27</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2060199</w:t>
            </w:r>
          </w:p>
        </w:tc>
        <w:tc>
          <w:tcPr>
            <w:tcW w:w="3200" w:type="dxa"/>
            <w:tcBorders/>
            <w:vAlign w:val="center"/>
          </w:tcPr>
          <w:p>
            <w:pPr>
              <w:jc w:val="left"/>
            </w:pPr>
            <w:r>
              <w:rPr>
                <w:rFonts w:ascii="宋体" w:eastAsia="宋体" w:hAnsi="宋体" w:cs="宋体"/>
                <w:b w:val="0"/>
                <w:i w:val="0"/>
                <w:color w:val="000000"/>
                <w:sz w:val="13"/>
              </w:rPr>
              <w:t xml:space="preserve">其他科学技术管理事务支出</w:t>
            </w:r>
          </w:p>
        </w:tc>
        <w:tc>
          <w:tcPr>
            <w:tcW w:w="960" w:type="dxa"/>
            <w:tcBorders/>
            <w:vAlign w:val="center"/>
          </w:tcPr>
          <w:p>
            <w:pPr>
              <w:jc w:val="right"/>
            </w:pPr>
            <w:r>
              <w:rPr>
                <w:rFonts w:ascii="宋体" w:eastAsia="宋体" w:hAnsi="宋体" w:cs="宋体"/>
                <w:b w:val="0"/>
                <w:i w:val="0"/>
                <w:color w:val="000000"/>
                <w:sz w:val="13"/>
              </w:rPr>
              <w:t xml:space="preserve">6,752.28</w:t>
            </w:r>
          </w:p>
        </w:tc>
        <w:tc>
          <w:tcPr>
            <w:tcW w:w="960" w:type="dxa"/>
            <w:tcBorders/>
            <w:vAlign w:val="center"/>
          </w:tcPr>
          <w:p>
            <w:pPr>
              <w:jc w:val="right"/>
            </w:pPr>
            <w:r>
              <w:rPr>
                <w:rFonts w:ascii="宋体" w:eastAsia="宋体" w:hAnsi="宋体" w:cs="宋体"/>
                <w:b w:val="0"/>
                <w:i w:val="0"/>
                <w:color w:val="000000"/>
                <w:sz w:val="13"/>
              </w:rPr>
              <w:t xml:space="preserve">6,590.02</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162.27</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8,253.66</w:t>
            </w:r>
          </w:p>
        </w:tc>
        <w:tc>
          <w:tcPr>
            <w:tcW w:w="960" w:type="dxa"/>
            <w:tcBorders/>
            <w:vAlign w:val="center"/>
          </w:tcPr>
          <w:p>
            <w:pPr>
              <w:jc w:val="right"/>
            </w:pPr>
            <w:r>
              <w:rPr>
                <w:rFonts w:ascii="宋体" w:eastAsia="宋体" w:hAnsi="宋体" w:cs="宋体"/>
                <w:b w:val="0"/>
                <w:i w:val="0"/>
                <w:color w:val="000000"/>
                <w:sz w:val="13"/>
              </w:rPr>
              <w:t xml:space="preserve">8,253.66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8,253.66</w:t>
            </w:r>
          </w:p>
        </w:tc>
        <w:tc>
          <w:tcPr>
            <w:tcW w:w="960" w:type="dxa"/>
            <w:tcBorders/>
            <w:vAlign w:val="center"/>
          </w:tcPr>
          <w:p>
            <w:pPr>
              <w:jc w:val="right"/>
            </w:pPr>
            <w:r>
              <w:rPr>
                <w:rFonts w:ascii="宋体" w:eastAsia="宋体" w:hAnsi="宋体" w:cs="宋体"/>
                <w:b w:val="0"/>
                <w:i w:val="0"/>
                <w:color w:val="000000"/>
                <w:sz w:val="13"/>
              </w:rPr>
              <w:t xml:space="preserve">8,253.66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474.33</w:t>
            </w:r>
          </w:p>
        </w:tc>
        <w:tc>
          <w:tcPr>
            <w:tcW w:w="960" w:type="dxa"/>
            <w:tcBorders/>
            <w:vAlign w:val="center"/>
          </w:tcPr>
          <w:p>
            <w:pPr>
              <w:jc w:val="right"/>
            </w:pPr>
            <w:r>
              <w:rPr>
                <w:rFonts w:ascii="宋体" w:eastAsia="宋体" w:hAnsi="宋体" w:cs="宋体"/>
                <w:b w:val="0"/>
                <w:i w:val="0"/>
                <w:color w:val="000000"/>
                <w:sz w:val="13"/>
              </w:rPr>
              <w:t xml:space="preserve">474.33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472.97</w:t>
            </w:r>
          </w:p>
        </w:tc>
        <w:tc>
          <w:tcPr>
            <w:tcW w:w="960" w:type="dxa"/>
            <w:tcBorders/>
            <w:vAlign w:val="center"/>
          </w:tcPr>
          <w:p>
            <w:pPr>
              <w:jc w:val="right"/>
            </w:pPr>
            <w:r>
              <w:rPr>
                <w:rFonts w:ascii="宋体" w:eastAsia="宋体" w:hAnsi="宋体" w:cs="宋体"/>
                <w:b w:val="0"/>
                <w:i w:val="0"/>
                <w:color w:val="000000"/>
                <w:sz w:val="13"/>
              </w:rPr>
              <w:t xml:space="preserve">472.97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11.81</w:t>
            </w:r>
          </w:p>
        </w:tc>
        <w:tc>
          <w:tcPr>
            <w:tcW w:w="960" w:type="dxa"/>
            <w:tcBorders/>
            <w:vAlign w:val="center"/>
          </w:tcPr>
          <w:p>
            <w:pPr>
              <w:jc w:val="right"/>
            </w:pPr>
            <w:r>
              <w:rPr>
                <w:rFonts w:ascii="宋体" w:eastAsia="宋体" w:hAnsi="宋体" w:cs="宋体"/>
                <w:b w:val="0"/>
                <w:i w:val="0"/>
                <w:color w:val="000000"/>
                <w:sz w:val="13"/>
              </w:rPr>
              <w:t xml:space="preserve">11.81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272.55</w:t>
            </w:r>
          </w:p>
        </w:tc>
        <w:tc>
          <w:tcPr>
            <w:tcW w:w="960" w:type="dxa"/>
            <w:tcBorders/>
            <w:vAlign w:val="center"/>
          </w:tcPr>
          <w:p>
            <w:pPr>
              <w:jc w:val="right"/>
            </w:pPr>
            <w:r>
              <w:rPr>
                <w:rFonts w:ascii="宋体" w:eastAsia="宋体" w:hAnsi="宋体" w:cs="宋体"/>
                <w:b w:val="0"/>
                <w:i w:val="0"/>
                <w:color w:val="000000"/>
                <w:sz w:val="13"/>
              </w:rPr>
              <w:t xml:space="preserve">272.55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188.61</w:t>
            </w:r>
          </w:p>
        </w:tc>
        <w:tc>
          <w:tcPr>
            <w:tcW w:w="960" w:type="dxa"/>
            <w:tcBorders/>
            <w:vAlign w:val="center"/>
          </w:tcPr>
          <w:p>
            <w:pPr>
              <w:jc w:val="right"/>
            </w:pPr>
            <w:r>
              <w:rPr>
                <w:rFonts w:ascii="宋体" w:eastAsia="宋体" w:hAnsi="宋体" w:cs="宋体"/>
                <w:b w:val="0"/>
                <w:i w:val="0"/>
                <w:color w:val="000000"/>
                <w:sz w:val="13"/>
              </w:rPr>
              <w:t xml:space="preserve">188.61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100.45</w:t>
            </w:r>
          </w:p>
        </w:tc>
        <w:tc>
          <w:tcPr>
            <w:tcW w:w="960" w:type="dxa"/>
            <w:tcBorders/>
            <w:vAlign w:val="center"/>
          </w:tcPr>
          <w:p>
            <w:pPr>
              <w:jc w:val="right"/>
            </w:pPr>
            <w:r>
              <w:rPr>
                <w:rFonts w:ascii="宋体" w:eastAsia="宋体" w:hAnsi="宋体" w:cs="宋体"/>
                <w:b w:val="0"/>
                <w:i w:val="0"/>
                <w:color w:val="000000"/>
                <w:sz w:val="13"/>
              </w:rPr>
              <w:t xml:space="preserve">100.45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100.45</w:t>
            </w:r>
          </w:p>
        </w:tc>
        <w:tc>
          <w:tcPr>
            <w:tcW w:w="960" w:type="dxa"/>
            <w:tcBorders/>
            <w:vAlign w:val="center"/>
          </w:tcPr>
          <w:p>
            <w:pPr>
              <w:jc w:val="right"/>
            </w:pPr>
            <w:r>
              <w:rPr>
                <w:rFonts w:ascii="宋体" w:eastAsia="宋体" w:hAnsi="宋体" w:cs="宋体"/>
                <w:b w:val="0"/>
                <w:i w:val="0"/>
                <w:color w:val="000000"/>
                <w:sz w:val="13"/>
              </w:rPr>
              <w:t xml:space="preserve">100.45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100.45</w:t>
            </w:r>
          </w:p>
        </w:tc>
        <w:tc>
          <w:tcPr>
            <w:tcW w:w="960" w:type="dxa"/>
            <w:tcBorders/>
            <w:vAlign w:val="center"/>
          </w:tcPr>
          <w:p>
            <w:pPr>
              <w:jc w:val="right"/>
            </w:pPr>
            <w:r>
              <w:rPr>
                <w:rFonts w:ascii="宋体" w:eastAsia="宋体" w:hAnsi="宋体" w:cs="宋体"/>
                <w:b w:val="0"/>
                <w:i w:val="0"/>
                <w:color w:val="000000"/>
                <w:sz w:val="13"/>
              </w:rPr>
              <w:t xml:space="preserve">100.45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71.00</w:t>
            </w:r>
          </w:p>
        </w:tc>
        <w:tc>
          <w:tcPr>
            <w:tcW w:w="960" w:type="dxa"/>
            <w:tcBorders/>
            <w:vAlign w:val="center"/>
          </w:tcPr>
          <w:p>
            <w:pPr>
              <w:jc w:val="right"/>
            </w:pPr>
            <w:r>
              <w:rPr>
                <w:rFonts w:ascii="宋体" w:eastAsia="宋体" w:hAnsi="宋体" w:cs="宋体"/>
                <w:b w:val="0"/>
                <w:i w:val="0"/>
                <w:color w:val="000000"/>
                <w:sz w:val="13"/>
              </w:rPr>
              <w:t xml:space="preserve">71.00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71.00</w:t>
            </w:r>
          </w:p>
        </w:tc>
        <w:tc>
          <w:tcPr>
            <w:tcW w:w="960" w:type="dxa"/>
            <w:tcBorders/>
            <w:vAlign w:val="center"/>
          </w:tcPr>
          <w:p>
            <w:pPr>
              <w:jc w:val="right"/>
            </w:pPr>
            <w:r>
              <w:rPr>
                <w:rFonts w:ascii="宋体" w:eastAsia="宋体" w:hAnsi="宋体" w:cs="宋体"/>
                <w:b w:val="0"/>
                <w:i w:val="0"/>
                <w:color w:val="000000"/>
                <w:sz w:val="13"/>
              </w:rPr>
              <w:t xml:space="preserve">71.00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71.00</w:t>
            </w:r>
          </w:p>
        </w:tc>
        <w:tc>
          <w:tcPr>
            <w:tcW w:w="960" w:type="dxa"/>
            <w:tcBorders/>
            <w:vAlign w:val="center"/>
          </w:tcPr>
          <w:p>
            <w:pPr>
              <w:jc w:val="right"/>
            </w:pPr>
            <w:r>
              <w:rPr>
                <w:rFonts w:ascii="宋体" w:eastAsia="宋体" w:hAnsi="宋体" w:cs="宋体"/>
                <w:b w:val="0"/>
                <w:i w:val="0"/>
                <w:color w:val="000000"/>
                <w:sz w:val="13"/>
              </w:rPr>
              <w:t xml:space="preserve">71.00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35.09</w:t>
            </w:r>
          </w:p>
        </w:tc>
        <w:tc>
          <w:tcPr>
            <w:tcW w:w="960" w:type="dxa"/>
            <w:tcBorders/>
            <w:vAlign w:val="center"/>
          </w:tcPr>
          <w:p>
            <w:pPr>
              <w:jc w:val="right"/>
            </w:pPr>
            <w:r>
              <w:rPr>
                <w:rFonts w:ascii="宋体" w:eastAsia="宋体" w:hAnsi="宋体" w:cs="宋体"/>
                <w:b w:val="0"/>
                <w:i w:val="0"/>
                <w:color w:val="000000"/>
                <w:sz w:val="13"/>
              </w:rPr>
              <w:t xml:space="preserve">35.09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35.09</w:t>
            </w:r>
          </w:p>
        </w:tc>
        <w:tc>
          <w:tcPr>
            <w:tcW w:w="960" w:type="dxa"/>
            <w:tcBorders/>
            <w:vAlign w:val="center"/>
          </w:tcPr>
          <w:p>
            <w:pPr>
              <w:jc w:val="right"/>
            </w:pPr>
            <w:r>
              <w:rPr>
                <w:rFonts w:ascii="宋体" w:eastAsia="宋体" w:hAnsi="宋体" w:cs="宋体"/>
                <w:b w:val="0"/>
                <w:i w:val="0"/>
                <w:color w:val="000000"/>
                <w:sz w:val="13"/>
              </w:rPr>
              <w:t xml:space="preserve">35.09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35.09</w:t>
            </w:r>
          </w:p>
        </w:tc>
        <w:tc>
          <w:tcPr>
            <w:tcW w:w="960" w:type="dxa"/>
            <w:tcBorders/>
            <w:vAlign w:val="center"/>
          </w:tcPr>
          <w:p>
            <w:pPr>
              <w:jc w:val="right"/>
            </w:pPr>
            <w:r>
              <w:rPr>
                <w:rFonts w:ascii="宋体" w:eastAsia="宋体" w:hAnsi="宋体" w:cs="宋体"/>
                <w:b w:val="0"/>
                <w:i w:val="0"/>
                <w:color w:val="000000"/>
                <w:sz w:val="13"/>
              </w:rPr>
              <w:t xml:space="preserve">35.09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80.00</w:t>
            </w:r>
          </w:p>
        </w:tc>
        <w:tc>
          <w:tcPr>
            <w:tcW w:w="960" w:type="dxa"/>
            <w:tcBorders/>
            <w:vAlign w:val="center"/>
          </w:tcPr>
          <w:p>
            <w:pPr>
              <w:jc w:val="right"/>
            </w:pPr>
            <w:r>
              <w:rPr>
                <w:rFonts w:ascii="宋体" w:eastAsia="宋体" w:hAnsi="宋体" w:cs="宋体"/>
                <w:b w:val="0"/>
                <w:i w:val="0"/>
                <w:color w:val="000000"/>
                <w:sz w:val="13"/>
              </w:rPr>
              <w:t xml:space="preserve">80.00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21606</w:t>
            </w:r>
          </w:p>
        </w:tc>
        <w:tc>
          <w:tcPr>
            <w:tcW w:w="3200" w:type="dxa"/>
            <w:tcBorders/>
            <w:vAlign w:val="center"/>
          </w:tcPr>
          <w:p>
            <w:pPr>
              <w:jc w:val="left"/>
            </w:pPr>
            <w:r>
              <w:rPr>
                <w:rFonts w:ascii="宋体" w:eastAsia="宋体" w:hAnsi="宋体" w:cs="宋体"/>
                <w:b w:val="0"/>
                <w:i w:val="0"/>
                <w:color w:val="000000"/>
                <w:sz w:val="13"/>
              </w:rPr>
              <w:t xml:space="preserve">涉外发展服务支出</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2160699</w:t>
            </w:r>
          </w:p>
        </w:tc>
        <w:tc>
          <w:tcPr>
            <w:tcW w:w="3200" w:type="dxa"/>
            <w:tcBorders/>
            <w:vAlign w:val="center"/>
          </w:tcPr>
          <w:p>
            <w:pPr>
              <w:jc w:val="left"/>
            </w:pPr>
            <w:r>
              <w:rPr>
                <w:rFonts w:ascii="宋体" w:eastAsia="宋体" w:hAnsi="宋体" w:cs="宋体"/>
                <w:b w:val="0"/>
                <w:i w:val="0"/>
                <w:color w:val="000000"/>
                <w:sz w:val="13"/>
              </w:rPr>
              <w:t xml:space="preserve">其他涉外发展服务支出</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50.00</w:t>
            </w:r>
          </w:p>
        </w:tc>
        <w:tc>
          <w:tcPr>
            <w:tcW w:w="960" w:type="dxa"/>
            <w:tcBorders/>
            <w:vAlign w:val="center"/>
          </w:tcPr>
          <w:p>
            <w:pPr>
              <w:jc w:val="right"/>
            </w:pPr>
            <w:r>
              <w:rPr>
                <w:rFonts w:ascii="宋体" w:eastAsia="宋体" w:hAnsi="宋体" w:cs="宋体"/>
                <w:b w:val="0"/>
                <w:i w:val="0"/>
                <w:color w:val="000000"/>
                <w:sz w:val="13"/>
              </w:rPr>
              <w:t xml:space="preserve">50.00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50.00</w:t>
            </w:r>
          </w:p>
        </w:tc>
        <w:tc>
          <w:tcPr>
            <w:tcW w:w="960" w:type="dxa"/>
            <w:tcBorders/>
            <w:vAlign w:val="center"/>
          </w:tcPr>
          <w:p>
            <w:pPr>
              <w:jc w:val="right"/>
            </w:pPr>
            <w:r>
              <w:rPr>
                <w:rFonts w:ascii="宋体" w:eastAsia="宋体" w:hAnsi="宋体" w:cs="宋体"/>
                <w:b w:val="0"/>
                <w:i w:val="0"/>
                <w:color w:val="000000"/>
                <w:sz w:val="13"/>
              </w:rPr>
              <w:t xml:space="preserve">50.00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287.47</w:t>
            </w:r>
          </w:p>
        </w:tc>
        <w:tc>
          <w:tcPr>
            <w:tcW w:w="960" w:type="dxa"/>
            <w:tcBorders/>
            <w:vAlign w:val="center"/>
          </w:tcPr>
          <w:p>
            <w:pPr>
              <w:jc w:val="right"/>
            </w:pPr>
            <w:r>
              <w:rPr>
                <w:rFonts w:ascii="宋体" w:eastAsia="宋体" w:hAnsi="宋体" w:cs="宋体"/>
                <w:b w:val="0"/>
                <w:i w:val="0"/>
                <w:color w:val="000000"/>
                <w:sz w:val="13"/>
              </w:rPr>
              <w:t xml:space="preserve">287.47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287.47</w:t>
            </w:r>
          </w:p>
        </w:tc>
        <w:tc>
          <w:tcPr>
            <w:tcW w:w="960" w:type="dxa"/>
            <w:tcBorders/>
            <w:vAlign w:val="center"/>
          </w:tcPr>
          <w:p>
            <w:pPr>
              <w:jc w:val="right"/>
            </w:pPr>
            <w:r>
              <w:rPr>
                <w:rFonts w:ascii="宋体" w:eastAsia="宋体" w:hAnsi="宋体" w:cs="宋体"/>
                <w:b w:val="0"/>
                <w:i w:val="0"/>
                <w:color w:val="000000"/>
                <w:sz w:val="13"/>
              </w:rPr>
              <w:t xml:space="preserve">287.47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287.47</w:t>
            </w:r>
          </w:p>
        </w:tc>
        <w:tc>
          <w:tcPr>
            <w:tcW w:w="960" w:type="dxa"/>
            <w:tcBorders/>
            <w:vAlign w:val="center"/>
          </w:tcPr>
          <w:p>
            <w:pPr>
              <w:jc w:val="right"/>
            </w:pPr>
            <w:r>
              <w:rPr>
                <w:rFonts w:ascii="宋体" w:eastAsia="宋体" w:hAnsi="宋体" w:cs="宋体"/>
                <w:b w:val="0"/>
                <w:i w:val="0"/>
                <w:color w:val="000000"/>
                <w:sz w:val="13"/>
              </w:rPr>
              <w:t xml:space="preserve">287.47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4,929.00</w:t>
            </w:r>
          </w:p>
        </w:tc>
        <w:tc>
          <w:tcPr>
            <w:tcW w:w="960" w:type="dxa"/>
            <w:tcBorders/>
            <w:vAlign w:val="center"/>
          </w:tcPr>
          <w:p>
            <w:pPr>
              <w:jc w:val="right"/>
            </w:pPr>
            <w:r>
              <w:rPr>
                <w:rFonts w:ascii="宋体" w:eastAsia="宋体" w:hAnsi="宋体" w:cs="宋体"/>
                <w:b w:val="0"/>
                <w:i w:val="0"/>
                <w:color w:val="000000"/>
                <w:sz w:val="13"/>
              </w:rPr>
              <w:t xml:space="preserve">4,929.00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w:t>
            </w:r>
          </w:p>
        </w:tc>
        <w:tc>
          <w:tcPr>
            <w:tcW w:w="3200" w:type="dxa"/>
            <w:tcBorders/>
            <w:vAlign w:val="center"/>
          </w:tcPr>
          <w:p>
            <w:pPr>
              <w:jc w:val="left"/>
            </w:pPr>
            <w:r>
              <w:rPr>
                <w:rFonts w:ascii="宋体" w:eastAsia="宋体" w:hAnsi="宋体" w:cs="宋体"/>
                <w:b w:val="0"/>
                <w:i w:val="0"/>
                <w:color w:val="000000"/>
                <w:sz w:val="13"/>
              </w:rPr>
              <w:t xml:space="preserve">其他政府性基金及对应专项债务收入安排的支出</w:t>
            </w:r>
          </w:p>
        </w:tc>
        <w:tc>
          <w:tcPr>
            <w:tcW w:w="960" w:type="dxa"/>
            <w:tcBorders/>
            <w:vAlign w:val="center"/>
          </w:tcPr>
          <w:p>
            <w:pPr>
              <w:jc w:val="right"/>
            </w:pPr>
            <w:r>
              <w:rPr>
                <w:rFonts w:ascii="宋体" w:eastAsia="宋体" w:hAnsi="宋体" w:cs="宋体"/>
                <w:b w:val="0"/>
                <w:i w:val="0"/>
                <w:color w:val="000000"/>
                <w:sz w:val="13"/>
              </w:rPr>
              <w:t xml:space="preserve">4,929.00</w:t>
            </w:r>
          </w:p>
        </w:tc>
        <w:tc>
          <w:tcPr>
            <w:tcW w:w="960" w:type="dxa"/>
            <w:tcBorders/>
            <w:vAlign w:val="center"/>
          </w:tcPr>
          <w:p>
            <w:pPr>
              <w:jc w:val="right"/>
            </w:pPr>
            <w:r>
              <w:rPr>
                <w:rFonts w:ascii="宋体" w:eastAsia="宋体" w:hAnsi="宋体" w:cs="宋体"/>
                <w:b w:val="0"/>
                <w:i w:val="0"/>
                <w:color w:val="000000"/>
                <w:sz w:val="13"/>
              </w:rPr>
              <w:t xml:space="preserve">4,929.00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2290402</w:t>
            </w:r>
          </w:p>
        </w:tc>
        <w:tc>
          <w:tcPr>
            <w:tcW w:w="3200" w:type="dxa"/>
            <w:tcBorders/>
            <w:vAlign w:val="center"/>
          </w:tcPr>
          <w:p>
            <w:pPr>
              <w:jc w:val="left"/>
            </w:pPr>
            <w:r>
              <w:rPr>
                <w:rFonts w:ascii="宋体" w:eastAsia="宋体" w:hAnsi="宋体" w:cs="宋体"/>
                <w:b w:val="0"/>
                <w:i w:val="0"/>
                <w:color w:val="000000"/>
                <w:sz w:val="13"/>
              </w:rPr>
              <w:t xml:space="preserve">其他地方自行试点项目收益专项债券收入安排的支出</w:t>
            </w:r>
          </w:p>
        </w:tc>
        <w:tc>
          <w:tcPr>
            <w:tcW w:w="960" w:type="dxa"/>
            <w:tcBorders/>
            <w:vAlign w:val="center"/>
          </w:tcPr>
          <w:p>
            <w:pPr>
              <w:jc w:val="right"/>
            </w:pPr>
            <w:r>
              <w:rPr>
                <w:rFonts w:ascii="宋体" w:eastAsia="宋体" w:hAnsi="宋体" w:cs="宋体"/>
                <w:b w:val="0"/>
                <w:i w:val="0"/>
                <w:color w:val="000000"/>
                <w:sz w:val="13"/>
              </w:rPr>
              <w:t xml:space="preserve">4,929.00</w:t>
            </w:r>
          </w:p>
        </w:tc>
        <w:tc>
          <w:tcPr>
            <w:tcW w:w="960" w:type="dxa"/>
            <w:tcBorders/>
            <w:vAlign w:val="center"/>
          </w:tcPr>
          <w:p>
            <w:pPr>
              <w:jc w:val="right"/>
            </w:pPr>
            <w:r>
              <w:rPr>
                <w:rFonts w:ascii="宋体" w:eastAsia="宋体" w:hAnsi="宋体" w:cs="宋体"/>
                <w:b w:val="0"/>
                <w:i w:val="0"/>
                <w:color w:val="000000"/>
                <w:sz w:val="13"/>
              </w:rPr>
              <w:t xml:space="preserve">4,929.00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21,689.55</w:t>
            </w:r>
          </w:p>
        </w:tc>
        <w:tc>
          <w:tcPr>
            <w:tcW w:w="1060" w:type="dxa"/>
            <w:tcBorders/>
            <w:vAlign w:val="center"/>
          </w:tcPr>
          <w:p>
            <w:pPr>
              <w:jc w:val="right"/>
            </w:pPr>
            <w:r>
              <w:rPr>
                <w:rFonts w:ascii="宋体" w:eastAsia="宋体" w:hAnsi="宋体" w:cs="宋体"/>
                <w:b/>
                <w:i w:val="0"/>
                <w:color w:val="000000"/>
                <w:sz w:val="14"/>
              </w:rPr>
              <w:t xml:space="preserve">2,970.29</w:t>
            </w:r>
          </w:p>
        </w:tc>
        <w:tc>
          <w:tcPr>
            <w:tcW w:w="1060" w:type="dxa"/>
            <w:tcBorders/>
            <w:vAlign w:val="center"/>
          </w:tcPr>
          <w:p>
            <w:pPr>
              <w:jc w:val="right"/>
            </w:pPr>
            <w:r>
              <w:rPr>
                <w:rFonts w:ascii="宋体" w:eastAsia="宋体" w:hAnsi="宋体" w:cs="宋体"/>
                <w:b/>
                <w:i w:val="0"/>
                <w:color w:val="000000"/>
                <w:sz w:val="14"/>
              </w:rPr>
              <w:t xml:space="preserve">18,719.26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706.28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706.28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w:t>
            </w:r>
          </w:p>
        </w:tc>
        <w:tc>
          <w:tcPr>
            <w:tcW w:w="3440" w:type="dxa"/>
            <w:tcBorders/>
            <w:vAlign w:val="center"/>
          </w:tcPr>
          <w:p>
            <w:pPr>
              <w:jc w:val="left"/>
            </w:pPr>
            <w:r>
              <w:rPr>
                <w:rFonts w:ascii="宋体" w:eastAsia="宋体" w:hAnsi="宋体" w:cs="宋体"/>
                <w:b w:val="0"/>
                <w:i w:val="0"/>
                <w:color w:val="000000"/>
                <w:sz w:val="14"/>
              </w:rPr>
              <w:t xml:space="preserve">商贸事务</w:t>
            </w:r>
          </w:p>
        </w:tc>
        <w:tc>
          <w:tcPr>
            <w:tcW w:w="1060" w:type="dxa"/>
            <w:tcBorders/>
            <w:vAlign w:val="center"/>
          </w:tcPr>
          <w:p>
            <w:pPr>
              <w:jc w:val="right"/>
            </w:pPr>
            <w:r>
              <w:rPr>
                <w:rFonts w:ascii="宋体" w:eastAsia="宋体" w:hAnsi="宋体" w:cs="宋体"/>
                <w:b w:val="0"/>
                <w:i w:val="0"/>
                <w:color w:val="000000"/>
                <w:sz w:val="14"/>
              </w:rPr>
              <w:t xml:space="preserve">706.28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706.28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2011308</w:t>
            </w:r>
          </w:p>
        </w:tc>
        <w:tc>
          <w:tcPr>
            <w:tcW w:w="3440" w:type="dxa"/>
            <w:tcBorders/>
            <w:vAlign w:val="center"/>
          </w:tcPr>
          <w:p>
            <w:pPr>
              <w:jc w:val="left"/>
            </w:pPr>
            <w:r>
              <w:rPr>
                <w:rFonts w:ascii="宋体" w:eastAsia="宋体" w:hAnsi="宋体" w:cs="宋体"/>
                <w:b w:val="0"/>
                <w:i w:val="0"/>
                <w:color w:val="000000"/>
                <w:sz w:val="14"/>
              </w:rPr>
              <w:t xml:space="preserve">招商引资</w:t>
            </w:r>
          </w:p>
        </w:tc>
        <w:tc>
          <w:tcPr>
            <w:tcW w:w="1060" w:type="dxa"/>
            <w:tcBorders/>
            <w:vAlign w:val="center"/>
          </w:tcPr>
          <w:p>
            <w:pPr>
              <w:jc w:val="right"/>
            </w:pPr>
            <w:r>
              <w:rPr>
                <w:rFonts w:ascii="宋体" w:eastAsia="宋体" w:hAnsi="宋体" w:cs="宋体"/>
                <w:b w:val="0"/>
                <w:i w:val="0"/>
                <w:color w:val="000000"/>
                <w:sz w:val="14"/>
              </w:rPr>
              <w:t xml:space="preserve">706.28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706.28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15,005.94</w:t>
            </w:r>
          </w:p>
        </w:tc>
        <w:tc>
          <w:tcPr>
            <w:tcW w:w="1060" w:type="dxa"/>
            <w:tcBorders/>
            <w:vAlign w:val="center"/>
          </w:tcPr>
          <w:p>
            <w:pPr>
              <w:jc w:val="right"/>
            </w:pPr>
            <w:r>
              <w:rPr>
                <w:rFonts w:ascii="宋体" w:eastAsia="宋体" w:hAnsi="宋体" w:cs="宋体"/>
                <w:b w:val="0"/>
                <w:i w:val="0"/>
                <w:color w:val="000000"/>
                <w:sz w:val="14"/>
              </w:rPr>
              <w:t xml:space="preserve">2,108.04</w:t>
            </w:r>
          </w:p>
        </w:tc>
        <w:tc>
          <w:tcPr>
            <w:tcW w:w="1060" w:type="dxa"/>
            <w:tcBorders/>
            <w:vAlign w:val="center"/>
          </w:tcPr>
          <w:p>
            <w:pPr>
              <w:jc w:val="right"/>
            </w:pPr>
            <w:r>
              <w:rPr>
                <w:rFonts w:ascii="宋体" w:eastAsia="宋体" w:hAnsi="宋体" w:cs="宋体"/>
                <w:b w:val="0"/>
                <w:i w:val="0"/>
                <w:color w:val="000000"/>
                <w:sz w:val="14"/>
              </w:rPr>
              <w:t xml:space="preserve">12,897.90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20601</w:t>
            </w:r>
          </w:p>
        </w:tc>
        <w:tc>
          <w:tcPr>
            <w:tcW w:w="3440" w:type="dxa"/>
            <w:tcBorders/>
            <w:vAlign w:val="center"/>
          </w:tcPr>
          <w:p>
            <w:pPr>
              <w:jc w:val="left"/>
            </w:pPr>
            <w:r>
              <w:rPr>
                <w:rFonts w:ascii="宋体" w:eastAsia="宋体" w:hAnsi="宋体" w:cs="宋体"/>
                <w:b w:val="0"/>
                <w:i w:val="0"/>
                <w:color w:val="000000"/>
                <w:sz w:val="14"/>
              </w:rPr>
              <w:t xml:space="preserve">科学技术管理事务</w:t>
            </w:r>
          </w:p>
        </w:tc>
        <w:tc>
          <w:tcPr>
            <w:tcW w:w="1060" w:type="dxa"/>
            <w:tcBorders/>
            <w:vAlign w:val="center"/>
          </w:tcPr>
          <w:p>
            <w:pPr>
              <w:jc w:val="right"/>
            </w:pPr>
            <w:r>
              <w:rPr>
                <w:rFonts w:ascii="宋体" w:eastAsia="宋体" w:hAnsi="宋体" w:cs="宋体"/>
                <w:b w:val="0"/>
                <w:i w:val="0"/>
                <w:color w:val="000000"/>
                <w:sz w:val="14"/>
              </w:rPr>
              <w:t xml:space="preserve">6,752.28</w:t>
            </w:r>
          </w:p>
        </w:tc>
        <w:tc>
          <w:tcPr>
            <w:tcW w:w="1060" w:type="dxa"/>
            <w:tcBorders/>
            <w:vAlign w:val="center"/>
          </w:tcPr>
          <w:p>
            <w:pPr>
              <w:jc w:val="right"/>
            </w:pPr>
            <w:r>
              <w:rPr>
                <w:rFonts w:ascii="宋体" w:eastAsia="宋体" w:hAnsi="宋体" w:cs="宋体"/>
                <w:b w:val="0"/>
                <w:i w:val="0"/>
                <w:color w:val="000000"/>
                <w:sz w:val="14"/>
              </w:rPr>
              <w:t xml:space="preserve">2,108.04</w:t>
            </w:r>
          </w:p>
        </w:tc>
        <w:tc>
          <w:tcPr>
            <w:tcW w:w="1060" w:type="dxa"/>
            <w:tcBorders/>
            <w:vAlign w:val="center"/>
          </w:tcPr>
          <w:p>
            <w:pPr>
              <w:jc w:val="right"/>
            </w:pPr>
            <w:r>
              <w:rPr>
                <w:rFonts w:ascii="宋体" w:eastAsia="宋体" w:hAnsi="宋体" w:cs="宋体"/>
                <w:b w:val="0"/>
                <w:i w:val="0"/>
                <w:color w:val="000000"/>
                <w:sz w:val="14"/>
              </w:rPr>
              <w:t xml:space="preserve">4,644.24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2060199</w:t>
            </w:r>
          </w:p>
        </w:tc>
        <w:tc>
          <w:tcPr>
            <w:tcW w:w="3440" w:type="dxa"/>
            <w:tcBorders/>
            <w:vAlign w:val="center"/>
          </w:tcPr>
          <w:p>
            <w:pPr>
              <w:jc w:val="left"/>
            </w:pPr>
            <w:r>
              <w:rPr>
                <w:rFonts w:ascii="宋体" w:eastAsia="宋体" w:hAnsi="宋体" w:cs="宋体"/>
                <w:b w:val="0"/>
                <w:i w:val="0"/>
                <w:color w:val="000000"/>
                <w:sz w:val="14"/>
              </w:rPr>
              <w:t xml:space="preserve">其他科学技术管理事务支出</w:t>
            </w:r>
          </w:p>
        </w:tc>
        <w:tc>
          <w:tcPr>
            <w:tcW w:w="1060" w:type="dxa"/>
            <w:tcBorders/>
            <w:vAlign w:val="center"/>
          </w:tcPr>
          <w:p>
            <w:pPr>
              <w:jc w:val="right"/>
            </w:pPr>
            <w:r>
              <w:rPr>
                <w:rFonts w:ascii="宋体" w:eastAsia="宋体" w:hAnsi="宋体" w:cs="宋体"/>
                <w:b w:val="0"/>
                <w:i w:val="0"/>
                <w:color w:val="000000"/>
                <w:sz w:val="14"/>
              </w:rPr>
              <w:t xml:space="preserve">6,752.28</w:t>
            </w:r>
          </w:p>
        </w:tc>
        <w:tc>
          <w:tcPr>
            <w:tcW w:w="1060" w:type="dxa"/>
            <w:tcBorders/>
            <w:vAlign w:val="center"/>
          </w:tcPr>
          <w:p>
            <w:pPr>
              <w:jc w:val="right"/>
            </w:pPr>
            <w:r>
              <w:rPr>
                <w:rFonts w:ascii="宋体" w:eastAsia="宋体" w:hAnsi="宋体" w:cs="宋体"/>
                <w:b w:val="0"/>
                <w:i w:val="0"/>
                <w:color w:val="000000"/>
                <w:sz w:val="14"/>
              </w:rPr>
              <w:t xml:space="preserve">2,108.04</w:t>
            </w:r>
          </w:p>
        </w:tc>
        <w:tc>
          <w:tcPr>
            <w:tcW w:w="1060" w:type="dxa"/>
            <w:tcBorders/>
            <w:vAlign w:val="center"/>
          </w:tcPr>
          <w:p>
            <w:pPr>
              <w:jc w:val="right"/>
            </w:pPr>
            <w:r>
              <w:rPr>
                <w:rFonts w:ascii="宋体" w:eastAsia="宋体" w:hAnsi="宋体" w:cs="宋体"/>
                <w:b w:val="0"/>
                <w:i w:val="0"/>
                <w:color w:val="000000"/>
                <w:sz w:val="14"/>
              </w:rPr>
              <w:t xml:space="preserve">4,644.24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8,253.66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8,253.66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8,253.66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8,253.66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474.33</w:t>
            </w:r>
          </w:p>
        </w:tc>
        <w:tc>
          <w:tcPr>
            <w:tcW w:w="1060" w:type="dxa"/>
            <w:tcBorders/>
            <w:vAlign w:val="center"/>
          </w:tcPr>
          <w:p>
            <w:pPr>
              <w:jc w:val="right"/>
            </w:pPr>
            <w:r>
              <w:rPr>
                <w:rFonts w:ascii="宋体" w:eastAsia="宋体" w:hAnsi="宋体" w:cs="宋体"/>
                <w:b w:val="0"/>
                <w:i w:val="0"/>
                <w:color w:val="000000"/>
                <w:sz w:val="14"/>
              </w:rPr>
              <w:t xml:space="preserve">474.33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472.97</w:t>
            </w:r>
          </w:p>
        </w:tc>
        <w:tc>
          <w:tcPr>
            <w:tcW w:w="1060" w:type="dxa"/>
            <w:tcBorders/>
            <w:vAlign w:val="center"/>
          </w:tcPr>
          <w:p>
            <w:pPr>
              <w:jc w:val="right"/>
            </w:pPr>
            <w:r>
              <w:rPr>
                <w:rFonts w:ascii="宋体" w:eastAsia="宋体" w:hAnsi="宋体" w:cs="宋体"/>
                <w:b w:val="0"/>
                <w:i w:val="0"/>
                <w:color w:val="000000"/>
                <w:sz w:val="14"/>
              </w:rPr>
              <w:t xml:space="preserve">472.97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11.81</w:t>
            </w:r>
          </w:p>
        </w:tc>
        <w:tc>
          <w:tcPr>
            <w:tcW w:w="1060" w:type="dxa"/>
            <w:tcBorders/>
            <w:vAlign w:val="center"/>
          </w:tcPr>
          <w:p>
            <w:pPr>
              <w:jc w:val="right"/>
            </w:pPr>
            <w:r>
              <w:rPr>
                <w:rFonts w:ascii="宋体" w:eastAsia="宋体" w:hAnsi="宋体" w:cs="宋体"/>
                <w:b w:val="0"/>
                <w:i w:val="0"/>
                <w:color w:val="000000"/>
                <w:sz w:val="14"/>
              </w:rPr>
              <w:t xml:space="preserve">11.81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272.55</w:t>
            </w:r>
          </w:p>
        </w:tc>
        <w:tc>
          <w:tcPr>
            <w:tcW w:w="1060" w:type="dxa"/>
            <w:tcBorders/>
            <w:vAlign w:val="center"/>
          </w:tcPr>
          <w:p>
            <w:pPr>
              <w:jc w:val="right"/>
            </w:pPr>
            <w:r>
              <w:rPr>
                <w:rFonts w:ascii="宋体" w:eastAsia="宋体" w:hAnsi="宋体" w:cs="宋体"/>
                <w:b w:val="0"/>
                <w:i w:val="0"/>
                <w:color w:val="000000"/>
                <w:sz w:val="14"/>
              </w:rPr>
              <w:t xml:space="preserve">272.55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188.61</w:t>
            </w:r>
          </w:p>
        </w:tc>
        <w:tc>
          <w:tcPr>
            <w:tcW w:w="1060" w:type="dxa"/>
            <w:tcBorders/>
            <w:vAlign w:val="center"/>
          </w:tcPr>
          <w:p>
            <w:pPr>
              <w:jc w:val="right"/>
            </w:pPr>
            <w:r>
              <w:rPr>
                <w:rFonts w:ascii="宋体" w:eastAsia="宋体" w:hAnsi="宋体" w:cs="宋体"/>
                <w:b w:val="0"/>
                <w:i w:val="0"/>
                <w:color w:val="000000"/>
                <w:sz w:val="14"/>
              </w:rPr>
              <w:t xml:space="preserve">188.61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100.45</w:t>
            </w:r>
          </w:p>
        </w:tc>
        <w:tc>
          <w:tcPr>
            <w:tcW w:w="1060" w:type="dxa"/>
            <w:tcBorders/>
            <w:vAlign w:val="center"/>
          </w:tcPr>
          <w:p>
            <w:pPr>
              <w:jc w:val="right"/>
            </w:pPr>
            <w:r>
              <w:rPr>
                <w:rFonts w:ascii="宋体" w:eastAsia="宋体" w:hAnsi="宋体" w:cs="宋体"/>
                <w:b w:val="0"/>
                <w:i w:val="0"/>
                <w:color w:val="000000"/>
                <w:sz w:val="14"/>
              </w:rPr>
              <w:t xml:space="preserve">100.45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100.45</w:t>
            </w:r>
          </w:p>
        </w:tc>
        <w:tc>
          <w:tcPr>
            <w:tcW w:w="1060" w:type="dxa"/>
            <w:tcBorders/>
            <w:vAlign w:val="center"/>
          </w:tcPr>
          <w:p>
            <w:pPr>
              <w:jc w:val="right"/>
            </w:pPr>
            <w:r>
              <w:rPr>
                <w:rFonts w:ascii="宋体" w:eastAsia="宋体" w:hAnsi="宋体" w:cs="宋体"/>
                <w:b w:val="0"/>
                <w:i w:val="0"/>
                <w:color w:val="000000"/>
                <w:sz w:val="14"/>
              </w:rPr>
              <w:t xml:space="preserve">100.45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100.45</w:t>
            </w:r>
          </w:p>
        </w:tc>
        <w:tc>
          <w:tcPr>
            <w:tcW w:w="1060" w:type="dxa"/>
            <w:tcBorders/>
            <w:vAlign w:val="center"/>
          </w:tcPr>
          <w:p>
            <w:pPr>
              <w:jc w:val="right"/>
            </w:pPr>
            <w:r>
              <w:rPr>
                <w:rFonts w:ascii="宋体" w:eastAsia="宋体" w:hAnsi="宋体" w:cs="宋体"/>
                <w:b w:val="0"/>
                <w:i w:val="0"/>
                <w:color w:val="000000"/>
                <w:sz w:val="14"/>
              </w:rPr>
              <w:t xml:space="preserve">100.45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71.00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71.00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71.00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35.09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35.09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35.09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80.00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21606</w:t>
            </w:r>
          </w:p>
        </w:tc>
        <w:tc>
          <w:tcPr>
            <w:tcW w:w="3440" w:type="dxa"/>
            <w:tcBorders/>
            <w:vAlign w:val="center"/>
          </w:tcPr>
          <w:p>
            <w:pPr>
              <w:jc w:val="left"/>
            </w:pPr>
            <w:r>
              <w:rPr>
                <w:rFonts w:ascii="宋体" w:eastAsia="宋体" w:hAnsi="宋体" w:cs="宋体"/>
                <w:b w:val="0"/>
                <w:i w:val="0"/>
                <w:color w:val="000000"/>
                <w:sz w:val="14"/>
              </w:rPr>
              <w:t xml:space="preserve">涉外发展服务支出</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2160699</w:t>
            </w:r>
          </w:p>
        </w:tc>
        <w:tc>
          <w:tcPr>
            <w:tcW w:w="3440" w:type="dxa"/>
            <w:tcBorders/>
            <w:vAlign w:val="center"/>
          </w:tcPr>
          <w:p>
            <w:pPr>
              <w:jc w:val="left"/>
            </w:pPr>
            <w:r>
              <w:rPr>
                <w:rFonts w:ascii="宋体" w:eastAsia="宋体" w:hAnsi="宋体" w:cs="宋体"/>
                <w:b w:val="0"/>
                <w:i w:val="0"/>
                <w:color w:val="000000"/>
                <w:sz w:val="14"/>
              </w:rPr>
              <w:t xml:space="preserve">其他涉外发展服务支出</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50.00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50.00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287.47</w:t>
            </w:r>
          </w:p>
        </w:tc>
        <w:tc>
          <w:tcPr>
            <w:tcW w:w="1060" w:type="dxa"/>
            <w:tcBorders/>
            <w:vAlign w:val="center"/>
          </w:tcPr>
          <w:p>
            <w:pPr>
              <w:jc w:val="right"/>
            </w:pPr>
            <w:r>
              <w:rPr>
                <w:rFonts w:ascii="宋体" w:eastAsia="宋体" w:hAnsi="宋体" w:cs="宋体"/>
                <w:b w:val="0"/>
                <w:i w:val="0"/>
                <w:color w:val="000000"/>
                <w:sz w:val="14"/>
              </w:rPr>
              <w:t xml:space="preserve">287.47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287.47</w:t>
            </w:r>
          </w:p>
        </w:tc>
        <w:tc>
          <w:tcPr>
            <w:tcW w:w="1060" w:type="dxa"/>
            <w:tcBorders/>
            <w:vAlign w:val="center"/>
          </w:tcPr>
          <w:p>
            <w:pPr>
              <w:jc w:val="right"/>
            </w:pPr>
            <w:r>
              <w:rPr>
                <w:rFonts w:ascii="宋体" w:eastAsia="宋体" w:hAnsi="宋体" w:cs="宋体"/>
                <w:b w:val="0"/>
                <w:i w:val="0"/>
                <w:color w:val="000000"/>
                <w:sz w:val="14"/>
              </w:rPr>
              <w:t xml:space="preserve">287.47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287.47</w:t>
            </w:r>
          </w:p>
        </w:tc>
        <w:tc>
          <w:tcPr>
            <w:tcW w:w="1060" w:type="dxa"/>
            <w:tcBorders/>
            <w:vAlign w:val="center"/>
          </w:tcPr>
          <w:p>
            <w:pPr>
              <w:jc w:val="right"/>
            </w:pPr>
            <w:r>
              <w:rPr>
                <w:rFonts w:ascii="宋体" w:eastAsia="宋体" w:hAnsi="宋体" w:cs="宋体"/>
                <w:b w:val="0"/>
                <w:i w:val="0"/>
                <w:color w:val="000000"/>
                <w:sz w:val="14"/>
              </w:rPr>
              <w:t xml:space="preserve">287.47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4,929.00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4,929.00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w:t>
            </w:r>
          </w:p>
        </w:tc>
        <w:tc>
          <w:tcPr>
            <w:tcW w:w="3440" w:type="dxa"/>
            <w:tcBorders/>
            <w:vAlign w:val="center"/>
          </w:tcPr>
          <w:p>
            <w:pPr>
              <w:jc w:val="left"/>
            </w:pPr>
            <w:r>
              <w:rPr>
                <w:rFonts w:ascii="宋体" w:eastAsia="宋体" w:hAnsi="宋体" w:cs="宋体"/>
                <w:b w:val="0"/>
                <w:i w:val="0"/>
                <w:color w:val="000000"/>
                <w:sz w:val="14"/>
              </w:rPr>
              <w:t xml:space="preserve">其他政府性基金及对应专项债务收入安排的支出</w:t>
            </w:r>
          </w:p>
        </w:tc>
        <w:tc>
          <w:tcPr>
            <w:tcW w:w="1060" w:type="dxa"/>
            <w:tcBorders/>
            <w:vAlign w:val="center"/>
          </w:tcPr>
          <w:p>
            <w:pPr>
              <w:jc w:val="right"/>
            </w:pPr>
            <w:r>
              <w:rPr>
                <w:rFonts w:ascii="宋体" w:eastAsia="宋体" w:hAnsi="宋体" w:cs="宋体"/>
                <w:b w:val="0"/>
                <w:i w:val="0"/>
                <w:color w:val="000000"/>
                <w:sz w:val="14"/>
              </w:rPr>
              <w:t xml:space="preserve">4,929.00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4,929.00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2290402</w:t>
            </w:r>
          </w:p>
        </w:tc>
        <w:tc>
          <w:tcPr>
            <w:tcW w:w="3440" w:type="dxa"/>
            <w:tcBorders/>
            <w:vAlign w:val="center"/>
          </w:tcPr>
          <w:p>
            <w:pPr>
              <w:jc w:val="left"/>
            </w:pPr>
            <w:r>
              <w:rPr>
                <w:rFonts w:ascii="宋体" w:eastAsia="宋体" w:hAnsi="宋体" w:cs="宋体"/>
                <w:b w:val="0"/>
                <w:i w:val="0"/>
                <w:color w:val="000000"/>
                <w:sz w:val="14"/>
              </w:rPr>
              <w:t xml:space="preserve">其他地方自行试点项目收益专项债券收入安排的支出</w:t>
            </w:r>
          </w:p>
        </w:tc>
        <w:tc>
          <w:tcPr>
            <w:tcW w:w="1060" w:type="dxa"/>
            <w:tcBorders/>
            <w:vAlign w:val="center"/>
          </w:tcPr>
          <w:p>
            <w:pPr>
              <w:jc w:val="right"/>
            </w:pPr>
            <w:r>
              <w:rPr>
                <w:rFonts w:ascii="宋体" w:eastAsia="宋体" w:hAnsi="宋体" w:cs="宋体"/>
                <w:b w:val="0"/>
                <w:i w:val="0"/>
                <w:color w:val="000000"/>
                <w:sz w:val="14"/>
              </w:rPr>
              <w:t xml:space="preserve">4,929.00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4,929.00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16,527.29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706.28</w:t>
            </w:r>
          </w:p>
        </w:tc>
        <w:tc>
          <w:tcPr>
            <w:tcW w:w="1100" w:type="dxa"/>
            <w:tcBorders/>
            <w:vAlign w:val="center"/>
          </w:tcPr>
          <w:p>
            <w:pPr>
              <w:jc w:val="right"/>
            </w:pPr>
            <w:r>
              <w:rPr>
                <w:rFonts w:ascii="宋体" w:eastAsia="宋体" w:hAnsi="宋体" w:cs="宋体"/>
                <w:b w:val="0"/>
                <w:i w:val="0"/>
                <w:color w:val="000000"/>
                <w:sz w:val="14"/>
              </w:rPr>
              <w:t xml:space="preserve">706.28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5,000.00</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14,843.68</w:t>
            </w:r>
          </w:p>
        </w:tc>
        <w:tc>
          <w:tcPr>
            <w:tcW w:w="1100" w:type="dxa"/>
            <w:tcBorders/>
            <w:vAlign w:val="center"/>
          </w:tcPr>
          <w:p>
            <w:pPr>
              <w:jc w:val="right"/>
            </w:pPr>
            <w:r>
              <w:rPr>
                <w:rFonts w:ascii="宋体" w:eastAsia="宋体" w:hAnsi="宋体" w:cs="宋体"/>
                <w:b w:val="0"/>
                <w:i w:val="0"/>
                <w:color w:val="000000"/>
                <w:sz w:val="14"/>
              </w:rPr>
              <w:t xml:space="preserve">14,843.68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474.33</w:t>
            </w:r>
          </w:p>
        </w:tc>
        <w:tc>
          <w:tcPr>
            <w:tcW w:w="1100" w:type="dxa"/>
            <w:tcBorders/>
            <w:vAlign w:val="center"/>
          </w:tcPr>
          <w:p>
            <w:pPr>
              <w:jc w:val="right"/>
            </w:pPr>
            <w:r>
              <w:rPr>
                <w:rFonts w:ascii="宋体" w:eastAsia="宋体" w:hAnsi="宋体" w:cs="宋体"/>
                <w:b w:val="0"/>
                <w:i w:val="0"/>
                <w:color w:val="000000"/>
                <w:sz w:val="14"/>
              </w:rPr>
              <w:t xml:space="preserve">474.33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100.45</w:t>
            </w:r>
          </w:p>
        </w:tc>
        <w:tc>
          <w:tcPr>
            <w:tcW w:w="1100" w:type="dxa"/>
            <w:tcBorders/>
            <w:vAlign w:val="center"/>
          </w:tcPr>
          <w:p>
            <w:pPr>
              <w:jc w:val="right"/>
            </w:pPr>
            <w:r>
              <w:rPr>
                <w:rFonts w:ascii="宋体" w:eastAsia="宋体" w:hAnsi="宋体" w:cs="宋体"/>
                <w:b w:val="0"/>
                <w:i w:val="0"/>
                <w:color w:val="000000"/>
                <w:sz w:val="14"/>
              </w:rPr>
              <w:t xml:space="preserve">100.45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71.00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71.00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35.09</w:t>
            </w:r>
          </w:p>
        </w:tc>
        <w:tc>
          <w:tcPr>
            <w:tcW w:w="1100" w:type="dxa"/>
            <w:tcBorders/>
            <w:vAlign w:val="center"/>
          </w:tcPr>
          <w:p>
            <w:pPr>
              <w:jc w:val="right"/>
            </w:pPr>
            <w:r>
              <w:rPr>
                <w:rFonts w:ascii="宋体" w:eastAsia="宋体" w:hAnsi="宋体" w:cs="宋体"/>
                <w:b w:val="0"/>
                <w:i w:val="0"/>
                <w:color w:val="000000"/>
                <w:sz w:val="14"/>
              </w:rPr>
              <w:t xml:space="preserve">35.09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80.00</w:t>
            </w:r>
          </w:p>
        </w:tc>
        <w:tc>
          <w:tcPr>
            <w:tcW w:w="1100" w:type="dxa"/>
            <w:tcBorders/>
            <w:vAlign w:val="center"/>
          </w:tcPr>
          <w:p>
            <w:pPr>
              <w:jc w:val="right"/>
            </w:pPr>
            <w:r>
              <w:rPr>
                <w:rFonts w:ascii="宋体" w:eastAsia="宋体" w:hAnsi="宋体" w:cs="宋体"/>
                <w:b w:val="0"/>
                <w:i w:val="0"/>
                <w:color w:val="000000"/>
                <w:sz w:val="14"/>
              </w:rPr>
              <w:t xml:space="preserve">80.00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287.47</w:t>
            </w:r>
          </w:p>
        </w:tc>
        <w:tc>
          <w:tcPr>
            <w:tcW w:w="1100" w:type="dxa"/>
            <w:tcBorders/>
            <w:vAlign w:val="center"/>
          </w:tcPr>
          <w:p>
            <w:pPr>
              <w:jc w:val="right"/>
            </w:pPr>
            <w:r>
              <w:rPr>
                <w:rFonts w:ascii="宋体" w:eastAsia="宋体" w:hAnsi="宋体" w:cs="宋体"/>
                <w:b w:val="0"/>
                <w:i w:val="0"/>
                <w:color w:val="000000"/>
                <w:sz w:val="14"/>
              </w:rPr>
              <w:t xml:space="preserve">287.47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4,929.00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4,929.00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21,527.29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21,527.29</w:t>
            </w:r>
          </w:p>
        </w:tc>
        <w:tc>
          <w:tcPr>
            <w:tcW w:w="1100" w:type="dxa"/>
            <w:tcBorders/>
            <w:vAlign w:val="center"/>
          </w:tcPr>
          <w:p>
            <w:pPr>
              <w:jc w:val="right"/>
            </w:pPr>
            <w:r>
              <w:rPr>
                <w:rFonts w:ascii="宋体" w:eastAsia="宋体" w:hAnsi="宋体" w:cs="宋体"/>
                <w:b w:val="0"/>
                <w:i w:val="0"/>
                <w:color w:val="000000"/>
                <w:sz w:val="14"/>
              </w:rPr>
              <w:t xml:space="preserve">16,527.29</w:t>
            </w:r>
          </w:p>
        </w:tc>
        <w:tc>
          <w:tcPr>
            <w:tcW w:w="1100" w:type="dxa"/>
            <w:tcBorders/>
            <w:vAlign w:val="center"/>
          </w:tcPr>
          <w:p>
            <w:pPr>
              <w:jc w:val="right"/>
            </w:pPr>
            <w:r>
              <w:rPr>
                <w:rFonts w:ascii="宋体" w:eastAsia="宋体" w:hAnsi="宋体" w:cs="宋体"/>
                <w:b w:val="0"/>
                <w:i w:val="0"/>
                <w:color w:val="000000"/>
                <w:sz w:val="14"/>
              </w:rPr>
              <w:t xml:space="preserve">5,000.00</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21,527.29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21,527.29</w:t>
            </w:r>
          </w:p>
        </w:tc>
        <w:tc>
          <w:tcPr>
            <w:tcW w:w="1100" w:type="dxa"/>
            <w:tcBorders/>
            <w:vAlign w:val="center"/>
          </w:tcPr>
          <w:p>
            <w:pPr>
              <w:jc w:val="right"/>
            </w:pPr>
            <w:r>
              <w:rPr>
                <w:rFonts w:ascii="宋体" w:eastAsia="宋体" w:hAnsi="宋体" w:cs="宋体"/>
                <w:b w:val="0"/>
                <w:i w:val="0"/>
                <w:color w:val="000000"/>
                <w:sz w:val="14"/>
              </w:rPr>
              <w:t xml:space="preserve">16,527.29</w:t>
            </w:r>
          </w:p>
        </w:tc>
        <w:tc>
          <w:tcPr>
            <w:tcW w:w="1100" w:type="dxa"/>
            <w:tcBorders/>
            <w:vAlign w:val="center"/>
          </w:tcPr>
          <w:p>
            <w:pPr>
              <w:jc w:val="right"/>
            </w:pPr>
            <w:r>
              <w:rPr>
                <w:rFonts w:ascii="宋体" w:eastAsia="宋体" w:hAnsi="宋体" w:cs="宋体"/>
                <w:b w:val="0"/>
                <w:i w:val="0"/>
                <w:color w:val="000000"/>
                <w:sz w:val="14"/>
              </w:rPr>
              <w:t xml:space="preserve">5,000.00</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16,527.29</w:t>
            </w:r>
          </w:p>
        </w:tc>
        <w:tc>
          <w:tcPr>
            <w:tcW w:w="1780" w:type="dxa"/>
            <w:tcBorders/>
            <w:vAlign w:val="center"/>
          </w:tcPr>
          <w:p>
            <w:pPr>
              <w:jc w:val="right"/>
            </w:pPr>
            <w:r>
              <w:rPr>
                <w:rFonts w:ascii="宋体" w:eastAsia="宋体" w:hAnsi="宋体" w:cs="宋体"/>
                <w:b/>
                <w:i w:val="0"/>
                <w:color w:val="000000"/>
                <w:sz w:val="18"/>
              </w:rPr>
              <w:t xml:space="preserve">2,970.29</w:t>
            </w:r>
          </w:p>
        </w:tc>
        <w:tc>
          <w:tcPr>
            <w:tcW w:w="1772" w:type="dxa"/>
            <w:tcBorders/>
            <w:vAlign w:val="center"/>
          </w:tcPr>
          <w:p>
            <w:pPr>
              <w:jc w:val="right"/>
            </w:pPr>
            <w:r>
              <w:rPr>
                <w:rFonts w:ascii="宋体" w:eastAsia="宋体" w:hAnsi="宋体" w:cs="宋体"/>
                <w:b/>
                <w:i w:val="0"/>
                <w:color w:val="000000"/>
                <w:sz w:val="18"/>
              </w:rPr>
              <w:t xml:space="preserve">13,557.00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706.28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706.28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w:t>
            </w:r>
          </w:p>
        </w:tc>
        <w:tc>
          <w:tcPr>
            <w:tcW w:w="4300" w:type="dxa"/>
            <w:tcBorders/>
            <w:vAlign w:val="center"/>
          </w:tcPr>
          <w:p>
            <w:pPr>
              <w:jc w:val="left"/>
            </w:pPr>
            <w:r>
              <w:rPr>
                <w:rFonts w:ascii="宋体" w:eastAsia="宋体" w:hAnsi="宋体" w:cs="宋体"/>
                <w:b w:val="0"/>
                <w:i w:val="0"/>
                <w:color w:val="000000"/>
                <w:sz w:val="18"/>
              </w:rPr>
              <w:t xml:space="preserve">商贸事务</w:t>
            </w:r>
          </w:p>
        </w:tc>
        <w:tc>
          <w:tcPr>
            <w:tcW w:w="1780" w:type="dxa"/>
            <w:tcBorders/>
            <w:vAlign w:val="center"/>
          </w:tcPr>
          <w:p>
            <w:pPr>
              <w:jc w:val="right"/>
            </w:pPr>
            <w:r>
              <w:rPr>
                <w:rFonts w:ascii="宋体" w:eastAsia="宋体" w:hAnsi="宋体" w:cs="宋体"/>
                <w:b w:val="0"/>
                <w:i w:val="0"/>
                <w:color w:val="000000"/>
                <w:sz w:val="18"/>
              </w:rPr>
              <w:t xml:space="preserve">706.28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706.28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2011308</w:t>
            </w:r>
          </w:p>
        </w:tc>
        <w:tc>
          <w:tcPr>
            <w:tcW w:w="4300" w:type="dxa"/>
            <w:tcBorders/>
            <w:vAlign w:val="center"/>
          </w:tcPr>
          <w:p>
            <w:pPr>
              <w:jc w:val="left"/>
            </w:pPr>
            <w:r>
              <w:rPr>
                <w:rFonts w:ascii="宋体" w:eastAsia="宋体" w:hAnsi="宋体" w:cs="宋体"/>
                <w:b w:val="0"/>
                <w:i w:val="0"/>
                <w:color w:val="000000"/>
                <w:sz w:val="18"/>
              </w:rPr>
              <w:t xml:space="preserve">招商引资</w:t>
            </w:r>
          </w:p>
        </w:tc>
        <w:tc>
          <w:tcPr>
            <w:tcW w:w="1780" w:type="dxa"/>
            <w:tcBorders/>
            <w:vAlign w:val="center"/>
          </w:tcPr>
          <w:p>
            <w:pPr>
              <w:jc w:val="right"/>
            </w:pPr>
            <w:r>
              <w:rPr>
                <w:rFonts w:ascii="宋体" w:eastAsia="宋体" w:hAnsi="宋体" w:cs="宋体"/>
                <w:b w:val="0"/>
                <w:i w:val="0"/>
                <w:color w:val="000000"/>
                <w:sz w:val="18"/>
              </w:rPr>
              <w:t xml:space="preserve">706.28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706.28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14,843.68</w:t>
            </w:r>
          </w:p>
        </w:tc>
        <w:tc>
          <w:tcPr>
            <w:tcW w:w="1780" w:type="dxa"/>
            <w:tcBorders/>
            <w:vAlign w:val="center"/>
          </w:tcPr>
          <w:p>
            <w:pPr>
              <w:jc w:val="right"/>
            </w:pPr>
            <w:r>
              <w:rPr>
                <w:rFonts w:ascii="宋体" w:eastAsia="宋体" w:hAnsi="宋体" w:cs="宋体"/>
                <w:b w:val="0"/>
                <w:i w:val="0"/>
                <w:color w:val="000000"/>
                <w:sz w:val="18"/>
              </w:rPr>
              <w:t xml:space="preserve">2,108.04</w:t>
            </w:r>
          </w:p>
        </w:tc>
        <w:tc>
          <w:tcPr>
            <w:tcW w:w="1772" w:type="dxa"/>
            <w:tcBorders/>
            <w:vAlign w:val="center"/>
          </w:tcPr>
          <w:p>
            <w:pPr>
              <w:jc w:val="right"/>
            </w:pPr>
            <w:r>
              <w:rPr>
                <w:rFonts w:ascii="宋体" w:eastAsia="宋体" w:hAnsi="宋体" w:cs="宋体"/>
                <w:b w:val="0"/>
                <w:i w:val="0"/>
                <w:color w:val="000000"/>
                <w:sz w:val="18"/>
              </w:rPr>
              <w:t xml:space="preserve">12,735.63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20601</w:t>
            </w:r>
          </w:p>
        </w:tc>
        <w:tc>
          <w:tcPr>
            <w:tcW w:w="4300" w:type="dxa"/>
            <w:tcBorders/>
            <w:vAlign w:val="center"/>
          </w:tcPr>
          <w:p>
            <w:pPr>
              <w:jc w:val="left"/>
            </w:pPr>
            <w:r>
              <w:rPr>
                <w:rFonts w:ascii="宋体" w:eastAsia="宋体" w:hAnsi="宋体" w:cs="宋体"/>
                <w:b w:val="0"/>
                <w:i w:val="0"/>
                <w:color w:val="000000"/>
                <w:sz w:val="18"/>
              </w:rPr>
              <w:t xml:space="preserve">科学技术管理事务</w:t>
            </w:r>
          </w:p>
        </w:tc>
        <w:tc>
          <w:tcPr>
            <w:tcW w:w="1780" w:type="dxa"/>
            <w:tcBorders/>
            <w:vAlign w:val="center"/>
          </w:tcPr>
          <w:p>
            <w:pPr>
              <w:jc w:val="right"/>
            </w:pPr>
            <w:r>
              <w:rPr>
                <w:rFonts w:ascii="宋体" w:eastAsia="宋体" w:hAnsi="宋体" w:cs="宋体"/>
                <w:b w:val="0"/>
                <w:i w:val="0"/>
                <w:color w:val="000000"/>
                <w:sz w:val="18"/>
              </w:rPr>
              <w:t xml:space="preserve">6,590.02</w:t>
            </w:r>
          </w:p>
        </w:tc>
        <w:tc>
          <w:tcPr>
            <w:tcW w:w="1780" w:type="dxa"/>
            <w:tcBorders/>
            <w:vAlign w:val="center"/>
          </w:tcPr>
          <w:p>
            <w:pPr>
              <w:jc w:val="right"/>
            </w:pPr>
            <w:r>
              <w:rPr>
                <w:rFonts w:ascii="宋体" w:eastAsia="宋体" w:hAnsi="宋体" w:cs="宋体"/>
                <w:b w:val="0"/>
                <w:i w:val="0"/>
                <w:color w:val="000000"/>
                <w:sz w:val="18"/>
              </w:rPr>
              <w:t xml:space="preserve">2,108.04</w:t>
            </w:r>
          </w:p>
        </w:tc>
        <w:tc>
          <w:tcPr>
            <w:tcW w:w="1772" w:type="dxa"/>
            <w:tcBorders/>
            <w:vAlign w:val="center"/>
          </w:tcPr>
          <w:p>
            <w:pPr>
              <w:jc w:val="right"/>
            </w:pPr>
            <w:r>
              <w:rPr>
                <w:rFonts w:ascii="宋体" w:eastAsia="宋体" w:hAnsi="宋体" w:cs="宋体"/>
                <w:b w:val="0"/>
                <w:i w:val="0"/>
                <w:color w:val="000000"/>
                <w:sz w:val="18"/>
              </w:rPr>
              <w:t xml:space="preserve">4,481.97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2060199</w:t>
            </w:r>
          </w:p>
        </w:tc>
        <w:tc>
          <w:tcPr>
            <w:tcW w:w="4300" w:type="dxa"/>
            <w:tcBorders/>
            <w:vAlign w:val="center"/>
          </w:tcPr>
          <w:p>
            <w:pPr>
              <w:jc w:val="left"/>
            </w:pPr>
            <w:r>
              <w:rPr>
                <w:rFonts w:ascii="宋体" w:eastAsia="宋体" w:hAnsi="宋体" w:cs="宋体"/>
                <w:b w:val="0"/>
                <w:i w:val="0"/>
                <w:color w:val="000000"/>
                <w:sz w:val="18"/>
              </w:rPr>
              <w:t xml:space="preserve">其他科学技术管理事务支出</w:t>
            </w:r>
          </w:p>
        </w:tc>
        <w:tc>
          <w:tcPr>
            <w:tcW w:w="1780" w:type="dxa"/>
            <w:tcBorders/>
            <w:vAlign w:val="center"/>
          </w:tcPr>
          <w:p>
            <w:pPr>
              <w:jc w:val="right"/>
            </w:pPr>
            <w:r>
              <w:rPr>
                <w:rFonts w:ascii="宋体" w:eastAsia="宋体" w:hAnsi="宋体" w:cs="宋体"/>
                <w:b w:val="0"/>
                <w:i w:val="0"/>
                <w:color w:val="000000"/>
                <w:sz w:val="18"/>
              </w:rPr>
              <w:t xml:space="preserve">6,590.02</w:t>
            </w:r>
          </w:p>
        </w:tc>
        <w:tc>
          <w:tcPr>
            <w:tcW w:w="1780" w:type="dxa"/>
            <w:tcBorders/>
            <w:vAlign w:val="center"/>
          </w:tcPr>
          <w:p>
            <w:pPr>
              <w:jc w:val="right"/>
            </w:pPr>
            <w:r>
              <w:rPr>
                <w:rFonts w:ascii="宋体" w:eastAsia="宋体" w:hAnsi="宋体" w:cs="宋体"/>
                <w:b w:val="0"/>
                <w:i w:val="0"/>
                <w:color w:val="000000"/>
                <w:sz w:val="18"/>
              </w:rPr>
              <w:t xml:space="preserve">2,108.04</w:t>
            </w:r>
          </w:p>
        </w:tc>
        <w:tc>
          <w:tcPr>
            <w:tcW w:w="1772" w:type="dxa"/>
            <w:tcBorders/>
            <w:vAlign w:val="center"/>
          </w:tcPr>
          <w:p>
            <w:pPr>
              <w:jc w:val="right"/>
            </w:pPr>
            <w:r>
              <w:rPr>
                <w:rFonts w:ascii="宋体" w:eastAsia="宋体" w:hAnsi="宋体" w:cs="宋体"/>
                <w:b w:val="0"/>
                <w:i w:val="0"/>
                <w:color w:val="000000"/>
                <w:sz w:val="18"/>
              </w:rPr>
              <w:t xml:space="preserve">4,481.97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8,253.66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8,253.66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8,253.66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8,253.66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474.33</w:t>
            </w:r>
          </w:p>
        </w:tc>
        <w:tc>
          <w:tcPr>
            <w:tcW w:w="1780" w:type="dxa"/>
            <w:tcBorders/>
            <w:vAlign w:val="center"/>
          </w:tcPr>
          <w:p>
            <w:pPr>
              <w:jc w:val="right"/>
            </w:pPr>
            <w:r>
              <w:rPr>
                <w:rFonts w:ascii="宋体" w:eastAsia="宋体" w:hAnsi="宋体" w:cs="宋体"/>
                <w:b w:val="0"/>
                <w:i w:val="0"/>
                <w:color w:val="000000"/>
                <w:sz w:val="18"/>
              </w:rPr>
              <w:t xml:space="preserve">474.33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472.97</w:t>
            </w:r>
          </w:p>
        </w:tc>
        <w:tc>
          <w:tcPr>
            <w:tcW w:w="1780" w:type="dxa"/>
            <w:tcBorders/>
            <w:vAlign w:val="center"/>
          </w:tcPr>
          <w:p>
            <w:pPr>
              <w:jc w:val="right"/>
            </w:pPr>
            <w:r>
              <w:rPr>
                <w:rFonts w:ascii="宋体" w:eastAsia="宋体" w:hAnsi="宋体" w:cs="宋体"/>
                <w:b w:val="0"/>
                <w:i w:val="0"/>
                <w:color w:val="000000"/>
                <w:sz w:val="18"/>
              </w:rPr>
              <w:t xml:space="preserve">472.97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11.81</w:t>
            </w:r>
          </w:p>
        </w:tc>
        <w:tc>
          <w:tcPr>
            <w:tcW w:w="1780" w:type="dxa"/>
            <w:tcBorders/>
            <w:vAlign w:val="center"/>
          </w:tcPr>
          <w:p>
            <w:pPr>
              <w:jc w:val="right"/>
            </w:pPr>
            <w:r>
              <w:rPr>
                <w:rFonts w:ascii="宋体" w:eastAsia="宋体" w:hAnsi="宋体" w:cs="宋体"/>
                <w:b w:val="0"/>
                <w:i w:val="0"/>
                <w:color w:val="000000"/>
                <w:sz w:val="18"/>
              </w:rPr>
              <w:t xml:space="preserve">11.81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272.55</w:t>
            </w:r>
          </w:p>
        </w:tc>
        <w:tc>
          <w:tcPr>
            <w:tcW w:w="1780" w:type="dxa"/>
            <w:tcBorders/>
            <w:vAlign w:val="center"/>
          </w:tcPr>
          <w:p>
            <w:pPr>
              <w:jc w:val="right"/>
            </w:pPr>
            <w:r>
              <w:rPr>
                <w:rFonts w:ascii="宋体" w:eastAsia="宋体" w:hAnsi="宋体" w:cs="宋体"/>
                <w:b w:val="0"/>
                <w:i w:val="0"/>
                <w:color w:val="000000"/>
                <w:sz w:val="18"/>
              </w:rPr>
              <w:t xml:space="preserve">272.55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188.61</w:t>
            </w:r>
          </w:p>
        </w:tc>
        <w:tc>
          <w:tcPr>
            <w:tcW w:w="1780" w:type="dxa"/>
            <w:tcBorders/>
            <w:vAlign w:val="center"/>
          </w:tcPr>
          <w:p>
            <w:pPr>
              <w:jc w:val="right"/>
            </w:pPr>
            <w:r>
              <w:rPr>
                <w:rFonts w:ascii="宋体" w:eastAsia="宋体" w:hAnsi="宋体" w:cs="宋体"/>
                <w:b w:val="0"/>
                <w:i w:val="0"/>
                <w:color w:val="000000"/>
                <w:sz w:val="18"/>
              </w:rPr>
              <w:t xml:space="preserve">188.61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100.45</w:t>
            </w:r>
          </w:p>
        </w:tc>
        <w:tc>
          <w:tcPr>
            <w:tcW w:w="1780" w:type="dxa"/>
            <w:tcBorders/>
            <w:vAlign w:val="center"/>
          </w:tcPr>
          <w:p>
            <w:pPr>
              <w:jc w:val="right"/>
            </w:pPr>
            <w:r>
              <w:rPr>
                <w:rFonts w:ascii="宋体" w:eastAsia="宋体" w:hAnsi="宋体" w:cs="宋体"/>
                <w:b w:val="0"/>
                <w:i w:val="0"/>
                <w:color w:val="000000"/>
                <w:sz w:val="18"/>
              </w:rPr>
              <w:t xml:space="preserve">100.45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100.45</w:t>
            </w:r>
          </w:p>
        </w:tc>
        <w:tc>
          <w:tcPr>
            <w:tcW w:w="1780" w:type="dxa"/>
            <w:tcBorders/>
            <w:vAlign w:val="center"/>
          </w:tcPr>
          <w:p>
            <w:pPr>
              <w:jc w:val="right"/>
            </w:pPr>
            <w:r>
              <w:rPr>
                <w:rFonts w:ascii="宋体" w:eastAsia="宋体" w:hAnsi="宋体" w:cs="宋体"/>
                <w:b w:val="0"/>
                <w:i w:val="0"/>
                <w:color w:val="000000"/>
                <w:sz w:val="18"/>
              </w:rPr>
              <w:t xml:space="preserve">100.45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100.45</w:t>
            </w:r>
          </w:p>
        </w:tc>
        <w:tc>
          <w:tcPr>
            <w:tcW w:w="1780" w:type="dxa"/>
            <w:tcBorders/>
            <w:vAlign w:val="center"/>
          </w:tcPr>
          <w:p>
            <w:pPr>
              <w:jc w:val="right"/>
            </w:pPr>
            <w:r>
              <w:rPr>
                <w:rFonts w:ascii="宋体" w:eastAsia="宋体" w:hAnsi="宋体" w:cs="宋体"/>
                <w:b w:val="0"/>
                <w:i w:val="0"/>
                <w:color w:val="000000"/>
                <w:sz w:val="18"/>
              </w:rPr>
              <w:t xml:space="preserve">100.45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35.09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35.09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35.09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80.00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21606</w:t>
            </w:r>
          </w:p>
        </w:tc>
        <w:tc>
          <w:tcPr>
            <w:tcW w:w="4300" w:type="dxa"/>
            <w:tcBorders/>
            <w:vAlign w:val="center"/>
          </w:tcPr>
          <w:p>
            <w:pPr>
              <w:jc w:val="left"/>
            </w:pPr>
            <w:r>
              <w:rPr>
                <w:rFonts w:ascii="宋体" w:eastAsia="宋体" w:hAnsi="宋体" w:cs="宋体"/>
                <w:b w:val="0"/>
                <w:i w:val="0"/>
                <w:color w:val="000000"/>
                <w:sz w:val="18"/>
              </w:rPr>
              <w:t xml:space="preserve">涉外发展服务支出</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2160699</w:t>
            </w:r>
          </w:p>
        </w:tc>
        <w:tc>
          <w:tcPr>
            <w:tcW w:w="4300" w:type="dxa"/>
            <w:tcBorders/>
            <w:vAlign w:val="center"/>
          </w:tcPr>
          <w:p>
            <w:pPr>
              <w:jc w:val="left"/>
            </w:pPr>
            <w:r>
              <w:rPr>
                <w:rFonts w:ascii="宋体" w:eastAsia="宋体" w:hAnsi="宋体" w:cs="宋体"/>
                <w:b w:val="0"/>
                <w:i w:val="0"/>
                <w:color w:val="000000"/>
                <w:sz w:val="18"/>
              </w:rPr>
              <w:t xml:space="preserve">其他涉外发展服务支出</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50.00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50.00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287.47</w:t>
            </w:r>
          </w:p>
        </w:tc>
        <w:tc>
          <w:tcPr>
            <w:tcW w:w="1780" w:type="dxa"/>
            <w:tcBorders/>
            <w:vAlign w:val="center"/>
          </w:tcPr>
          <w:p>
            <w:pPr>
              <w:jc w:val="right"/>
            </w:pPr>
            <w:r>
              <w:rPr>
                <w:rFonts w:ascii="宋体" w:eastAsia="宋体" w:hAnsi="宋体" w:cs="宋体"/>
                <w:b w:val="0"/>
                <w:i w:val="0"/>
                <w:color w:val="000000"/>
                <w:sz w:val="18"/>
              </w:rPr>
              <w:t xml:space="preserve">287.47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287.47</w:t>
            </w:r>
          </w:p>
        </w:tc>
        <w:tc>
          <w:tcPr>
            <w:tcW w:w="1780" w:type="dxa"/>
            <w:tcBorders/>
            <w:vAlign w:val="center"/>
          </w:tcPr>
          <w:p>
            <w:pPr>
              <w:jc w:val="right"/>
            </w:pPr>
            <w:r>
              <w:rPr>
                <w:rFonts w:ascii="宋体" w:eastAsia="宋体" w:hAnsi="宋体" w:cs="宋体"/>
                <w:b w:val="0"/>
                <w:i w:val="0"/>
                <w:color w:val="000000"/>
                <w:sz w:val="18"/>
              </w:rPr>
              <w:t xml:space="preserve">287.47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287.47</w:t>
            </w:r>
          </w:p>
        </w:tc>
        <w:tc>
          <w:tcPr>
            <w:tcW w:w="1780" w:type="dxa"/>
            <w:tcBorders/>
            <w:vAlign w:val="center"/>
          </w:tcPr>
          <w:p>
            <w:pPr>
              <w:jc w:val="right"/>
            </w:pPr>
            <w:r>
              <w:rPr>
                <w:rFonts w:ascii="宋体" w:eastAsia="宋体" w:hAnsi="宋体" w:cs="宋体"/>
                <w:b w:val="0"/>
                <w:i w:val="0"/>
                <w:color w:val="000000"/>
                <w:sz w:val="18"/>
              </w:rPr>
              <w:t xml:space="preserve">287.47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2,693.14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263.98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773.31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11.50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228.96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506.77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61.31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266.90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8.34</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272.55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45.56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188.61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112.81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100.45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1.80</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6.81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8.50</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287.47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13.17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0.91</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11.81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1.36</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0.18</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1.19</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15.23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52.05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5.00</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2,706.31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263.98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5,000.00</w:t>
            </w:r>
          </w:p>
        </w:tc>
        <w:tc>
          <w:tcPr>
            <w:tcW w:w="1040" w:type="dxa"/>
            <w:tcBorders/>
            <w:vAlign w:val="center"/>
          </w:tcPr>
          <w:p>
            <w:pPr>
              <w:jc w:val="right"/>
            </w:pPr>
            <w:r>
              <w:rPr>
                <w:rFonts w:ascii="宋体" w:eastAsia="宋体" w:hAnsi="宋体" w:cs="宋体"/>
                <w:b/>
                <w:i w:val="0"/>
                <w:color w:val="000000"/>
                <w:sz w:val="15"/>
              </w:rPr>
              <w:t xml:space="preserve">5,000.00</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5,000.00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71.00</w:t>
            </w:r>
          </w:p>
        </w:tc>
        <w:tc>
          <w:tcPr>
            <w:tcW w:w="1040" w:type="dxa"/>
            <w:tcBorders/>
            <w:vAlign w:val="center"/>
          </w:tcPr>
          <w:p>
            <w:pPr>
              <w:jc w:val="right"/>
            </w:pPr>
            <w:r>
              <w:rPr>
                <w:rFonts w:ascii="宋体" w:eastAsia="宋体" w:hAnsi="宋体" w:cs="宋体"/>
                <w:b w:val="0"/>
                <w:i w:val="0"/>
                <w:color w:val="000000"/>
                <w:sz w:val="15"/>
              </w:rPr>
              <w:t xml:space="preserve">71.00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71.00</w:t>
            </w:r>
          </w:p>
        </w:tc>
        <w:tc>
          <w:tcPr>
            <w:tcW w:w="1040" w:type="dxa"/>
            <w:tcBorders/>
            <w:vAlign w:val="center"/>
          </w:tcPr>
          <w:p>
            <w:pPr>
              <w:jc w:val="right"/>
            </w:pPr>
            <w:r>
              <w:rPr>
                <w:rFonts w:ascii="宋体" w:eastAsia="宋体" w:hAnsi="宋体" w:cs="宋体"/>
                <w:b w:val="0"/>
                <w:i w:val="0"/>
                <w:color w:val="000000"/>
                <w:sz w:val="15"/>
              </w:rPr>
              <w:t xml:space="preserve">71.00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71.00</w:t>
            </w:r>
          </w:p>
        </w:tc>
        <w:tc>
          <w:tcPr>
            <w:tcW w:w="1040" w:type="dxa"/>
            <w:tcBorders/>
            <w:vAlign w:val="center"/>
          </w:tcPr>
          <w:p>
            <w:pPr>
              <w:jc w:val="right"/>
            </w:pPr>
            <w:r>
              <w:rPr>
                <w:rFonts w:ascii="宋体" w:eastAsia="宋体" w:hAnsi="宋体" w:cs="宋体"/>
                <w:b w:val="0"/>
                <w:i w:val="0"/>
                <w:color w:val="000000"/>
                <w:sz w:val="15"/>
              </w:rPr>
              <w:t xml:space="preserve">71.00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22904</w:t>
            </w:r>
          </w:p>
        </w:tc>
        <w:tc>
          <w:tcPr>
            <w:tcW w:w="3540" w:type="dxa"/>
            <w:tcBorders/>
            <w:vAlign w:val="center"/>
          </w:tcPr>
          <w:p>
            <w:pPr>
              <w:jc w:val="left"/>
            </w:pPr>
            <w:r>
              <w:rPr>
                <w:rFonts w:ascii="宋体" w:eastAsia="宋体" w:hAnsi="宋体" w:cs="宋体"/>
                <w:b w:val="0"/>
                <w:i w:val="0"/>
                <w:color w:val="000000"/>
                <w:sz w:val="15"/>
              </w:rPr>
              <w:t xml:space="preserve">其他政府性基金及对应专项债务收入安排的支出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2290402</w:t>
            </w:r>
          </w:p>
        </w:tc>
        <w:tc>
          <w:tcPr>
            <w:tcW w:w="3540" w:type="dxa"/>
            <w:tcBorders/>
            <w:vAlign w:val="center"/>
          </w:tcPr>
          <w:p>
            <w:pPr>
              <w:jc w:val="left"/>
            </w:pPr>
            <w:r>
              <w:rPr>
                <w:rFonts w:ascii="宋体" w:eastAsia="宋体" w:hAnsi="宋体" w:cs="宋体"/>
                <w:b w:val="0"/>
                <w:i w:val="0"/>
                <w:color w:val="000000"/>
                <w:sz w:val="15"/>
              </w:rPr>
              <w:t xml:space="preserve">其他地方自行试点项目收益专项债券收入安排的支出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4,929.00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部门：辽宁省沈阳高新技术产业开发区管理委员会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077001沈阳高新技术产业开发区管理委员会本级-210112000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3332.7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3332.7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2200.10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2200.1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104.81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558.07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以浑南科技城启动区交付运营为核心目标，坚持做强“一谷七园”，在“基础设施建设、招商引资、科技创新、发展新质生产力”四个方面实现新突破。</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在浑南科技城建设、科技创新、招商引资等方面都取得了扎实成效。</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部分项目当年未开展实施，未履行请款程序；还有部分项目已履行请款程序，但财政资金未到位。</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经费保障:确保当年预算内的项目能及时开展工作并履行请款程序；已履行请款程序的项目积极与财政沟通协调，确保资金及时到位。</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高新技术企业增加数量</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个数</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成功邀请商协会或企业数量</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加速推进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99.52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办公设备更新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保障机关办公正常运转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保障了机关办公正常运转，营造了规范有序、安全稳定、温馨和谐的办公环境。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设备交付率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维护大型仪器设备合格率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采购设备合格率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设备购置成本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其他:只考虑了办公设备的采购成本控制，但办公设备的需求分许不是很细化，缺少预算的合理性和实用性。</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其他:加强预算准确性。通过细化预算编制、优化采购流程、加强供应商管理和实施动态调整，有效提升办公设备预算的准确性，提供财务管理效率。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充分利用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30.714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保障巡视工作经费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保障巡视组工作经费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保障了巡视组的工作经费，经费使用情况也得到了有效控制，各项经费支出得到了合理安排和有效利用。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按期实施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项目成本控制在预算范围内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其他:依据主任办公会议纪要，申请保障巡视组工作的第一笔经费。对巡视工作的预算缺乏全面的考虑，缺少预算的准确性。</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其他:加强预算准确性。在巡视工作开展前，需要对工作的预算进行全面的考虑和确定。根据巡视工作的具体需求和实际情况，合理制定巡视工作的预算。</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保障单位事业发展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有价值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对本行业未来可持续发展影响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确保财政工作平稳运行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保障了财政工作平稳运行。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其他:严格落实过紧日子的精神，在现有办公经费的支撑下，确保了财政工作的正常运转，为发生任何经费支出。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其他:根据历史数据，暂不安排此项预算,将进一步加强项目预算管理与预算执行的规范性，确保财政资金的合理、高效使用。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其他:严格落实过紧日子的精神，在现有办公经费的支撑下，确保了财政工作的正常运转，未发生任何支出。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其他:根据历史数据，暂不安排此项预算,将进一步加强项目预算管理与预算执行的规范性，确保财政资金的合理、高效使用。</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其他:严格落实过紧日子的精神，在现有办公经费的支撑下，确保了财政工作的正常运转，为发生任何经费支出。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其他:根据历史数据，暂不安排此项预算,将进一步加强项目预算管理与预算执行的规范性，确保财政资金的合理、高效使用。</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其他:严格落实过紧日子的精神，在现有办公经费的支撑下，确保了财政工作的正常运转，为发生任何经费支出。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其他:根据历史数据，暂不安排此项预算,将进一步加强项目预算管理与预算执行的规范性，确保财政资金的合理、高效使用。</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其他:严格落实过紧日子的精神，在现有办公经费的支撑下，确保了财政工作的正常运转，为发生任何经费支出。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其他:根据历史数据，暂不安排此项预算,将进一步加强项目预算管理与预算执行的规范性，确保财政资金的合理、高效使用。</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其他:严格落实过紧日子的精神，在现有办公经费的支撑下，确保了财政工作的正常运转，为发生任何经费支出。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其他:根据历史数据，暂不安排此项预算,将进一步加强项目预算管理与预算执行的规范性，确保财政资金的合理、高效使用。</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项目财政资金投入期限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其他:严格落实过紧日子的精神，在现有办公经费的支撑下，确保了财政工作的正常运转，为发生任何经费支出。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其他:根据历史数据，暂不安排此项预算,将进一步加强项目预算管理与预算执行的规范性，确保财政资金的合理、高效使用。</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产业及人才发展专项资金（高新区）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9099.43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8497.44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科学合理的支持企业发展，确保产业扶持资金工作顺利进行，最终完成全区产业扶持资金的兑付工作。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为支持企业发展，已完成全区兑付产业扶持资金8497.44万元。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签约产业项目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签约产业项目数量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奖励资金到位企业比例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企业审核合规率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党建活动经费（高新区）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1.机关党建、非公党建活动开展，支部建设，完善党员活动室功能等；2.人事管理经费等；3.宣传活动经费等。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开展机关党建活动、支部建设、严格控制成本、不超出项目预算，未高新区平稳运转和科技城高效建设发挥了服务保障作用，各内设机构、外来办事人员满意度均达100%。党员活动室因组织部相关要求未能完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党建和历史类图书购置量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其他:浑南科技城建设工业和信息化部火炬中心东北中心中信书店导致功能重复，故无需党建和历史类图书购置。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其他:因工业和信息化部火炬中心东北中心中信书店内包含党建和历史类图书，可以满足管委会党员需求，故无需采购，建议取消此项指标。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宣传业务骨干培训合格率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党员的党组织关系转地方完成进度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党员干部骨干培训人均投入资金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计划落实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党刊报刊订阅费（高新区）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促进科技知识普及，让高新技术企业及政府相关部门了解科技动态、业态、形态，提升科技从业人员科学知识素养。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为我区高新技术企业及区政府、高新区相关处室订阅科技日报，覆盖全面。按要求准时提交名单、地址，进行派送，并多次受到政府工作人员和企业好评，阅读率广泛。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完成项目活动及时率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维护政府及高新区的合法权益，避免国有资产流失。</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通过聘请外聘律师，有效规避了招商协议签订的法律风险，完善了协议签订的合法合规性。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下达项目数量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服务对象综合知情率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政府及部门满意度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32.43603133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高新区招商及产服人员经费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2439.36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下达的招商引资工作指标要求，以及浑南区委区政府领导的要求，招商公司协同高新区投资促进局，2024年应完成亿元以上签约项目300个，亿元以上落地项目210个，实际利用外资10000万美元，实际到位内资200亿元，产业链目标库3000个，洽谈储备项目600个，新经济活力区建设项目40个，走出去经贸活动24次，走出去签约项目24个，请进来经贸活动18次，请进来签约项目30个，盘活闲置资源20万平方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应完成亿元以上签约项目211个，亿元以上落地项目210个，实际利用外资4262万美元，实际到位内资281亿元，产业链目标库3000个，洽谈储备项目600个，新经济活力区建设项目40个，走出去经贸活动24次，走出去签约项目24个，请进来经贸活动18次，请进来签约项目30个，盘活闲置资源20万平方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签约产业项目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签约产业项目数量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项目成本费用支出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38920000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24393600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招商引资规模增长率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提升可持续创新或后续研发能力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非常满意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76.27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为了保障浑南科技城建设，完善人员后勤保障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保障了科技城人员雇员的后勤保障。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营养餐补助资金拨付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12.42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12.42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办公费用覆盖工作人员数量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人均办公费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243100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243100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26.77056767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挂职干部经费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保障挂职干部挂职期间经费补助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保障了挂职干部期间的经费补助。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补贴（企事业单位）人员数量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挂职人员基本支出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各类经费补助据实结算及时率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项目总经费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其他:挂职同志已完成科技部火炬中心选派年轻干部到科技部火炬中心挂职锻炼一年，按实际发生额报销。</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其他:挂职同志已完成科技部火炬中心选派年轻干部到科技部火炬中心挂职锻炼一年，2025年度暂不安排此项预算。</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其他:挂职同志已完成科技部火炬中心选派年轻干部到科技部火炬中心挂职锻炼一年，按实际发生额报销。</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其他:挂职同志已完成科技部火炬中心选派年轻干部到科技部火炬中心挂职锻炼一年，2025年度暂未安排此项预算。</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3.01854054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火炬统计工作经费（高新区）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提高火炬统计人员业务水平。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提高火炬统计人员业务水平。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1076.37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90.45%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高新区管委会提供优良的办公环境保障。确保办公设施完好，办公环境优良，及时完成场地、物业等方面各项办公保障工作，严格控制成本、不超出项目预算，以优质的环境助力各业务部门创造更好的工作成效，力争各部门满意度、外来办事人员满意度均达到100%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了办公设施完好，办公环境优良，及时完成场地、物业等方面各项办公保障工作，严格控制成本、不超出项目预算，以优质的环境助力各业务部门创造更好的工作成效，各部门满意度、外来办事人员满意度均达到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206699.28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206699.28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租金支付准确率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费用拨付完成时限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其他:因为高新区在2024年末租用创新天地办公楼需集体搬迁等相关事宜较多，造成机关办公楼租赁协议签订较晚，未能及时请付款。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其他:按照预算与协议约定及时拨款，根据实际情况及时签订租赁协议，保证费用拨付完成时限及经费使用效益的充分利用。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场地租赁成本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10763700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9735600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充分利用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缴纳残疾人就业保障金（高新局）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保障2024年度在编人员残疾人就业保障金及时缴纳。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已保障2024年度在编人员残疾人就业保障金及时缴纳。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经费拨付程序合规性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程序合规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26.57015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提高机关办公效率.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保障了财政事务的办公效率。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购买软件和服务数量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购买服务达标率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装备、设备及软件验收合格率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服务对象综合知情率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使用用户满意度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33.24186047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调研分析费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通过编制科技创新发展报告，全力推动创新链与产业链、资金链、人才链深度融合，提升全区科技创新能力，向高质量发展迈出坚实步伐。2.通过编制技术合同分析报告，分析科技成果本地转化存在的问题，提出工作建议，提高科技成果本地转化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按时制作完成2023年技术合同分析报告，开展企业调研次数大于50次，多次受到企业好评，获得锦旗3面。</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完成调研报告数量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其他:根据当年工作开展情况，创新发展报告编制工作取消，相关指标完成程度和得分情况均减半。</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其他:根据项目历史数据，科学制定项目预算，通过细化预算编制，有效提升预算编制的准确性。</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开展企业调研次数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完成项目活动及时率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619.64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559.47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高新区管委会提供优良的办公环境保障。确保办公设施完好，办公环境优良，及时完成场地、物业等方面各项办公保障工作，严格控制成本、不超出项目预算，以优质的环境助力各业务部门创造更好的工作成效，力争各部门满意度、外来办事人员满意度均达到100%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给高新区管委会提供了优良的办公环境。确保了办公设施完好，办公环境优良，严格控制成本、不超出项目预算，以优质的环境助力各业务部门创造了更好的工作成效，各部门、外来办事人员满意度均达到100%。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服务机关事业单位和行业企业数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充分利用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项目咨询费（高新区）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加强创新主体培育，实现高新技术企业数量大幅度增长；确保资金兑付的合法、合理、准确、及时，发挥专项资金的使用效益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2024年度组织高新技术企业评审会7场，专家评审费为195人次*每人每次500元共97，500元。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活动参与人数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完成项目活动及时率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其他:2024年度根据投资促进局招商引资项目工作实际开展情况，已完成全年实际工作任务。</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其他:结合历史执行数据，科学设定下一年度绩效评价项目数量及成本，建立跟踪机制对评价项目及时优化。</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高新区（科技城）认真贯彻落实“习近平总书记在辽宁考察时的重要讲话精神”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积极落实及宣传“习近平总书记在辽宁考察时的重要讲话精神”。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大力宣传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招商奖补资金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申请招商引资奖补资金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合理利用招商奖补资金，以招商引资活动为载体大力宣传高新区、浑南科技城，提升高新区、浑南科技城的影响力。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招商推介活动次数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举办招商引资活动数量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招商经费（高新区）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679.43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通过招商引资工作经费的运用，确保招商工作顺利进行，最终完成全区招商引资工作。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通过招商引资工作经费的运用，确保招商工作顺利进行，最终完成全区招商引资工作。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签约产业项目数量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其他:政策宣传贯穿全年各类招商推介活动中，以招商引资活动为载体大力宣传高新区、科技城招商引资政策，招商活动政策宣传难以全覆盖。</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政策宣传贯穿全年各类招商推介活动中，以招商引资活动为载体大力宣传高新区、科技城招商引资政策，通过招商政策宣传，加大政策宣传力度，吸引具有可持续发展理念的企业，共同推进经济、社会的可持续发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可持续创新或后续研发能力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94.01</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