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ADF6C">
      <w:pPr>
        <w:pStyle w:val="6"/>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w:t>
      </w:r>
    </w:p>
    <w:p w14:paraId="15C51EE3">
      <w:pPr>
        <w:pStyle w:val="6"/>
        <w:jc w:val="both"/>
        <w:rPr>
          <w:rFonts w:hint="eastAsia" w:ascii="仿宋_GB2312" w:hAnsi="仿宋_GB2312" w:eastAsia="仿宋_GB2312" w:cs="仿宋_GB2312"/>
          <w:b/>
          <w:sz w:val="32"/>
          <w:szCs w:val="32"/>
        </w:rPr>
      </w:pPr>
    </w:p>
    <w:p w14:paraId="090F741B">
      <w:pPr>
        <w:pStyle w:val="6"/>
        <w:jc w:val="both"/>
        <w:rPr>
          <w:rFonts w:hint="eastAsia" w:ascii="仿宋_GB2312" w:hAnsi="仿宋_GB2312" w:eastAsia="仿宋_GB2312" w:cs="仿宋_GB2312"/>
          <w:b/>
          <w:sz w:val="32"/>
          <w:szCs w:val="32"/>
        </w:rPr>
      </w:pPr>
    </w:p>
    <w:p w14:paraId="4D3ACC42">
      <w:pPr>
        <w:pStyle w:val="6"/>
        <w:jc w:val="both"/>
        <w:rPr>
          <w:rFonts w:hint="eastAsia" w:ascii="仿宋_GB2312" w:hAnsi="仿宋_GB2312" w:eastAsia="仿宋_GB2312" w:cs="仿宋_GB2312"/>
          <w:b/>
          <w:sz w:val="32"/>
          <w:szCs w:val="32"/>
        </w:rPr>
      </w:pPr>
    </w:p>
    <w:p w14:paraId="164201C6">
      <w:pPr>
        <w:pStyle w:val="6"/>
        <w:jc w:val="both"/>
        <w:rPr>
          <w:rFonts w:hint="eastAsia" w:ascii="仿宋_GB2312" w:hAnsi="仿宋_GB2312" w:eastAsia="仿宋_GB2312" w:cs="仿宋_GB2312"/>
          <w:b/>
          <w:sz w:val="32"/>
          <w:szCs w:val="32"/>
        </w:rPr>
      </w:pPr>
    </w:p>
    <w:p w14:paraId="3649673D">
      <w:pPr>
        <w:pStyle w:val="6"/>
        <w:jc w:val="both"/>
        <w:rPr>
          <w:rFonts w:hint="eastAsia" w:ascii="仿宋_GB2312" w:hAnsi="仿宋_GB2312" w:eastAsia="仿宋_GB2312" w:cs="仿宋_GB2312"/>
          <w:b/>
          <w:sz w:val="32"/>
          <w:szCs w:val="32"/>
        </w:rPr>
      </w:pPr>
    </w:p>
    <w:p w14:paraId="18546198">
      <w:pPr>
        <w:pStyle w:val="6"/>
        <w:jc w:val="both"/>
        <w:rPr>
          <w:rFonts w:hint="eastAsia" w:ascii="仿宋_GB2312" w:hAnsi="仿宋_GB2312" w:eastAsia="仿宋_GB2312" w:cs="仿宋_GB2312"/>
          <w:b/>
          <w:sz w:val="32"/>
          <w:szCs w:val="32"/>
        </w:rPr>
      </w:pPr>
    </w:p>
    <w:p w14:paraId="1AA5B93C">
      <w:pPr>
        <w:pStyle w:val="6"/>
        <w:jc w:val="center"/>
        <w:rPr>
          <w:rFonts w:hint="eastAsia" w:ascii="宋体" w:hAnsi="宋体" w:eastAsia="宋体" w:cs="宋体"/>
          <w:b/>
          <w:sz w:val="44"/>
          <w:szCs w:val="44"/>
        </w:rPr>
      </w:pPr>
      <w:r>
        <w:rPr>
          <w:rFonts w:hint="eastAsia" w:ascii="宋体" w:hAnsi="宋体" w:eastAsia="宋体" w:cs="宋体"/>
          <w:b/>
          <w:sz w:val="44"/>
          <w:szCs w:val="44"/>
          <w:lang w:eastAsia="zh-CN"/>
        </w:rPr>
        <w:t>沈阳棋盘山国际风景旅游开发区管理委员会202</w:t>
      </w:r>
      <w:r>
        <w:rPr>
          <w:rFonts w:hint="eastAsia" w:ascii="宋体" w:hAnsi="宋体" w:eastAsia="宋体" w:cs="宋体"/>
          <w:b/>
          <w:sz w:val="44"/>
          <w:szCs w:val="44"/>
          <w:lang w:val="en-US" w:eastAsia="zh-CN"/>
        </w:rPr>
        <w:t>2</w:t>
      </w:r>
      <w:r>
        <w:rPr>
          <w:rFonts w:hint="eastAsia" w:ascii="宋体" w:hAnsi="宋体" w:eastAsia="宋体" w:cs="宋体"/>
          <w:b/>
          <w:sz w:val="44"/>
          <w:szCs w:val="44"/>
        </w:rPr>
        <w:t>年度决算</w:t>
      </w:r>
      <w:r>
        <w:rPr>
          <w:rFonts w:hint="eastAsia" w:ascii="宋体" w:hAnsi="宋体" w:eastAsia="宋体" w:cs="宋体"/>
          <w:b/>
          <w:sz w:val="44"/>
          <w:szCs w:val="44"/>
          <w:lang w:eastAsia="zh-CN"/>
        </w:rPr>
        <w:t>说明</w:t>
      </w:r>
    </w:p>
    <w:p w14:paraId="41B8D0EE">
      <w:pPr>
        <w:pStyle w:val="6"/>
        <w:jc w:val="both"/>
        <w:rPr>
          <w:rFonts w:hint="eastAsia" w:ascii="仿宋_GB2312" w:hAnsi="仿宋_GB2312" w:eastAsia="仿宋_GB2312" w:cs="仿宋_GB2312"/>
          <w:b/>
          <w:sz w:val="32"/>
          <w:szCs w:val="32"/>
          <w:u w:val="single"/>
        </w:rPr>
      </w:pPr>
    </w:p>
    <w:p w14:paraId="3BB609C7">
      <w:pPr>
        <w:pStyle w:val="6"/>
        <w:jc w:val="both"/>
        <w:rPr>
          <w:rFonts w:hint="eastAsia" w:ascii="仿宋_GB2312" w:hAnsi="仿宋_GB2312" w:eastAsia="仿宋_GB2312" w:cs="仿宋_GB2312"/>
          <w:b/>
          <w:sz w:val="32"/>
          <w:szCs w:val="32"/>
        </w:rPr>
      </w:pPr>
    </w:p>
    <w:p w14:paraId="2008FF8F">
      <w:pPr>
        <w:pStyle w:val="6"/>
        <w:jc w:val="both"/>
        <w:rPr>
          <w:rFonts w:hint="eastAsia" w:ascii="仿宋_GB2312" w:hAnsi="仿宋_GB2312" w:eastAsia="仿宋_GB2312" w:cs="仿宋_GB2312"/>
          <w:b/>
          <w:sz w:val="32"/>
          <w:szCs w:val="32"/>
          <w:u w:val="single"/>
        </w:rPr>
      </w:pPr>
    </w:p>
    <w:p w14:paraId="24BC131B">
      <w:pPr>
        <w:pStyle w:val="6"/>
        <w:jc w:val="both"/>
        <w:rPr>
          <w:rFonts w:hint="eastAsia" w:ascii="仿宋_GB2312" w:hAnsi="仿宋_GB2312" w:eastAsia="仿宋_GB2312" w:cs="仿宋_GB2312"/>
          <w:b/>
          <w:sz w:val="32"/>
          <w:szCs w:val="32"/>
          <w:u w:val="single"/>
        </w:rPr>
      </w:pPr>
    </w:p>
    <w:p w14:paraId="49E1551D">
      <w:pPr>
        <w:pStyle w:val="6"/>
        <w:jc w:val="both"/>
        <w:rPr>
          <w:rFonts w:hint="eastAsia" w:ascii="仿宋_GB2312" w:hAnsi="仿宋_GB2312" w:eastAsia="仿宋_GB2312" w:cs="仿宋_GB2312"/>
          <w:b/>
          <w:sz w:val="32"/>
          <w:szCs w:val="32"/>
          <w:u w:val="single"/>
        </w:rPr>
      </w:pPr>
    </w:p>
    <w:p w14:paraId="4FE449D3">
      <w:pPr>
        <w:pStyle w:val="6"/>
        <w:jc w:val="both"/>
        <w:rPr>
          <w:rFonts w:hint="eastAsia" w:ascii="仿宋_GB2312" w:hAnsi="仿宋_GB2312" w:eastAsia="仿宋_GB2312" w:cs="仿宋_GB2312"/>
          <w:b/>
          <w:sz w:val="32"/>
          <w:szCs w:val="32"/>
          <w:u w:val="single"/>
        </w:rPr>
      </w:pPr>
    </w:p>
    <w:p w14:paraId="79010167">
      <w:pPr>
        <w:pStyle w:val="6"/>
        <w:jc w:val="both"/>
        <w:rPr>
          <w:rFonts w:hint="eastAsia" w:ascii="仿宋_GB2312" w:hAnsi="仿宋_GB2312" w:eastAsia="仿宋_GB2312" w:cs="仿宋_GB2312"/>
          <w:b/>
          <w:sz w:val="32"/>
          <w:szCs w:val="32"/>
          <w:u w:val="single"/>
        </w:rPr>
      </w:pPr>
    </w:p>
    <w:p w14:paraId="53D000C8">
      <w:pPr>
        <w:pStyle w:val="6"/>
        <w:jc w:val="both"/>
        <w:rPr>
          <w:rFonts w:hint="eastAsia" w:ascii="仿宋_GB2312" w:hAnsi="仿宋_GB2312" w:eastAsia="仿宋_GB2312" w:cs="仿宋_GB2312"/>
          <w:b/>
          <w:sz w:val="32"/>
          <w:szCs w:val="32"/>
          <w:u w:val="single"/>
        </w:rPr>
      </w:pPr>
    </w:p>
    <w:p w14:paraId="4140FEC3">
      <w:pPr>
        <w:pStyle w:val="6"/>
        <w:jc w:val="both"/>
        <w:rPr>
          <w:rFonts w:hint="eastAsia" w:ascii="仿宋_GB2312" w:hAnsi="仿宋_GB2312" w:eastAsia="仿宋_GB2312" w:cs="仿宋_GB2312"/>
          <w:b/>
          <w:sz w:val="32"/>
          <w:szCs w:val="32"/>
          <w:u w:val="single"/>
        </w:rPr>
      </w:pPr>
    </w:p>
    <w:p w14:paraId="008D97B8">
      <w:pPr>
        <w:pStyle w:val="6"/>
        <w:jc w:val="both"/>
        <w:rPr>
          <w:rFonts w:hint="eastAsia" w:ascii="仿宋_GB2312" w:hAnsi="仿宋_GB2312" w:eastAsia="仿宋_GB2312" w:cs="仿宋_GB2312"/>
          <w:b/>
          <w:sz w:val="32"/>
          <w:szCs w:val="32"/>
          <w:u w:val="single"/>
        </w:rPr>
      </w:pPr>
    </w:p>
    <w:p w14:paraId="4E9890D7">
      <w:pPr>
        <w:pStyle w:val="6"/>
        <w:jc w:val="both"/>
        <w:rPr>
          <w:rFonts w:hint="eastAsia" w:ascii="仿宋_GB2312" w:hAnsi="仿宋_GB2312" w:eastAsia="仿宋_GB2312" w:cs="仿宋_GB2312"/>
          <w:b/>
          <w:sz w:val="32"/>
          <w:szCs w:val="32"/>
          <w:u w:val="single"/>
        </w:rPr>
      </w:pPr>
    </w:p>
    <w:p w14:paraId="47B98984">
      <w:pPr>
        <w:pStyle w:val="6"/>
        <w:jc w:val="both"/>
        <w:rPr>
          <w:rFonts w:hint="eastAsia" w:ascii="仿宋_GB2312" w:hAnsi="仿宋_GB2312" w:eastAsia="仿宋_GB2312" w:cs="仿宋_GB2312"/>
          <w:b/>
          <w:sz w:val="32"/>
          <w:szCs w:val="32"/>
          <w:u w:val="single"/>
        </w:rPr>
      </w:pPr>
    </w:p>
    <w:p w14:paraId="385612B5">
      <w:pPr>
        <w:pStyle w:val="6"/>
        <w:jc w:val="both"/>
        <w:rPr>
          <w:rFonts w:hint="eastAsia" w:ascii="仿宋_GB2312" w:hAnsi="仿宋_GB2312" w:eastAsia="仿宋_GB2312" w:cs="仿宋_GB2312"/>
          <w:b/>
          <w:sz w:val="32"/>
          <w:szCs w:val="32"/>
          <w:u w:val="single"/>
        </w:rPr>
      </w:pPr>
    </w:p>
    <w:p w14:paraId="4FBC3778">
      <w:pPr>
        <w:pStyle w:val="6"/>
        <w:spacing w:line="56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目    录</w:t>
      </w:r>
    </w:p>
    <w:p w14:paraId="6CBA71CF">
      <w:pPr>
        <w:pStyle w:val="6"/>
        <w:spacing w:line="56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第一部分   </w:t>
      </w:r>
      <w:r>
        <w:rPr>
          <w:rFonts w:hint="eastAsia" w:ascii="仿宋_GB2312" w:hAnsi="仿宋_GB2312" w:eastAsia="仿宋_GB2312" w:cs="仿宋_GB2312"/>
          <w:sz w:val="32"/>
          <w:szCs w:val="32"/>
          <w:lang w:val="en-US" w:eastAsia="zh-CN"/>
        </w:rPr>
        <w:t>沈阳棋盘山国际风景旅游开发区管理委员会</w:t>
      </w:r>
      <w:r>
        <w:rPr>
          <w:rFonts w:hint="eastAsia" w:ascii="仿宋_GB2312" w:hAnsi="仿宋_GB2312" w:eastAsia="仿宋_GB2312" w:cs="仿宋_GB2312"/>
          <w:sz w:val="32"/>
          <w:szCs w:val="32"/>
        </w:rPr>
        <w:t>概况</w:t>
      </w:r>
    </w:p>
    <w:p w14:paraId="54794D83">
      <w:pPr>
        <w:pStyle w:val="6"/>
        <w:spacing w:line="560" w:lineRule="exact"/>
        <w:ind w:left="720" w:hanging="72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14:paraId="02111F0E">
      <w:pPr>
        <w:pStyle w:val="6"/>
        <w:spacing w:line="56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二、决算单位构成</w:t>
      </w:r>
    </w:p>
    <w:p w14:paraId="1AA70B99">
      <w:pPr>
        <w:pStyle w:val="6"/>
        <w:spacing w:line="56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第二部分    </w:t>
      </w:r>
      <w:r>
        <w:rPr>
          <w:rFonts w:hint="eastAsia" w:ascii="仿宋_GB2312" w:hAnsi="仿宋_GB2312" w:eastAsia="仿宋_GB2312" w:cs="仿宋_GB2312"/>
          <w:sz w:val="32"/>
          <w:szCs w:val="32"/>
          <w:lang w:val="en-US" w:eastAsia="zh-CN"/>
        </w:rPr>
        <w:t>沈阳棋盘山国际风景旅游开发区管理委员会</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度</w:t>
      </w:r>
      <w:r>
        <w:rPr>
          <w:rFonts w:hint="eastAsia" w:ascii="仿宋_GB2312" w:hAnsi="仿宋_GB2312" w:eastAsia="仿宋_GB2312" w:cs="仿宋_GB2312"/>
          <w:sz w:val="32"/>
          <w:szCs w:val="32"/>
        </w:rPr>
        <w:t>决算情况说明</w:t>
      </w:r>
    </w:p>
    <w:p w14:paraId="691231F8">
      <w:pPr>
        <w:pStyle w:val="6"/>
        <w:spacing w:line="56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一、收入支出决算总体情况说明</w:t>
      </w:r>
    </w:p>
    <w:p w14:paraId="6E0AABC4">
      <w:pPr>
        <w:pStyle w:val="6"/>
        <w:spacing w:line="56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二、财政拨款收入支出决算情况说明</w:t>
      </w:r>
    </w:p>
    <w:p w14:paraId="6D568D35">
      <w:pPr>
        <w:pStyle w:val="6"/>
        <w:spacing w:line="56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三、一般公共预算财政拨款“三公”经费支出决算情况说明</w:t>
      </w:r>
    </w:p>
    <w:p w14:paraId="5CCB967F">
      <w:pPr>
        <w:pStyle w:val="6"/>
        <w:spacing w:line="56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四、一般公共预算财政拨款基本支出决算情况说明</w:t>
      </w:r>
    </w:p>
    <w:p w14:paraId="33F165FB">
      <w:pPr>
        <w:pStyle w:val="6"/>
        <w:spacing w:line="56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五、其他重要事项的情况说明</w:t>
      </w:r>
    </w:p>
    <w:p w14:paraId="12A7CFCB">
      <w:pPr>
        <w:pStyle w:val="6"/>
        <w:spacing w:line="56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第三部分    名词解释</w:t>
      </w:r>
    </w:p>
    <w:p w14:paraId="7D705FF2">
      <w:pPr>
        <w:spacing w:line="54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 xml:space="preserve">部分    </w:t>
      </w:r>
      <w:r>
        <w:rPr>
          <w:rFonts w:hint="eastAsia" w:ascii="仿宋_GB2312" w:hAnsi="仿宋_GB2312" w:eastAsia="仿宋_GB2312" w:cs="仿宋_GB2312"/>
          <w:sz w:val="32"/>
          <w:szCs w:val="32"/>
          <w:lang w:val="en-US" w:eastAsia="zh-CN"/>
        </w:rPr>
        <w:t>沈阳棋盘山国际风景旅游开发区管理委员会</w:t>
      </w:r>
      <w:r>
        <w:rPr>
          <w:rFonts w:hint="eastAsia" w:ascii="仿宋_GB2312" w:hAnsi="仿宋_GB2312" w:eastAsia="仿宋_GB2312" w:cs="仿宋_GB2312"/>
          <w:sz w:val="32"/>
          <w:szCs w:val="32"/>
          <w:lang w:eastAsia="zh-CN"/>
        </w:rPr>
        <w:t>2022</w:t>
      </w:r>
      <w:r>
        <w:rPr>
          <w:rFonts w:hint="eastAsia" w:ascii="仿宋_GB2312" w:hAnsi="仿宋_GB2312" w:eastAsia="仿宋_GB2312" w:cs="仿宋_GB2312"/>
          <w:sz w:val="32"/>
          <w:szCs w:val="32"/>
        </w:rPr>
        <w:t>年度决算报表</w:t>
      </w:r>
    </w:p>
    <w:p w14:paraId="08AF218F">
      <w:pPr>
        <w:spacing w:line="54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一、收入支出决算总表</w:t>
      </w:r>
    </w:p>
    <w:p w14:paraId="0A7A9D85">
      <w:pPr>
        <w:spacing w:line="54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二、收入决算表</w:t>
      </w:r>
    </w:p>
    <w:p w14:paraId="2362C313">
      <w:pPr>
        <w:spacing w:line="54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三、支出决算表</w:t>
      </w:r>
    </w:p>
    <w:p w14:paraId="5A3E27DA">
      <w:pPr>
        <w:spacing w:line="54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四、财政拨款收入支出决算表</w:t>
      </w:r>
    </w:p>
    <w:p w14:paraId="07519D58">
      <w:pPr>
        <w:spacing w:line="54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五、一般公共预算财政拨款支出决算表</w:t>
      </w:r>
    </w:p>
    <w:p w14:paraId="430FF34A">
      <w:pPr>
        <w:spacing w:line="54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六、一般公共预算财政拨款基本支出决算表</w:t>
      </w:r>
    </w:p>
    <w:p w14:paraId="166B7C59">
      <w:pPr>
        <w:spacing w:line="54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七、一般公共预算财政拨款“三公”经费支出决算表</w:t>
      </w:r>
    </w:p>
    <w:p w14:paraId="75375F38">
      <w:pPr>
        <w:spacing w:line="540" w:lineRule="exact"/>
        <w:ind w:left="640" w:hanging="640" w:hanging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八、政府性基金预算财政拨款</w:t>
      </w:r>
      <w:r>
        <w:rPr>
          <w:rFonts w:hint="eastAsia" w:ascii="仿宋_GB2312" w:hAnsi="仿宋_GB2312" w:eastAsia="仿宋_GB2312" w:cs="仿宋_GB2312"/>
          <w:sz w:val="32"/>
          <w:szCs w:val="32"/>
          <w:lang w:eastAsia="zh-CN"/>
        </w:rPr>
        <w:t>收入</w:t>
      </w:r>
      <w:r>
        <w:rPr>
          <w:rFonts w:hint="eastAsia" w:ascii="仿宋_GB2312" w:hAnsi="仿宋_GB2312" w:eastAsia="仿宋_GB2312" w:cs="仿宋_GB2312"/>
          <w:sz w:val="32"/>
          <w:szCs w:val="32"/>
        </w:rPr>
        <w:t>支出决算表</w:t>
      </w:r>
    </w:p>
    <w:p w14:paraId="5FB3B262">
      <w:pPr>
        <w:spacing w:line="540" w:lineRule="exact"/>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九、国有资本经营预算财政拨款支出决算表</w:t>
      </w:r>
    </w:p>
    <w:p w14:paraId="175E083F">
      <w:pPr>
        <w:spacing w:line="540" w:lineRule="exact"/>
        <w:jc w:val="both"/>
        <w:rPr>
          <w:rFonts w:hint="eastAsia" w:ascii="仿宋_GB2312" w:hAnsi="仿宋_GB2312" w:eastAsia="仿宋_GB2312" w:cs="仿宋_GB2312"/>
          <w:b/>
          <w:sz w:val="32"/>
          <w:szCs w:val="32"/>
          <w:u w:val="single"/>
        </w:rPr>
      </w:pPr>
      <w:r>
        <w:rPr>
          <w:rFonts w:hint="eastAsia" w:ascii="仿宋_GB2312" w:hAnsi="仿宋_GB2312" w:eastAsia="仿宋_GB2312" w:cs="仿宋_GB2312"/>
          <w:sz w:val="32"/>
          <w:szCs w:val="32"/>
        </w:rPr>
        <w:t>第</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 xml:space="preserve">部分    </w:t>
      </w:r>
      <w:r>
        <w:rPr>
          <w:rFonts w:hint="eastAsia" w:ascii="仿宋_GB2312" w:hAnsi="仿宋_GB2312" w:eastAsia="仿宋_GB2312" w:cs="仿宋_GB2312"/>
          <w:sz w:val="32"/>
          <w:szCs w:val="32"/>
          <w:lang w:eastAsia="zh-CN"/>
        </w:rPr>
        <w:t>附件</w:t>
      </w:r>
    </w:p>
    <w:p w14:paraId="56B1BD97">
      <w:pPr>
        <w:pStyle w:val="6"/>
        <w:spacing w:line="560" w:lineRule="exact"/>
        <w:jc w:val="both"/>
        <w:rPr>
          <w:rFonts w:hint="eastAsia" w:ascii="仿宋_GB2312" w:hAnsi="仿宋_GB2312" w:eastAsia="仿宋_GB2312" w:cs="仿宋_GB2312"/>
          <w:b/>
          <w:sz w:val="32"/>
          <w:szCs w:val="32"/>
        </w:rPr>
      </w:pPr>
    </w:p>
    <w:p w14:paraId="40B29305">
      <w:pPr>
        <w:pStyle w:val="6"/>
        <w:spacing w:line="560" w:lineRule="exact"/>
        <w:jc w:val="both"/>
        <w:rPr>
          <w:rFonts w:hint="eastAsia" w:ascii="仿宋_GB2312" w:hAnsi="仿宋_GB2312" w:eastAsia="仿宋_GB2312" w:cs="仿宋_GB2312"/>
          <w:b/>
          <w:sz w:val="32"/>
          <w:szCs w:val="32"/>
        </w:rPr>
      </w:pPr>
    </w:p>
    <w:p w14:paraId="49E5DFB3">
      <w:pPr>
        <w:pStyle w:val="6"/>
        <w:spacing w:line="560" w:lineRule="exact"/>
        <w:jc w:val="both"/>
        <w:rPr>
          <w:rFonts w:hint="eastAsia" w:ascii="仿宋_GB2312" w:hAnsi="仿宋_GB2312" w:eastAsia="仿宋_GB2312" w:cs="仿宋_GB2312"/>
          <w:b/>
          <w:bCs/>
          <w:sz w:val="32"/>
          <w:szCs w:val="32"/>
        </w:rPr>
      </w:pPr>
      <w:r>
        <w:rPr>
          <w:rFonts w:hint="eastAsia" w:ascii="仿宋_GB2312" w:hAnsi="仿宋_GB2312" w:eastAsia="仿宋_GB2312" w:cs="仿宋_GB2312"/>
          <w:b/>
          <w:sz w:val="32"/>
          <w:szCs w:val="32"/>
        </w:rPr>
        <w:t xml:space="preserve">第一部分 </w:t>
      </w:r>
      <w:r>
        <w:rPr>
          <w:rFonts w:hint="eastAsia" w:ascii="仿宋_GB2312" w:hAnsi="仿宋_GB2312" w:eastAsia="仿宋_GB2312" w:cs="仿宋_GB2312"/>
          <w:b/>
          <w:bCs/>
          <w:sz w:val="32"/>
          <w:szCs w:val="32"/>
          <w:lang w:val="en-US" w:eastAsia="zh-CN"/>
        </w:rPr>
        <w:t>沈阳棋盘山国际风景旅游开发区管理委员会</w:t>
      </w:r>
      <w:r>
        <w:rPr>
          <w:rFonts w:hint="eastAsia" w:ascii="仿宋_GB2312" w:hAnsi="仿宋_GB2312" w:eastAsia="仿宋_GB2312" w:cs="仿宋_GB2312"/>
          <w:b/>
          <w:bCs/>
          <w:sz w:val="32"/>
          <w:szCs w:val="32"/>
        </w:rPr>
        <w:t>概况</w:t>
      </w:r>
    </w:p>
    <w:p w14:paraId="407FC923">
      <w:pPr>
        <w:pStyle w:val="6"/>
        <w:spacing w:line="560" w:lineRule="exact"/>
        <w:ind w:firstLine="64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14:paraId="3DD1E08C">
      <w:pPr>
        <w:pStyle w:val="6"/>
        <w:spacing w:line="560" w:lineRule="exact"/>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负责管委会党的建设各项工作；负责管委会内部日常事务管理，综合协调、督查督办工作，负责文字综合、公文公务、政务公开、宣传、后勤保障工作；负责审计、政府采购项目管理、国有资产管理；负责管委会法务管理工作；分责任大建议、政协提案办理答复相关工作；负责维稳、民意诉求、来信来访处理工作；负责纪检监察、群团、工会等相关工作；负责协调统战、宗教等相关事务；负责会议承办与政务活动的组织服务等工作。</w:t>
      </w:r>
    </w:p>
    <w:p w14:paraId="608940F1">
      <w:pPr>
        <w:pStyle w:val="6"/>
        <w:spacing w:line="560" w:lineRule="exact"/>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产业发展工作，组织制定管委会产业发展规划;负责区域经济运行的综合调度、分析和统计工作;负责研究制定统筹管委会产业政策措施，积极争取国家、省、市对管委会发展的政策支持;负责区域经济建设与文旅融合协同发展工作;负责招商工作，制定招商政策、招商计划，协调对接项目审批管理等相关工作;负责项目管理、考核和统计工作，协调落实项目协议履行和政策兑现等工作。</w:t>
      </w:r>
    </w:p>
    <w:p w14:paraId="4B7BB053">
      <w:pPr>
        <w:pStyle w:val="6"/>
        <w:spacing w:line="560" w:lineRule="exact"/>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编制和落实管委会的城建、城维项目计划;负责协调落实管委会有关征地工作;负责基础设施建设工作;负责基础设施维护、养护、看护等相关管理工作;负责协同区职能部门开展建筑工地安全管理工作;承办管委会交办的其他工作。</w:t>
      </w:r>
    </w:p>
    <w:p w14:paraId="12C5034F">
      <w:pPr>
        <w:pStyle w:val="6"/>
        <w:spacing w:line="560" w:lineRule="exact"/>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区域的企业服务和已落地项目管理工作;负责区域内营商工作;负责管委会所属国有企业经营管理和国有资产保值增值工作;负责国有企业改革工作;负责管委会域内涉企信访、安全生产等相关工作;负责大数据、云计算、互联网、物联网等信息技术相关工作;负责智慧城市、智慧景区建设工作;负责社会综合治理、网格化、精细化管理等相关工作;负责域内景区(景点)管理工作;负责制定与文化、旅游相关的各类行业标准;负责对景区(景点)及文化旅游行业实施管理、考评工作;负责指导各景区(景点)提升服务质量;负责各类文化旅游品牌创建申报及监管工作;负责大型活动审批、组织、管理工作;开展景区(景点)、星级饭店(农家乐)等的质量等级评定以及旅游行业协会、服务质量、市场秩序、信访投诉、游客行为等管理工作;负责协调景区(景点)安全生产工作;负责管辖区统计工作；负责法制工作，组织法律法规宣传教育，负责法律、法规资料的收集、</w:t>
      </w:r>
      <w:bookmarkStart w:id="0" w:name="_GoBack"/>
      <w:bookmarkEnd w:id="0"/>
      <w:r>
        <w:rPr>
          <w:rFonts w:hint="eastAsia" w:ascii="仿宋_GB2312" w:hAnsi="仿宋_GB2312" w:eastAsia="仿宋_GB2312" w:cs="仿宋_GB2312"/>
          <w:sz w:val="32"/>
          <w:szCs w:val="32"/>
          <w:lang w:val="en-US" w:eastAsia="zh-CN"/>
        </w:rPr>
        <w:t>编辑工作，负责推进依法行政和法治政府建设工作，负责行政复议审理和行政复议答复、行政应诉工作;组织开展林业经济形势分析和重大问题调查研究;负责起草重要业务文件文稿;协调林业领域综合改革有关工作;承担林业领域军民融合深度发展工作;负责党群及行政综合工作；负责全区森林、草原资源监督管理工作;负责监督林业行政执法工作和林权争议处理;指导全区基层林业站的建设和管理;承担区青山工程领导小组办公室日常工作;负责林业改革发展、林业科技产业管理、行政审批工作;负责造林经营管理、荒漠化防治工作;负责自然保护地管理、野生动植物保护工作；</w:t>
      </w:r>
    </w:p>
    <w:p w14:paraId="28DAD0BA">
      <w:pPr>
        <w:pStyle w:val="6"/>
        <w:spacing w:line="560" w:lineRule="exact"/>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棋盘山林业和草原局受市自然资源局委托，负责浑南区的林业和草原行政管理、森林防火、病虫害防治和行政执法等工作;负责编制实施林业发展规划、保护森林资源、林权管理、征占用林地审核、野生动植物保护等工作；负责森林防火的行业指导;指导各街道办事处开展群测群防、专业监测、防火巡护、火源管理、防火设施建设和预报预警;负责森林火灾扑救工作；负责森林防火的行业指导;指导各街道办事处开展群测群防、专业监测、防火巡护、火源管理、防火设施建设和预报预警;负责森林火灾扑救工作。</w:t>
      </w:r>
    </w:p>
    <w:p w14:paraId="082BB28D">
      <w:pPr>
        <w:pStyle w:val="6"/>
        <w:spacing w:line="560" w:lineRule="exact"/>
        <w:ind w:firstLine="64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二、决算单位构成</w:t>
      </w:r>
    </w:p>
    <w:p w14:paraId="45255A62">
      <w:pPr>
        <w:pStyle w:val="6"/>
        <w:spacing w:line="560" w:lineRule="exact"/>
        <w:ind w:firstLine="640"/>
        <w:jc w:val="both"/>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纳入</w:t>
      </w:r>
      <w:r>
        <w:rPr>
          <w:rFonts w:hint="eastAsia" w:ascii="仿宋_GB2312" w:hAnsi="仿宋_GB2312" w:eastAsia="仿宋_GB2312" w:cs="仿宋_GB2312"/>
          <w:b/>
          <w:sz w:val="32"/>
          <w:szCs w:val="32"/>
          <w:lang w:val="en-US" w:eastAsia="zh-CN"/>
        </w:rPr>
        <w:t>本单位</w:t>
      </w:r>
      <w:r>
        <w:rPr>
          <w:rFonts w:hint="eastAsia" w:ascii="仿宋_GB2312" w:hAnsi="仿宋_GB2312" w:eastAsia="仿宋_GB2312" w:cs="仿宋_GB2312"/>
          <w:b/>
          <w:sz w:val="32"/>
          <w:szCs w:val="32"/>
        </w:rPr>
        <w:t>202</w:t>
      </w:r>
      <w:r>
        <w:rPr>
          <w:rFonts w:hint="eastAsia" w:ascii="仿宋_GB2312" w:hAnsi="仿宋_GB2312" w:eastAsia="仿宋_GB2312" w:cs="仿宋_GB2312"/>
          <w:b/>
          <w:sz w:val="32"/>
          <w:szCs w:val="32"/>
          <w:lang w:val="en-US" w:eastAsia="zh-CN"/>
        </w:rPr>
        <w:t>2</w:t>
      </w:r>
      <w:r>
        <w:rPr>
          <w:rFonts w:hint="eastAsia" w:ascii="仿宋_GB2312" w:hAnsi="仿宋_GB2312" w:eastAsia="仿宋_GB2312" w:cs="仿宋_GB2312"/>
          <w:b/>
          <w:sz w:val="32"/>
          <w:szCs w:val="32"/>
        </w:rPr>
        <w:t>年决算编制范围的二级预算单位包括：</w:t>
      </w:r>
    </w:p>
    <w:p w14:paraId="553DE288">
      <w:pPr>
        <w:pStyle w:val="6"/>
        <w:keepNext w:val="0"/>
        <w:keepLines w:val="0"/>
        <w:pageBreakBefore w:val="0"/>
        <w:widowControl/>
        <w:kinsoku/>
        <w:wordWrap/>
        <w:overflowPunct/>
        <w:topLinePunct w:val="0"/>
        <w:autoSpaceDE/>
        <w:autoSpaceDN/>
        <w:bidi w:val="0"/>
        <w:adjustRightInd/>
        <w:snapToGrid/>
        <w:spacing w:before="0" w:beforeLines="0" w:after="0" w:afterLines="0" w:line="560" w:lineRule="exact"/>
        <w:ind w:left="0" w:leftChars="0" w:right="0" w:rightChars="0" w:firstLine="640" w:firstLineChars="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b w:val="0"/>
          <w:bCs w:val="0"/>
          <w:sz w:val="32"/>
          <w:szCs w:val="32"/>
        </w:rPr>
        <w:t>沈阳棋盘山国际风景旅游开发区管理委员会</w:t>
      </w:r>
      <w:r>
        <w:rPr>
          <w:rFonts w:hint="eastAsia" w:ascii="仿宋_GB2312" w:hAnsi="仿宋_GB2312" w:eastAsia="仿宋_GB2312" w:cs="仿宋_GB2312"/>
          <w:sz w:val="32"/>
          <w:szCs w:val="32"/>
          <w:highlight w:val="none"/>
        </w:rPr>
        <w:t>本级</w:t>
      </w:r>
    </w:p>
    <w:p w14:paraId="108123CE">
      <w:pPr>
        <w:pStyle w:val="6"/>
        <w:keepNext w:val="0"/>
        <w:keepLines w:val="0"/>
        <w:pageBreakBefore w:val="0"/>
        <w:widowControl/>
        <w:kinsoku/>
        <w:wordWrap/>
        <w:overflowPunct/>
        <w:topLinePunct w:val="0"/>
        <w:autoSpaceDE/>
        <w:autoSpaceDN/>
        <w:bidi w:val="0"/>
        <w:adjustRightInd/>
        <w:snapToGrid/>
        <w:spacing w:before="0" w:beforeLines="0" w:after="0" w:afterLines="0" w:line="560" w:lineRule="exact"/>
        <w:ind w:left="0" w:leftChars="0" w:right="0" w:rightChars="0" w:firstLine="640" w:firstLineChars="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本单位无下设机构</w:t>
      </w:r>
    </w:p>
    <w:p w14:paraId="799C0B87">
      <w:pPr>
        <w:pStyle w:val="6"/>
        <w:spacing w:line="560" w:lineRule="exact"/>
        <w:jc w:val="both"/>
        <w:rPr>
          <w:rFonts w:hint="eastAsia" w:ascii="仿宋_GB2312" w:hAnsi="仿宋_GB2312" w:eastAsia="仿宋_GB2312" w:cs="仿宋_GB2312"/>
          <w:b/>
          <w:sz w:val="32"/>
          <w:szCs w:val="32"/>
        </w:rPr>
      </w:pPr>
    </w:p>
    <w:p w14:paraId="7BFE79EF">
      <w:pPr>
        <w:pStyle w:val="6"/>
        <w:spacing w:line="56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第二部分 </w:t>
      </w:r>
      <w:r>
        <w:rPr>
          <w:rFonts w:hint="eastAsia" w:ascii="仿宋_GB2312" w:hAnsi="仿宋_GB2312" w:eastAsia="仿宋_GB2312" w:cs="仿宋_GB2312"/>
          <w:b/>
          <w:bCs/>
          <w:sz w:val="32"/>
          <w:szCs w:val="32"/>
          <w:lang w:val="en-US" w:eastAsia="zh-CN"/>
        </w:rPr>
        <w:t>沈阳棋盘山国际风景旅游开发区管理委员会</w:t>
      </w:r>
      <w:r>
        <w:rPr>
          <w:rFonts w:hint="eastAsia" w:ascii="仿宋_GB2312" w:hAnsi="仿宋_GB2312" w:eastAsia="仿宋_GB2312" w:cs="仿宋_GB2312"/>
          <w:b/>
          <w:sz w:val="32"/>
          <w:szCs w:val="32"/>
        </w:rPr>
        <w:t>202</w:t>
      </w:r>
      <w:r>
        <w:rPr>
          <w:rFonts w:hint="eastAsia" w:ascii="仿宋_GB2312" w:hAnsi="仿宋_GB2312" w:eastAsia="仿宋_GB2312" w:cs="仿宋_GB2312"/>
          <w:b/>
          <w:sz w:val="32"/>
          <w:szCs w:val="32"/>
          <w:lang w:val="en-US" w:eastAsia="zh-CN"/>
        </w:rPr>
        <w:t>2</w:t>
      </w:r>
      <w:r>
        <w:rPr>
          <w:rFonts w:hint="eastAsia" w:ascii="仿宋_GB2312" w:hAnsi="仿宋_GB2312" w:eastAsia="仿宋_GB2312" w:cs="仿宋_GB2312"/>
          <w:b/>
          <w:sz w:val="32"/>
          <w:szCs w:val="32"/>
        </w:rPr>
        <w:t>年决算情况说明</w:t>
      </w:r>
    </w:p>
    <w:p w14:paraId="3D00DFE7">
      <w:pPr>
        <w:spacing w:line="540" w:lineRule="exact"/>
        <w:ind w:firstLine="627" w:firstLineChars="196"/>
        <w:jc w:val="both"/>
        <w:rPr>
          <w:rFonts w:hint="eastAsia" w:ascii="仿宋_GB2312" w:hAnsi="仿宋_GB2312" w:eastAsia="仿宋_GB2312" w:cs="仿宋_GB2312"/>
          <w:b/>
          <w:bCs/>
          <w:color w:val="FF0000"/>
          <w:sz w:val="32"/>
          <w:szCs w:val="32"/>
          <w:lang w:eastAsia="zh-CN"/>
        </w:rPr>
      </w:pPr>
      <w:r>
        <w:rPr>
          <w:rFonts w:hint="eastAsia" w:ascii="仿宋_GB2312" w:hAnsi="仿宋_GB2312" w:eastAsia="仿宋_GB2312" w:cs="仿宋_GB2312"/>
          <w:sz w:val="32"/>
          <w:szCs w:val="32"/>
        </w:rPr>
        <w:t>一、收入支出决算总体情况说明</w:t>
      </w:r>
    </w:p>
    <w:p w14:paraId="224D10D4">
      <w:pPr>
        <w:spacing w:line="540" w:lineRule="exact"/>
        <w:ind w:firstLine="630" w:firstLineChars="196"/>
        <w:jc w:val="both"/>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（一）收入总计</w:t>
      </w:r>
      <w:r>
        <w:rPr>
          <w:rFonts w:hint="eastAsia" w:ascii="仿宋_GB2312" w:hAnsi="仿宋_GB2312" w:eastAsia="仿宋_GB2312" w:cs="仿宋_GB2312"/>
          <w:b/>
          <w:sz w:val="32"/>
          <w:szCs w:val="32"/>
          <w:lang w:val="en-US" w:eastAsia="zh-CN"/>
        </w:rPr>
        <w:t>12668.38</w:t>
      </w:r>
      <w:r>
        <w:rPr>
          <w:rFonts w:hint="eastAsia" w:ascii="仿宋_GB2312" w:hAnsi="仿宋_GB2312" w:eastAsia="仿宋_GB2312" w:cs="仿宋_GB2312"/>
          <w:b/>
          <w:sz w:val="32"/>
          <w:szCs w:val="32"/>
        </w:rPr>
        <w:t>万元，包括：</w:t>
      </w:r>
    </w:p>
    <w:p w14:paraId="27248B97">
      <w:pPr>
        <w:pStyle w:val="6"/>
        <w:spacing w:line="560" w:lineRule="exact"/>
        <w:ind w:firstLine="66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财政拨款收入</w:t>
      </w:r>
      <w:r>
        <w:rPr>
          <w:rFonts w:hint="eastAsia" w:ascii="仿宋_GB2312" w:hAnsi="仿宋_GB2312" w:eastAsia="仿宋_GB2312" w:cs="仿宋_GB2312"/>
          <w:sz w:val="32"/>
          <w:szCs w:val="32"/>
          <w:lang w:val="en-US" w:eastAsia="zh-CN"/>
        </w:rPr>
        <w:t>12668.38</w:t>
      </w:r>
      <w:r>
        <w:rPr>
          <w:rFonts w:hint="eastAsia" w:ascii="仿宋_GB2312" w:hAnsi="仿宋_GB2312" w:eastAsia="仿宋_GB2312" w:cs="仿宋_GB2312"/>
          <w:sz w:val="32"/>
          <w:szCs w:val="32"/>
        </w:rPr>
        <w:t>万元，占收入总计的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%。其中：一般公共预算财政拨款收入</w:t>
      </w:r>
      <w:r>
        <w:rPr>
          <w:rFonts w:hint="eastAsia" w:ascii="仿宋_GB2312" w:hAnsi="仿宋_GB2312" w:eastAsia="仿宋_GB2312" w:cs="仿宋_GB2312"/>
          <w:sz w:val="32"/>
          <w:szCs w:val="32"/>
          <w:lang w:val="en-US" w:eastAsia="zh-CN"/>
        </w:rPr>
        <w:t>12579.87</w:t>
      </w:r>
      <w:r>
        <w:rPr>
          <w:rFonts w:hint="eastAsia" w:ascii="仿宋_GB2312" w:hAnsi="仿宋_GB2312" w:eastAsia="仿宋_GB2312" w:cs="仿宋_GB2312"/>
          <w:sz w:val="32"/>
          <w:szCs w:val="32"/>
        </w:rPr>
        <w:t>万元，政府性基金收入</w:t>
      </w:r>
      <w:r>
        <w:rPr>
          <w:rFonts w:hint="eastAsia" w:ascii="仿宋_GB2312" w:hAnsi="仿宋_GB2312" w:eastAsia="仿宋_GB2312" w:cs="仿宋_GB2312"/>
          <w:sz w:val="32"/>
          <w:szCs w:val="32"/>
          <w:lang w:val="en-US" w:eastAsia="zh-CN"/>
        </w:rPr>
        <w:t>88.51</w:t>
      </w:r>
      <w:r>
        <w:rPr>
          <w:rFonts w:hint="eastAsia" w:ascii="仿宋_GB2312" w:hAnsi="仿宋_GB2312" w:eastAsia="仿宋_GB2312" w:cs="仿宋_GB2312"/>
          <w:sz w:val="32"/>
          <w:szCs w:val="32"/>
        </w:rPr>
        <w:t>万元，国有资本经营预算财政拨款收入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14:paraId="65652C5C">
      <w:pPr>
        <w:pStyle w:val="6"/>
        <w:spacing w:line="560" w:lineRule="exact"/>
        <w:ind w:firstLine="640" w:firstLineChars="200"/>
        <w:jc w:val="both"/>
        <w:rPr>
          <w:rFonts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14:paraId="3F9A9A4E">
      <w:pPr>
        <w:pStyle w:val="6"/>
        <w:spacing w:line="560"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与上年相比，今年收入减少</w:t>
      </w:r>
      <w:r>
        <w:rPr>
          <w:rFonts w:hint="eastAsia" w:ascii="仿宋_GB2312" w:hAnsi="仿宋_GB2312" w:eastAsia="仿宋_GB2312" w:cs="仿宋_GB2312"/>
          <w:sz w:val="32"/>
          <w:szCs w:val="32"/>
          <w:lang w:val="en-US" w:eastAsia="zh-CN"/>
        </w:rPr>
        <w:t>3646.23</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22.35</w:t>
      </w:r>
      <w:r>
        <w:rPr>
          <w:rFonts w:hint="eastAsia" w:ascii="仿宋_GB2312" w:hAnsi="仿宋_GB2312" w:eastAsia="仿宋_GB2312" w:cs="仿宋_GB2312"/>
          <w:sz w:val="32"/>
          <w:szCs w:val="32"/>
        </w:rPr>
        <w:t>%，主要原因：</w:t>
      </w:r>
      <w:r>
        <w:rPr>
          <w:rFonts w:hint="eastAsia" w:ascii="仿宋_GB2312" w:hAnsi="仿宋_GB2312" w:eastAsia="仿宋_GB2312" w:cs="仿宋_GB2312"/>
          <w:sz w:val="32"/>
          <w:szCs w:val="32"/>
          <w:lang w:eastAsia="zh-CN"/>
        </w:rPr>
        <w:t>节约开支。</w:t>
      </w:r>
    </w:p>
    <w:p w14:paraId="1A401C99">
      <w:pPr>
        <w:pStyle w:val="6"/>
        <w:numPr>
          <w:ilvl w:val="0"/>
          <w:numId w:val="1"/>
        </w:numPr>
        <w:spacing w:line="560" w:lineRule="exact"/>
        <w:ind w:firstLine="660"/>
        <w:jc w:val="both"/>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支出总计</w:t>
      </w:r>
      <w:r>
        <w:rPr>
          <w:rFonts w:hint="eastAsia" w:ascii="仿宋_GB2312" w:hAnsi="仿宋_GB2312" w:eastAsia="仿宋_GB2312" w:cs="仿宋_GB2312"/>
          <w:b/>
          <w:sz w:val="32"/>
          <w:szCs w:val="32"/>
          <w:lang w:val="en-US" w:eastAsia="zh-CN"/>
        </w:rPr>
        <w:t>12668.38</w:t>
      </w:r>
      <w:r>
        <w:rPr>
          <w:rFonts w:hint="eastAsia" w:ascii="仿宋_GB2312" w:hAnsi="仿宋_GB2312" w:eastAsia="仿宋_GB2312" w:cs="仿宋_GB2312"/>
          <w:b/>
          <w:sz w:val="32"/>
          <w:szCs w:val="32"/>
        </w:rPr>
        <w:t>万元，包括：</w:t>
      </w:r>
    </w:p>
    <w:p w14:paraId="1F753D51">
      <w:pPr>
        <w:pStyle w:val="6"/>
        <w:numPr>
          <w:ilvl w:val="0"/>
          <w:numId w:val="0"/>
        </w:numPr>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w:t>
      </w:r>
      <w:r>
        <w:rPr>
          <w:rFonts w:hint="eastAsia" w:ascii="仿宋_GB2312" w:hAnsi="仿宋_GB2312" w:eastAsia="仿宋_GB2312" w:cs="仿宋_GB2312"/>
          <w:sz w:val="32"/>
          <w:szCs w:val="32"/>
          <w:lang w:val="en-US" w:eastAsia="zh-CN"/>
        </w:rPr>
        <w:t>2212.47</w:t>
      </w:r>
      <w:r>
        <w:rPr>
          <w:rFonts w:hint="eastAsia" w:ascii="仿宋_GB2312" w:hAnsi="仿宋_GB2312" w:eastAsia="仿宋_GB2312" w:cs="仿宋_GB2312"/>
          <w:sz w:val="32"/>
          <w:szCs w:val="32"/>
        </w:rPr>
        <w:t>万元，占支出总计的</w:t>
      </w:r>
      <w:r>
        <w:rPr>
          <w:rFonts w:hint="eastAsia" w:ascii="仿宋_GB2312" w:hAnsi="仿宋_GB2312" w:eastAsia="仿宋_GB2312" w:cs="仿宋_GB2312"/>
          <w:sz w:val="32"/>
          <w:szCs w:val="32"/>
          <w:lang w:val="en-US" w:eastAsia="zh-CN"/>
        </w:rPr>
        <w:t>17.46</w:t>
      </w:r>
      <w:r>
        <w:rPr>
          <w:rFonts w:hint="eastAsia" w:ascii="仿宋_GB2312" w:hAnsi="仿宋_GB2312" w:eastAsia="仿宋_GB2312" w:cs="仿宋_GB2312"/>
          <w:sz w:val="32"/>
          <w:szCs w:val="32"/>
        </w:rPr>
        <w:t>%。主要是为保障机构正常运转、完成日常工作任务而发生的各项支出，其中：工资福利支出</w:t>
      </w:r>
      <w:r>
        <w:rPr>
          <w:rFonts w:hint="eastAsia" w:ascii="仿宋_GB2312" w:hAnsi="仿宋_GB2312" w:eastAsia="仿宋_GB2312" w:cs="仿宋_GB2312"/>
          <w:sz w:val="32"/>
          <w:szCs w:val="32"/>
          <w:lang w:val="en-US" w:eastAsia="zh-CN"/>
        </w:rPr>
        <w:t>1710.85</w:t>
      </w:r>
      <w:r>
        <w:rPr>
          <w:rFonts w:hint="eastAsia" w:ascii="仿宋_GB2312" w:hAnsi="仿宋_GB2312" w:eastAsia="仿宋_GB2312" w:cs="仿宋_GB2312"/>
          <w:sz w:val="32"/>
          <w:szCs w:val="32"/>
        </w:rPr>
        <w:t>万元，对个人和家庭的补助支出</w:t>
      </w:r>
      <w:r>
        <w:rPr>
          <w:rFonts w:hint="eastAsia" w:ascii="仿宋_GB2312" w:hAnsi="仿宋_GB2312" w:eastAsia="仿宋_GB2312" w:cs="仿宋_GB2312"/>
          <w:sz w:val="32"/>
          <w:szCs w:val="32"/>
          <w:lang w:val="en-US" w:eastAsia="zh-CN"/>
        </w:rPr>
        <w:t>123.7</w:t>
      </w:r>
      <w:r>
        <w:rPr>
          <w:rFonts w:hint="eastAsia" w:ascii="仿宋_GB2312" w:hAnsi="仿宋_GB2312" w:eastAsia="仿宋_GB2312" w:cs="仿宋_GB2312"/>
          <w:sz w:val="32"/>
          <w:szCs w:val="32"/>
        </w:rPr>
        <w:t>万元，商品和服务支出</w:t>
      </w:r>
      <w:r>
        <w:rPr>
          <w:rFonts w:hint="eastAsia" w:ascii="仿宋_GB2312" w:hAnsi="仿宋_GB2312" w:eastAsia="仿宋_GB2312" w:cs="仿宋_GB2312"/>
          <w:sz w:val="32"/>
          <w:szCs w:val="32"/>
          <w:lang w:val="en-US" w:eastAsia="zh-CN"/>
        </w:rPr>
        <w:t>370.92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资本性支出</w:t>
      </w:r>
      <w:r>
        <w:rPr>
          <w:rFonts w:hint="eastAsia" w:ascii="仿宋_GB2312" w:hAnsi="仿宋_GB2312" w:eastAsia="仿宋_GB2312" w:cs="仿宋_GB2312"/>
          <w:sz w:val="32"/>
          <w:szCs w:val="32"/>
          <w:lang w:val="en-US" w:eastAsia="zh-CN"/>
        </w:rPr>
        <w:t>7万元</w:t>
      </w:r>
      <w:r>
        <w:rPr>
          <w:rFonts w:hint="eastAsia" w:ascii="仿宋_GB2312" w:hAnsi="仿宋_GB2312" w:eastAsia="仿宋_GB2312" w:cs="仿宋_GB2312"/>
          <w:sz w:val="32"/>
          <w:szCs w:val="32"/>
        </w:rPr>
        <w:t>。</w:t>
      </w:r>
    </w:p>
    <w:p w14:paraId="4DF7BF91">
      <w:pPr>
        <w:pStyle w:val="6"/>
        <w:spacing w:line="560" w:lineRule="exact"/>
        <w:ind w:firstLine="66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10455.91</w:t>
      </w:r>
      <w:r>
        <w:rPr>
          <w:rFonts w:hint="eastAsia" w:ascii="仿宋_GB2312" w:hAnsi="仿宋_GB2312" w:eastAsia="仿宋_GB2312" w:cs="仿宋_GB2312"/>
          <w:sz w:val="32"/>
          <w:szCs w:val="32"/>
        </w:rPr>
        <w:t>万元，占支出总计的</w:t>
      </w:r>
      <w:r>
        <w:rPr>
          <w:rFonts w:hint="eastAsia" w:ascii="仿宋_GB2312" w:hAnsi="仿宋_GB2312" w:eastAsia="仿宋_GB2312" w:cs="仿宋_GB2312"/>
          <w:sz w:val="32"/>
          <w:szCs w:val="32"/>
          <w:lang w:val="en-US" w:eastAsia="zh-CN"/>
        </w:rPr>
        <w:t>82.54</w:t>
      </w:r>
      <w:r>
        <w:rPr>
          <w:rFonts w:hint="eastAsia" w:ascii="仿宋_GB2312" w:hAnsi="仿宋_GB2312" w:eastAsia="仿宋_GB2312" w:cs="仿宋_GB2312"/>
          <w:sz w:val="32"/>
          <w:szCs w:val="32"/>
        </w:rPr>
        <w:t>%。主要包括</w:t>
      </w:r>
      <w:r>
        <w:rPr>
          <w:rFonts w:hint="eastAsia" w:ascii="仿宋_GB2312" w:hAnsi="仿宋_GB2312" w:eastAsia="仿宋_GB2312" w:cs="仿宋_GB2312"/>
          <w:sz w:val="32"/>
          <w:szCs w:val="32"/>
          <w:lang w:eastAsia="zh-CN"/>
        </w:rPr>
        <w:t>文化旅游体育与传媒支出、城乡社区支出、农林水等</w:t>
      </w:r>
      <w:r>
        <w:rPr>
          <w:rFonts w:hint="eastAsia" w:ascii="仿宋_GB2312" w:hAnsi="仿宋_GB2312" w:eastAsia="仿宋_GB2312" w:cs="仿宋_GB2312"/>
          <w:sz w:val="32"/>
          <w:szCs w:val="32"/>
        </w:rPr>
        <w:t>业务支出</w:t>
      </w:r>
      <w:r>
        <w:rPr>
          <w:rFonts w:hint="eastAsia" w:ascii="仿宋_GB2312" w:hAnsi="仿宋_GB2312" w:eastAsia="仿宋_GB2312" w:cs="仿宋_GB2312"/>
          <w:sz w:val="32"/>
          <w:szCs w:val="32"/>
          <w:lang w:eastAsia="zh-CN"/>
        </w:rPr>
        <w:t>。</w:t>
      </w:r>
    </w:p>
    <w:p w14:paraId="16046989">
      <w:pPr>
        <w:pStyle w:val="6"/>
        <w:spacing w:line="560" w:lineRule="exact"/>
        <w:ind w:firstLine="660"/>
        <w:jc w:val="both"/>
        <w:rPr>
          <w:rFonts w:hint="eastAsia" w:ascii="仿宋_GB2312" w:hAnsi="仿宋_GB2312" w:eastAsia="仿宋_GB2312" w:cs="仿宋_GB2312"/>
          <w:b/>
          <w:bCs/>
          <w:color w:val="FF0000"/>
          <w:sz w:val="32"/>
          <w:szCs w:val="32"/>
          <w:lang w:eastAsia="zh-CN"/>
        </w:rPr>
      </w:pPr>
      <w:r>
        <w:rPr>
          <w:rFonts w:hint="eastAsia" w:ascii="仿宋_GB2312" w:hAnsi="仿宋_GB2312" w:eastAsia="仿宋_GB2312" w:cs="仿宋_GB2312"/>
          <w:sz w:val="32"/>
          <w:szCs w:val="32"/>
        </w:rPr>
        <w:t>与上年相比，今年支出减少</w:t>
      </w:r>
      <w:r>
        <w:rPr>
          <w:rFonts w:hint="eastAsia" w:ascii="仿宋_GB2312" w:hAnsi="仿宋_GB2312" w:eastAsia="仿宋_GB2312" w:cs="仿宋_GB2312"/>
          <w:sz w:val="32"/>
          <w:szCs w:val="32"/>
          <w:lang w:val="en-US" w:eastAsia="zh-CN"/>
        </w:rPr>
        <w:t>3646.23</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22.35</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节约开支。</w:t>
      </w:r>
    </w:p>
    <w:p w14:paraId="3430AFAE">
      <w:pPr>
        <w:pStyle w:val="6"/>
        <w:spacing w:line="560" w:lineRule="exact"/>
        <w:ind w:firstLine="660"/>
        <w:jc w:val="both"/>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（三）年末结转和结余</w:t>
      </w:r>
      <w:r>
        <w:rPr>
          <w:rFonts w:hint="eastAsia" w:ascii="仿宋_GB2312" w:hAnsi="仿宋_GB2312" w:eastAsia="仿宋_GB2312" w:cs="仿宋_GB2312"/>
          <w:b/>
          <w:sz w:val="32"/>
          <w:szCs w:val="32"/>
          <w:lang w:val="en-US" w:eastAsia="zh-CN"/>
        </w:rPr>
        <w:t>0</w:t>
      </w:r>
      <w:r>
        <w:rPr>
          <w:rFonts w:hint="eastAsia" w:ascii="仿宋_GB2312" w:hAnsi="仿宋_GB2312" w:eastAsia="仿宋_GB2312" w:cs="仿宋_GB2312"/>
          <w:b/>
          <w:sz w:val="32"/>
          <w:szCs w:val="32"/>
        </w:rPr>
        <w:t>万元</w:t>
      </w:r>
    </w:p>
    <w:p w14:paraId="7D33DDC8">
      <w:pPr>
        <w:pStyle w:val="6"/>
        <w:spacing w:line="560" w:lineRule="exact"/>
        <w:ind w:firstLine="66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与上年相比，今年结转结余</w:t>
      </w:r>
      <w:r>
        <w:rPr>
          <w:rFonts w:hint="eastAsia" w:ascii="仿宋_GB2312" w:hAnsi="仿宋_GB2312" w:eastAsia="仿宋_GB2312" w:cs="仿宋_GB2312"/>
          <w:sz w:val="32"/>
          <w:szCs w:val="32"/>
          <w:lang w:eastAsia="zh-CN"/>
        </w:rPr>
        <w:t>与上年持平。</w:t>
      </w:r>
    </w:p>
    <w:p w14:paraId="08DBF3C4">
      <w:pPr>
        <w:pStyle w:val="6"/>
        <w:spacing w:line="560" w:lineRule="exact"/>
        <w:ind w:firstLine="660"/>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二、财政拨款收入支出决算情况说明</w:t>
      </w:r>
    </w:p>
    <w:p w14:paraId="368B7292">
      <w:pPr>
        <w:pStyle w:val="6"/>
        <w:spacing w:line="560" w:lineRule="exact"/>
        <w:ind w:firstLine="66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12668.38</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2212.47</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10455.91</w:t>
      </w:r>
      <w:r>
        <w:rPr>
          <w:rFonts w:hint="eastAsia" w:ascii="仿宋_GB2312" w:hAnsi="仿宋_GB2312" w:eastAsia="仿宋_GB2312" w:cs="仿宋_GB2312"/>
          <w:sz w:val="32"/>
          <w:szCs w:val="32"/>
        </w:rPr>
        <w:t>万元。与上年相比，财政拨款支出增加减少</w:t>
      </w:r>
      <w:r>
        <w:rPr>
          <w:rFonts w:hint="eastAsia" w:ascii="仿宋_GB2312" w:hAnsi="仿宋_GB2312" w:eastAsia="仿宋_GB2312" w:cs="仿宋_GB2312"/>
          <w:sz w:val="32"/>
          <w:szCs w:val="32"/>
          <w:lang w:val="en-US" w:eastAsia="zh-CN"/>
        </w:rPr>
        <w:t>3646.23</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22.35</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节约开支</w:t>
      </w:r>
      <w:r>
        <w:rPr>
          <w:rFonts w:hint="eastAsia" w:ascii="仿宋_GB2312" w:hAnsi="仿宋_GB2312" w:eastAsia="仿宋_GB2312" w:cs="仿宋_GB2312"/>
          <w:sz w:val="32"/>
          <w:szCs w:val="32"/>
        </w:rPr>
        <w:t>。与年初预算相比，202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年度财政拨款支出完成年初预算的</w:t>
      </w:r>
      <w:r>
        <w:rPr>
          <w:rFonts w:hint="eastAsia" w:ascii="仿宋_GB2312" w:hAnsi="仿宋_GB2312" w:eastAsia="仿宋_GB2312" w:cs="仿宋_GB2312"/>
          <w:sz w:val="32"/>
          <w:szCs w:val="32"/>
          <w:lang w:val="en-US" w:eastAsia="zh-CN"/>
        </w:rPr>
        <w:t>214.99</w:t>
      </w:r>
      <w:r>
        <w:rPr>
          <w:rFonts w:hint="eastAsia" w:ascii="仿宋_GB2312" w:hAnsi="仿宋_GB2312" w:eastAsia="仿宋_GB2312" w:cs="仿宋_GB2312"/>
          <w:sz w:val="32"/>
          <w:szCs w:val="32"/>
        </w:rPr>
        <w:t>%，其中：基本支出完成年初预算的</w:t>
      </w:r>
      <w:r>
        <w:rPr>
          <w:rFonts w:hint="eastAsia" w:ascii="仿宋_GB2312" w:hAnsi="仿宋_GB2312" w:eastAsia="仿宋_GB2312" w:cs="仿宋_GB2312"/>
          <w:sz w:val="32"/>
          <w:szCs w:val="32"/>
          <w:lang w:val="en-US" w:eastAsia="zh-CN"/>
        </w:rPr>
        <w:t>84.07</w:t>
      </w:r>
      <w:r>
        <w:rPr>
          <w:rFonts w:hint="eastAsia" w:ascii="仿宋_GB2312" w:hAnsi="仿宋_GB2312" w:eastAsia="仿宋_GB2312" w:cs="仿宋_GB2312"/>
          <w:sz w:val="32"/>
          <w:szCs w:val="32"/>
        </w:rPr>
        <w:t>%，项目支出完成年初预算的</w:t>
      </w:r>
      <w:r>
        <w:rPr>
          <w:rFonts w:hint="eastAsia" w:ascii="仿宋_GB2312" w:hAnsi="仿宋_GB2312" w:eastAsia="仿宋_GB2312" w:cs="仿宋_GB2312"/>
          <w:sz w:val="32"/>
          <w:szCs w:val="32"/>
          <w:lang w:val="en-US" w:eastAsia="zh-CN"/>
        </w:rPr>
        <w:t>320.65</w:t>
      </w:r>
      <w:r>
        <w:rPr>
          <w:rFonts w:hint="eastAsia" w:ascii="仿宋_GB2312" w:hAnsi="仿宋_GB2312" w:eastAsia="仿宋_GB2312" w:cs="仿宋_GB2312"/>
          <w:sz w:val="32"/>
          <w:szCs w:val="32"/>
        </w:rPr>
        <w:t>%。</w:t>
      </w:r>
    </w:p>
    <w:p w14:paraId="6A15F5E8">
      <w:pPr>
        <w:numPr>
          <w:ilvl w:val="0"/>
          <w:numId w:val="0"/>
        </w:numPr>
        <w:spacing w:line="560" w:lineRule="exact"/>
        <w:ind w:left="660" w:leftChars="0"/>
        <w:jc w:val="both"/>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eastAsia="zh-CN"/>
        </w:rPr>
        <w:t>（一）、</w:t>
      </w:r>
      <w:r>
        <w:rPr>
          <w:rFonts w:hint="eastAsia" w:ascii="仿宋_GB2312" w:hAnsi="仿宋_GB2312" w:eastAsia="仿宋_GB2312" w:cs="仿宋_GB2312"/>
          <w:b/>
          <w:sz w:val="32"/>
          <w:szCs w:val="32"/>
        </w:rPr>
        <w:t>一般公共预算财政拨款支出情况。</w:t>
      </w:r>
    </w:p>
    <w:p w14:paraId="7FED5816">
      <w:pPr>
        <w:numPr>
          <w:ilvl w:val="0"/>
          <w:numId w:val="0"/>
        </w:numPr>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val="en-US" w:eastAsia="zh-CN"/>
        </w:rPr>
        <w:t>12579.87</w:t>
      </w:r>
      <w:r>
        <w:rPr>
          <w:rFonts w:hint="eastAsia" w:ascii="仿宋_GB2312" w:hAnsi="仿宋_GB2312" w:eastAsia="仿宋_GB2312" w:cs="仿宋_GB2312"/>
          <w:sz w:val="32"/>
          <w:szCs w:val="32"/>
        </w:rPr>
        <w:t>万元，按支出功能分类科目分，包括：一般公共服务支出</w:t>
      </w:r>
      <w:r>
        <w:rPr>
          <w:rFonts w:hint="eastAsia" w:ascii="仿宋_GB2312" w:hAnsi="仿宋_GB2312" w:eastAsia="仿宋_GB2312" w:cs="仿宋_GB2312"/>
          <w:sz w:val="32"/>
          <w:szCs w:val="32"/>
          <w:lang w:val="en-US" w:eastAsia="zh-CN"/>
        </w:rPr>
        <w:t>18.49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0.15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教育支出</w:t>
      </w:r>
      <w:r>
        <w:rPr>
          <w:rFonts w:hint="eastAsia" w:ascii="仿宋_GB2312" w:hAnsi="仿宋_GB2312" w:eastAsia="仿宋_GB2312" w:cs="仿宋_GB2312"/>
          <w:sz w:val="32"/>
          <w:szCs w:val="32"/>
          <w:lang w:val="en-US" w:eastAsia="zh-CN"/>
        </w:rPr>
        <w:t>5万元，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0.04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科学技术支出</w:t>
      </w:r>
      <w:r>
        <w:rPr>
          <w:rFonts w:hint="eastAsia" w:ascii="仿宋_GB2312" w:hAnsi="仿宋_GB2312" w:eastAsia="仿宋_GB2312" w:cs="仿宋_GB2312"/>
          <w:sz w:val="32"/>
          <w:szCs w:val="32"/>
          <w:lang w:val="en-US" w:eastAsia="zh-CN"/>
        </w:rPr>
        <w:t>54.17万元，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0.44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文化旅游体育与传媒支出</w:t>
      </w:r>
      <w:r>
        <w:rPr>
          <w:rFonts w:hint="eastAsia" w:ascii="仿宋_GB2312" w:hAnsi="仿宋_GB2312" w:eastAsia="仿宋_GB2312" w:cs="仿宋_GB2312"/>
          <w:sz w:val="32"/>
          <w:szCs w:val="32"/>
          <w:lang w:val="en-US" w:eastAsia="zh-CN"/>
        </w:rPr>
        <w:t>10304.44万元，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81.91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；社会保障和就业支出</w:t>
      </w:r>
      <w:r>
        <w:rPr>
          <w:rFonts w:hint="eastAsia" w:ascii="仿宋_GB2312" w:hAnsi="仿宋_GB2312" w:eastAsia="仿宋_GB2312" w:cs="仿宋_GB2312"/>
          <w:sz w:val="32"/>
          <w:szCs w:val="32"/>
          <w:lang w:val="en-US" w:eastAsia="zh-CN"/>
        </w:rPr>
        <w:t>301.88万元，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；卫生健康支出</w:t>
      </w:r>
      <w:r>
        <w:rPr>
          <w:rFonts w:hint="eastAsia" w:ascii="仿宋_GB2312" w:hAnsi="仿宋_GB2312" w:eastAsia="仿宋_GB2312" w:cs="仿宋_GB2312"/>
          <w:sz w:val="32"/>
          <w:szCs w:val="32"/>
          <w:lang w:val="en-US" w:eastAsia="zh-CN"/>
        </w:rPr>
        <w:t>60.54万元，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0.48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；节能环保支出</w:t>
      </w:r>
      <w:r>
        <w:rPr>
          <w:rFonts w:hint="eastAsia" w:ascii="仿宋_GB2312" w:hAnsi="仿宋_GB2312" w:eastAsia="仿宋_GB2312" w:cs="仿宋_GB2312"/>
          <w:sz w:val="32"/>
          <w:szCs w:val="32"/>
          <w:lang w:val="en-US" w:eastAsia="zh-CN"/>
        </w:rPr>
        <w:t>37万元，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0.29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；城乡社区支出</w:t>
      </w:r>
      <w:r>
        <w:rPr>
          <w:rFonts w:hint="eastAsia" w:ascii="仿宋_GB2312" w:hAnsi="仿宋_GB2312" w:eastAsia="仿宋_GB2312" w:cs="仿宋_GB2312"/>
          <w:sz w:val="32"/>
          <w:szCs w:val="32"/>
          <w:lang w:val="en-US" w:eastAsia="zh-CN"/>
        </w:rPr>
        <w:t>81.09万元，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0.64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；农林水支出</w:t>
      </w:r>
      <w:r>
        <w:rPr>
          <w:rFonts w:hint="eastAsia" w:ascii="仿宋_GB2312" w:hAnsi="仿宋_GB2312" w:eastAsia="仿宋_GB2312" w:cs="仿宋_GB2312"/>
          <w:sz w:val="32"/>
          <w:szCs w:val="32"/>
          <w:lang w:val="en-US" w:eastAsia="zh-CN"/>
        </w:rPr>
        <w:t>1502.2万元，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11.95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；住房保障支出</w:t>
      </w:r>
      <w:r>
        <w:rPr>
          <w:rFonts w:hint="eastAsia" w:ascii="仿宋_GB2312" w:hAnsi="仿宋_GB2312" w:eastAsia="仿宋_GB2312" w:cs="仿宋_GB2312"/>
          <w:sz w:val="32"/>
          <w:szCs w:val="32"/>
          <w:lang w:val="en-US" w:eastAsia="zh-CN"/>
        </w:rPr>
        <w:t>215.05万元，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1.7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1ECE367F">
      <w:pPr>
        <w:spacing w:line="560" w:lineRule="exact"/>
        <w:ind w:firstLine="66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一般公共服务支出</w:t>
      </w:r>
      <w:r>
        <w:rPr>
          <w:rFonts w:hint="eastAsia" w:ascii="仿宋_GB2312" w:hAnsi="仿宋_GB2312" w:eastAsia="仿宋_GB2312" w:cs="仿宋_GB2312"/>
          <w:sz w:val="32"/>
          <w:szCs w:val="32"/>
          <w:lang w:val="en-US" w:eastAsia="zh-CN"/>
        </w:rPr>
        <w:t>18.49</w:t>
      </w:r>
      <w:r>
        <w:rPr>
          <w:rFonts w:hint="eastAsia" w:ascii="仿宋_GB2312" w:hAnsi="仿宋_GB2312" w:eastAsia="仿宋_GB2312" w:cs="仿宋_GB2312"/>
          <w:sz w:val="32"/>
          <w:szCs w:val="32"/>
        </w:rPr>
        <w:t>万元，具体包括：</w:t>
      </w:r>
    </w:p>
    <w:p w14:paraId="78582173">
      <w:pPr>
        <w:spacing w:line="560" w:lineRule="exact"/>
        <w:ind w:firstLine="66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一般公共服务支出（类）政府办公厅（室）及相关机构事务（款）信访事务（项）</w:t>
      </w:r>
      <w:r>
        <w:rPr>
          <w:rFonts w:hint="eastAsia" w:ascii="仿宋_GB2312" w:hAnsi="仿宋_GB2312" w:eastAsia="仿宋_GB2312" w:cs="仿宋_GB2312"/>
          <w:sz w:val="32"/>
          <w:szCs w:val="32"/>
          <w:lang w:val="en-US" w:eastAsia="zh-CN"/>
        </w:rPr>
        <w:t>11.49</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lang w:eastAsia="zh-CN"/>
        </w:rPr>
        <w:t>任志新困难补助等支出</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229.8</w:t>
      </w:r>
      <w:r>
        <w:rPr>
          <w:rFonts w:hint="eastAsia" w:ascii="仿宋_GB2312" w:hAnsi="仿宋_GB2312" w:eastAsia="仿宋_GB2312" w:cs="仿宋_GB2312"/>
          <w:sz w:val="32"/>
          <w:szCs w:val="32"/>
        </w:rPr>
        <w:t>%，决算数大于年初预算数的原因主要是</w:t>
      </w:r>
      <w:r>
        <w:rPr>
          <w:rFonts w:hint="eastAsia" w:ascii="仿宋_GB2312" w:hAnsi="仿宋_GB2312" w:eastAsia="仿宋_GB2312" w:cs="仿宋_GB2312"/>
          <w:sz w:val="32"/>
          <w:szCs w:val="32"/>
          <w:lang w:eastAsia="zh-CN"/>
        </w:rPr>
        <w:t>发放任志新困难补助</w:t>
      </w:r>
      <w:r>
        <w:rPr>
          <w:rFonts w:hint="eastAsia" w:ascii="仿宋_GB2312" w:hAnsi="仿宋_GB2312" w:eastAsia="仿宋_GB2312" w:cs="仿宋_GB2312"/>
          <w:sz w:val="32"/>
          <w:szCs w:val="32"/>
          <w:lang w:val="en-US" w:eastAsia="zh-CN"/>
        </w:rPr>
        <w:t>10万元；</w:t>
      </w:r>
    </w:p>
    <w:p w14:paraId="0A1A1E5B">
      <w:pPr>
        <w:spacing w:line="560" w:lineRule="exact"/>
        <w:ind w:firstLine="66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一般公共服务支出（类）政府办公厅（室）及相关机构事务（款）</w:t>
      </w:r>
      <w:r>
        <w:rPr>
          <w:rFonts w:hint="eastAsia" w:ascii="仿宋_GB2312" w:hAnsi="仿宋_GB2312" w:eastAsia="仿宋_GB2312" w:cs="仿宋_GB2312"/>
          <w:sz w:val="32"/>
          <w:szCs w:val="32"/>
          <w:lang w:eastAsia="zh-CN"/>
        </w:rPr>
        <w:t>事业运行（</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lang w:eastAsia="zh-CN"/>
        </w:rPr>
        <w:t>购买办公设备等支出</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46.67</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w:t>
      </w:r>
      <w:r>
        <w:rPr>
          <w:rFonts w:hint="eastAsia" w:ascii="仿宋_GB2312" w:hAnsi="仿宋_GB2312" w:eastAsia="仿宋_GB2312" w:cs="仿宋_GB2312"/>
          <w:sz w:val="32"/>
          <w:szCs w:val="32"/>
        </w:rPr>
        <w:t>于年初预算数的原因主要是</w:t>
      </w:r>
      <w:r>
        <w:rPr>
          <w:rFonts w:hint="eastAsia" w:ascii="仿宋_GB2312" w:hAnsi="仿宋_GB2312" w:eastAsia="仿宋_GB2312" w:cs="仿宋_GB2312"/>
          <w:sz w:val="32"/>
          <w:szCs w:val="32"/>
          <w:lang w:eastAsia="zh-CN"/>
        </w:rPr>
        <w:t>节约开支</w:t>
      </w:r>
      <w:r>
        <w:rPr>
          <w:rFonts w:hint="eastAsia" w:ascii="仿宋_GB2312" w:hAnsi="仿宋_GB2312" w:eastAsia="仿宋_GB2312" w:cs="仿宋_GB2312"/>
          <w:sz w:val="32"/>
          <w:szCs w:val="32"/>
          <w:lang w:val="en-US" w:eastAsia="zh-CN"/>
        </w:rPr>
        <w:t>；</w:t>
      </w:r>
    </w:p>
    <w:p w14:paraId="479C50DD">
      <w:pPr>
        <w:spacing w:line="560" w:lineRule="exact"/>
        <w:ind w:firstLine="66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2、教育支出5万元，具体包括：</w:t>
      </w:r>
    </w:p>
    <w:p w14:paraId="0A123E92">
      <w:pPr>
        <w:spacing w:line="560" w:lineRule="exact"/>
        <w:ind w:firstLine="66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（1）、教育支出（类）进修及培训（款）培训支出（项）5万元，主要是林草局业务培新经费，</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rPr>
        <w:t>年初预算数</w:t>
      </w:r>
      <w:r>
        <w:rPr>
          <w:rFonts w:hint="eastAsia" w:ascii="仿宋_GB2312" w:hAnsi="仿宋_GB2312" w:eastAsia="仿宋_GB2312" w:cs="仿宋_GB2312"/>
          <w:sz w:val="32"/>
          <w:szCs w:val="32"/>
          <w:lang w:eastAsia="zh-CN"/>
        </w:rPr>
        <w:t>持平</w:t>
      </w:r>
      <w:r>
        <w:rPr>
          <w:rFonts w:hint="eastAsia" w:ascii="仿宋_GB2312" w:hAnsi="仿宋_GB2312" w:eastAsia="仿宋_GB2312" w:cs="仿宋_GB2312"/>
          <w:sz w:val="32"/>
          <w:szCs w:val="32"/>
          <w:lang w:val="en-US" w:eastAsia="zh-CN"/>
        </w:rPr>
        <w:t>；</w:t>
      </w:r>
    </w:p>
    <w:p w14:paraId="2B6DFE5B">
      <w:pPr>
        <w:spacing w:line="560" w:lineRule="exact"/>
        <w:ind w:firstLine="66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3、科学技术支出54.17万元，</w:t>
      </w:r>
      <w:r>
        <w:rPr>
          <w:rFonts w:hint="eastAsia" w:ascii="仿宋_GB2312" w:hAnsi="仿宋_GB2312" w:eastAsia="仿宋_GB2312" w:cs="仿宋_GB2312"/>
          <w:sz w:val="32"/>
          <w:szCs w:val="32"/>
        </w:rPr>
        <w:t>具体包括：</w:t>
      </w:r>
    </w:p>
    <w:p w14:paraId="64EA6FBD">
      <w:pPr>
        <w:spacing w:line="560" w:lineRule="exact"/>
        <w:ind w:firstLine="66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（1）、科学技术支出（类）其他科学技术支出（款）其他科学技术支出（项）54.17万元，主要是光明小镇运行经费，未安排年初预算，主要支出为光明小镇水、电费、取暖费等费用。</w:t>
      </w:r>
    </w:p>
    <w:p w14:paraId="0697CAAA">
      <w:pPr>
        <w:spacing w:line="560" w:lineRule="exact"/>
        <w:ind w:firstLine="66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文化旅游体育与传媒支出</w:t>
      </w:r>
      <w:r>
        <w:rPr>
          <w:rFonts w:hint="eastAsia" w:ascii="仿宋_GB2312" w:hAnsi="仿宋_GB2312" w:eastAsia="仿宋_GB2312" w:cs="仿宋_GB2312"/>
          <w:sz w:val="32"/>
          <w:szCs w:val="32"/>
          <w:lang w:val="en-US" w:eastAsia="zh-CN"/>
        </w:rPr>
        <w:t>10304.44万元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具体包括：</w:t>
      </w:r>
    </w:p>
    <w:p w14:paraId="1F662000">
      <w:pPr>
        <w:spacing w:line="560" w:lineRule="exact"/>
        <w:ind w:firstLine="66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（1）、文化旅游体育与传媒支出（类）文化和旅游（款）其他文化和旅游支出（项）10304.44万元，主要是人员经费、政府购买服务经费、偿还政府欠款等支出，</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261.66</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于年初预算数的原因主要是</w:t>
      </w:r>
      <w:r>
        <w:rPr>
          <w:rFonts w:hint="eastAsia" w:ascii="仿宋_GB2312" w:hAnsi="仿宋_GB2312" w:eastAsia="仿宋_GB2312" w:cs="仿宋_GB2312"/>
          <w:sz w:val="32"/>
          <w:szCs w:val="32"/>
          <w:lang w:eastAsia="zh-CN"/>
        </w:rPr>
        <w:t>政府购买服务、偿还政府欠款等支出年初为安排预算</w:t>
      </w:r>
      <w:r>
        <w:rPr>
          <w:rFonts w:hint="eastAsia" w:ascii="仿宋_GB2312" w:hAnsi="仿宋_GB2312" w:eastAsia="仿宋_GB2312" w:cs="仿宋_GB2312"/>
          <w:sz w:val="32"/>
          <w:szCs w:val="32"/>
          <w:lang w:val="en-US" w:eastAsia="zh-CN"/>
        </w:rPr>
        <w:t>；</w:t>
      </w:r>
    </w:p>
    <w:p w14:paraId="7C88AC86">
      <w:pPr>
        <w:spacing w:line="560" w:lineRule="exact"/>
        <w:ind w:firstLine="66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5、社会保障和就业支出301.88万元，具体包括：</w:t>
      </w:r>
    </w:p>
    <w:p w14:paraId="2FC3959F">
      <w:pPr>
        <w:spacing w:line="560" w:lineRule="exact"/>
        <w:ind w:firstLine="66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（1）、社会保障和就业支出（类）行政事业单位养老支出（款）事业单位离退休（项）21.9万元，主要是退休人员取暖费及固定电话费。</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76.17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于年初预算数的原因主要是</w:t>
      </w:r>
      <w:r>
        <w:rPr>
          <w:rFonts w:hint="eastAsia" w:ascii="仿宋_GB2312" w:hAnsi="仿宋_GB2312" w:eastAsia="仿宋_GB2312" w:cs="仿宋_GB2312"/>
          <w:sz w:val="32"/>
          <w:szCs w:val="32"/>
          <w:lang w:eastAsia="zh-CN"/>
        </w:rPr>
        <w:t>退休人员减少，费用减少。</w:t>
      </w:r>
    </w:p>
    <w:p w14:paraId="157DB47A">
      <w:pPr>
        <w:spacing w:line="560" w:lineRule="exact"/>
        <w:ind w:firstLine="66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社会保障和就业支出（类）行政事业单位养老支出（款）机关事业单位基本养老保险缴费支出（项）150.22万元，主要是在职人员养老保险缴费。</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131.42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于年初预算数的原因主要是</w:t>
      </w:r>
      <w:r>
        <w:rPr>
          <w:rFonts w:hint="eastAsia" w:ascii="仿宋_GB2312" w:hAnsi="仿宋_GB2312" w:eastAsia="仿宋_GB2312" w:cs="仿宋_GB2312"/>
          <w:sz w:val="32"/>
          <w:szCs w:val="32"/>
          <w:lang w:eastAsia="zh-CN"/>
        </w:rPr>
        <w:t>在职人员增加及养老保险缴费基数调整。</w:t>
      </w:r>
    </w:p>
    <w:p w14:paraId="5EE18389">
      <w:pPr>
        <w:spacing w:line="560" w:lineRule="exact"/>
        <w:ind w:firstLine="66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（3）、社会保障和就业支出（类）行政事业单位养老支出（款）机关事业单位职业年金缴费支出（项）30.74万元，主要是离职人员补缴职业年金单位部分。</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55.53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于年初预算数的原因主要是</w:t>
      </w:r>
      <w:r>
        <w:rPr>
          <w:rFonts w:hint="eastAsia" w:ascii="仿宋_GB2312" w:hAnsi="仿宋_GB2312" w:eastAsia="仿宋_GB2312" w:cs="仿宋_GB2312"/>
          <w:sz w:val="32"/>
          <w:szCs w:val="32"/>
          <w:lang w:eastAsia="zh-CN"/>
        </w:rPr>
        <w:t>在职人员不缴纳职业年金单位部分，只缴纳离职人员部分。</w:t>
      </w:r>
    </w:p>
    <w:p w14:paraId="784FD40B">
      <w:pPr>
        <w:spacing w:line="560" w:lineRule="exact"/>
        <w:ind w:firstLine="66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社会保障和就业支出（类）抚恤（款）死亡抚恤（项）99.02万元，主要是死亡人员抚恤金。未安排年初预算，主要支出为死亡人员抚恤金。</w:t>
      </w:r>
    </w:p>
    <w:p w14:paraId="125DB659">
      <w:pPr>
        <w:spacing w:line="560" w:lineRule="exact"/>
        <w:ind w:firstLine="66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5、卫生健康支出60.54万元，具体包括：</w:t>
      </w:r>
    </w:p>
    <w:p w14:paraId="1DAE36C0">
      <w:pPr>
        <w:spacing w:line="560" w:lineRule="exact"/>
        <w:ind w:firstLine="66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（1）、卫生健康支出（类）行政事业单位医疗（款）事业单位医疗（项）56.27万元，主要是医疗保险缴费支出，完成年初预算数的95.65%，</w:t>
      </w:r>
      <w:r>
        <w:rPr>
          <w:rFonts w:hint="eastAsia" w:ascii="仿宋_GB2312" w:hAnsi="仿宋_GB2312" w:eastAsia="仿宋_GB2312" w:cs="仿宋_GB2312"/>
          <w:sz w:val="32"/>
          <w:szCs w:val="32"/>
        </w:rPr>
        <w:t>决算数小于年初预算数的原因主要是</w:t>
      </w: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lang w:val="en-US" w:eastAsia="zh-CN"/>
        </w:rPr>
        <w:t xml:space="preserve">人员调整及缴费基数调整。 </w:t>
      </w:r>
    </w:p>
    <w:p w14:paraId="4C8646C4">
      <w:pPr>
        <w:spacing w:line="560" w:lineRule="exact"/>
        <w:ind w:firstLine="66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（2）、卫生健康支出（类）行政事业单位医疗（款）公务员医疗补助（项）4.27万元，完成年初预算数的52.72%，</w:t>
      </w:r>
      <w:r>
        <w:rPr>
          <w:rFonts w:hint="eastAsia" w:ascii="仿宋_GB2312" w:hAnsi="仿宋_GB2312" w:eastAsia="仿宋_GB2312" w:cs="仿宋_GB2312"/>
          <w:sz w:val="32"/>
          <w:szCs w:val="32"/>
        </w:rPr>
        <w:t>决算数小于年初预算数的原因主要是</w:t>
      </w: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lang w:val="en-US" w:eastAsia="zh-CN"/>
        </w:rPr>
        <w:t>人员调整及缴费基数调整。</w:t>
      </w:r>
    </w:p>
    <w:p w14:paraId="651BBE36">
      <w:pPr>
        <w:spacing w:line="560" w:lineRule="exact"/>
        <w:ind w:firstLine="66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6、节能环保支出37万元，具体包括：</w:t>
      </w:r>
    </w:p>
    <w:p w14:paraId="0B9BB56C">
      <w:pPr>
        <w:numPr>
          <w:ilvl w:val="0"/>
          <w:numId w:val="0"/>
        </w:numPr>
        <w:spacing w:line="56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（1）、节能环保支出（类）自然生态保护（款）生态保护（项）37万元，主要是2021年中央重点生态功能区转移支付资金，年初未安排预算。</w:t>
      </w:r>
    </w:p>
    <w:p w14:paraId="14C73ADA">
      <w:pPr>
        <w:numPr>
          <w:ilvl w:val="0"/>
          <w:numId w:val="0"/>
        </w:numPr>
        <w:spacing w:line="56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7、城乡社区支出81.09万元，具体包括：</w:t>
      </w:r>
    </w:p>
    <w:p w14:paraId="43C34954">
      <w:pPr>
        <w:numPr>
          <w:ilvl w:val="0"/>
          <w:numId w:val="0"/>
        </w:numPr>
        <w:spacing w:line="560"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（1）、城乡社区支出（类）城乡社区公共设施（款）其他城乡社区公共设施支出</w:t>
      </w:r>
      <w:r>
        <w:rPr>
          <w:rFonts w:hint="eastAsia" w:ascii="仿宋_GB2312" w:hAnsi="仿宋_GB2312" w:eastAsia="仿宋_GB2312" w:cs="仿宋_GB2312"/>
          <w:sz w:val="32"/>
          <w:szCs w:val="32"/>
          <w:lang w:eastAsia="zh-CN"/>
        </w:rPr>
        <w:t>（项）</w:t>
      </w:r>
      <w:r>
        <w:rPr>
          <w:rFonts w:hint="eastAsia" w:ascii="仿宋_GB2312" w:hAnsi="仿宋_GB2312" w:eastAsia="仿宋_GB2312" w:cs="仿宋_GB2312"/>
          <w:sz w:val="32"/>
          <w:szCs w:val="32"/>
          <w:lang w:val="en-US" w:eastAsia="zh-CN"/>
        </w:rPr>
        <w:t>81.09万元，主要是林草局森林防火指挥中心升级改造资金及棋盘山水库底泥监测资金，</w:t>
      </w:r>
      <w:r>
        <w:rPr>
          <w:rFonts w:hint="eastAsia" w:ascii="仿宋_GB2312" w:hAnsi="仿宋_GB2312" w:eastAsia="仿宋_GB2312" w:cs="仿宋_GB2312"/>
          <w:sz w:val="32"/>
          <w:szCs w:val="32"/>
          <w:lang w:eastAsia="zh-CN"/>
        </w:rPr>
        <w:t>年初未安排预算。</w:t>
      </w:r>
    </w:p>
    <w:p w14:paraId="35C3DA4C">
      <w:pPr>
        <w:numPr>
          <w:ilvl w:val="0"/>
          <w:numId w:val="0"/>
        </w:numPr>
        <w:spacing w:line="56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8、农林水支出1502.2万元，具体包括：</w:t>
      </w:r>
    </w:p>
    <w:p w14:paraId="1E593FF3">
      <w:pPr>
        <w:numPr>
          <w:ilvl w:val="0"/>
          <w:numId w:val="0"/>
        </w:numPr>
        <w:spacing w:line="560"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农林水支出（类）农业农村（款）渔业发展（项）</w:t>
      </w:r>
      <w:r>
        <w:rPr>
          <w:rFonts w:hint="eastAsia" w:ascii="仿宋_GB2312" w:hAnsi="仿宋_GB2312" w:eastAsia="仿宋_GB2312" w:cs="仿宋_GB2312"/>
          <w:sz w:val="32"/>
          <w:szCs w:val="32"/>
          <w:lang w:val="en-US" w:eastAsia="zh-CN"/>
        </w:rPr>
        <w:t>89.6万元，主要是棋盘山水库增殖放流资金，</w:t>
      </w:r>
      <w:r>
        <w:rPr>
          <w:rFonts w:hint="eastAsia" w:ascii="仿宋_GB2312" w:hAnsi="仿宋_GB2312" w:eastAsia="仿宋_GB2312" w:cs="仿宋_GB2312"/>
          <w:sz w:val="32"/>
          <w:szCs w:val="32"/>
          <w:lang w:eastAsia="zh-CN"/>
        </w:rPr>
        <w:t>年初未安排预算。</w:t>
      </w:r>
    </w:p>
    <w:p w14:paraId="3BE05524">
      <w:pPr>
        <w:spacing w:line="56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）、农林水支出（类）林业和草原（款）森林资源培育（项）</w:t>
      </w:r>
      <w:r>
        <w:rPr>
          <w:rFonts w:hint="eastAsia" w:ascii="仿宋_GB2312" w:hAnsi="仿宋_GB2312" w:eastAsia="仿宋_GB2312" w:cs="仿宋_GB2312"/>
          <w:sz w:val="32"/>
          <w:szCs w:val="32"/>
          <w:lang w:val="en-US" w:eastAsia="zh-CN"/>
        </w:rPr>
        <w:t>10万元，主要是义务植树苗木采购支出，完成年初预算数的50.43%，</w:t>
      </w:r>
      <w:r>
        <w:rPr>
          <w:rFonts w:hint="eastAsia" w:ascii="仿宋_GB2312" w:hAnsi="仿宋_GB2312" w:eastAsia="仿宋_GB2312" w:cs="仿宋_GB2312"/>
          <w:sz w:val="32"/>
          <w:szCs w:val="32"/>
        </w:rPr>
        <w:t>决算数小于年初预算数的原因主要是</w:t>
      </w: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lang w:val="en-US" w:eastAsia="zh-CN"/>
        </w:rPr>
        <w:t>节约开支。</w:t>
      </w:r>
    </w:p>
    <w:p w14:paraId="7FEBA787">
      <w:pPr>
        <w:spacing w:line="560" w:lineRule="exact"/>
        <w:ind w:firstLine="66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）、农林水支出（类）林业和草原（款）森林生态效益补偿（项）</w:t>
      </w:r>
      <w:r>
        <w:rPr>
          <w:rFonts w:hint="eastAsia" w:ascii="仿宋_GB2312" w:hAnsi="仿宋_GB2312" w:eastAsia="仿宋_GB2312" w:cs="仿宋_GB2312"/>
          <w:sz w:val="32"/>
          <w:szCs w:val="32"/>
          <w:lang w:val="en-US" w:eastAsia="zh-CN"/>
        </w:rPr>
        <w:t>94.3万元，主要是派遣制人员工资及省级公益林到户补偿资金等支出，</w:t>
      </w:r>
      <w:r>
        <w:rPr>
          <w:rFonts w:hint="eastAsia" w:ascii="仿宋_GB2312" w:hAnsi="仿宋_GB2312" w:eastAsia="仿宋_GB2312" w:cs="仿宋_GB2312"/>
          <w:sz w:val="32"/>
          <w:szCs w:val="32"/>
          <w:lang w:eastAsia="zh-CN"/>
        </w:rPr>
        <w:t>年初未安排预算。</w:t>
      </w:r>
      <w:r>
        <w:rPr>
          <w:rFonts w:hint="eastAsia" w:ascii="仿宋_GB2312" w:hAnsi="仿宋_GB2312" w:eastAsia="仿宋_GB2312" w:cs="仿宋_GB2312"/>
          <w:sz w:val="32"/>
          <w:szCs w:val="32"/>
          <w:lang w:val="en-US" w:eastAsia="zh-CN"/>
        </w:rPr>
        <w:t xml:space="preserve"> </w:t>
      </w:r>
    </w:p>
    <w:p w14:paraId="1115B309">
      <w:pPr>
        <w:spacing w:line="56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）、农林水支出（类）林业和草原（款）林业草原防灾减灾（项）</w:t>
      </w:r>
      <w:r>
        <w:rPr>
          <w:rFonts w:hint="eastAsia" w:ascii="仿宋_GB2312" w:hAnsi="仿宋_GB2312" w:eastAsia="仿宋_GB2312" w:cs="仿宋_GB2312"/>
          <w:sz w:val="32"/>
          <w:szCs w:val="32"/>
          <w:lang w:val="en-US" w:eastAsia="zh-CN"/>
        </w:rPr>
        <w:t>45.67万元，主要是护林员购置电动车、病虫害防治等支出，完成年初预算数的8.07%，</w:t>
      </w:r>
      <w:r>
        <w:rPr>
          <w:rFonts w:hint="eastAsia" w:ascii="仿宋_GB2312" w:hAnsi="仿宋_GB2312" w:eastAsia="仿宋_GB2312" w:cs="仿宋_GB2312"/>
          <w:sz w:val="32"/>
          <w:szCs w:val="32"/>
        </w:rPr>
        <w:t>决算数小于年初预算数的原因主要是</w:t>
      </w:r>
      <w:r>
        <w:rPr>
          <w:rFonts w:hint="eastAsia" w:ascii="仿宋_GB2312" w:hAnsi="仿宋_GB2312" w:eastAsia="仿宋_GB2312" w:cs="仿宋_GB2312"/>
          <w:sz w:val="32"/>
          <w:szCs w:val="32"/>
          <w:lang w:eastAsia="zh-CN"/>
        </w:rPr>
        <w:t>节约开支</w:t>
      </w:r>
      <w:r>
        <w:rPr>
          <w:rFonts w:hint="eastAsia" w:ascii="仿宋_GB2312" w:hAnsi="仿宋_GB2312" w:eastAsia="仿宋_GB2312" w:cs="仿宋_GB2312"/>
          <w:sz w:val="32"/>
          <w:szCs w:val="32"/>
          <w:lang w:val="en-US" w:eastAsia="zh-CN"/>
        </w:rPr>
        <w:t xml:space="preserve">。 </w:t>
      </w:r>
    </w:p>
    <w:p w14:paraId="4CF10759">
      <w:pPr>
        <w:spacing w:line="560" w:lineRule="exact"/>
        <w:ind w:firstLine="66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）、农林水支出（类）林业和草原（款）其他林业和草原支出（项）</w:t>
      </w:r>
      <w:r>
        <w:rPr>
          <w:rFonts w:hint="eastAsia" w:ascii="仿宋_GB2312" w:hAnsi="仿宋_GB2312" w:eastAsia="仿宋_GB2312" w:cs="仿宋_GB2312"/>
          <w:sz w:val="32"/>
          <w:szCs w:val="32"/>
          <w:lang w:val="en-US" w:eastAsia="zh-CN"/>
        </w:rPr>
        <w:t>1212.7万元，主要是森林管护费等支出，完成年初预算数的153.47%，</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于年初预算数的原因主</w:t>
      </w:r>
      <w:r>
        <w:rPr>
          <w:rFonts w:hint="eastAsia" w:ascii="仿宋_GB2312" w:hAnsi="仿宋_GB2312" w:eastAsia="仿宋_GB2312" w:cs="仿宋_GB2312"/>
          <w:sz w:val="32"/>
          <w:szCs w:val="32"/>
          <w:highlight w:val="none"/>
        </w:rPr>
        <w:t>要是</w:t>
      </w:r>
      <w:r>
        <w:rPr>
          <w:rFonts w:hint="eastAsia" w:ascii="仿宋_GB2312" w:hAnsi="仿宋_GB2312" w:eastAsia="仿宋_GB2312" w:cs="仿宋_GB2312"/>
          <w:sz w:val="32"/>
          <w:szCs w:val="32"/>
          <w:highlight w:val="none"/>
          <w:lang w:val="en-US" w:eastAsia="zh-CN"/>
        </w:rPr>
        <w:t>部分项目年初未安排预算。</w:t>
      </w:r>
      <w:r>
        <w:rPr>
          <w:rFonts w:hint="eastAsia" w:ascii="仿宋_GB2312" w:hAnsi="仿宋_GB2312" w:eastAsia="仿宋_GB2312" w:cs="仿宋_GB2312"/>
          <w:sz w:val="32"/>
          <w:szCs w:val="32"/>
          <w:lang w:val="en-US" w:eastAsia="zh-CN"/>
        </w:rPr>
        <w:t xml:space="preserve"> </w:t>
      </w:r>
    </w:p>
    <w:p w14:paraId="0E9E1E5D">
      <w:pPr>
        <w:numPr>
          <w:ilvl w:val="0"/>
          <w:numId w:val="0"/>
        </w:numPr>
        <w:spacing w:line="56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农林水支出（类）水利（款）其他水利支出（项）</w:t>
      </w:r>
      <w:r>
        <w:rPr>
          <w:rFonts w:hint="eastAsia" w:ascii="仿宋_GB2312" w:hAnsi="仿宋_GB2312" w:eastAsia="仿宋_GB2312" w:cs="仿宋_GB2312"/>
          <w:sz w:val="32"/>
          <w:szCs w:val="32"/>
          <w:lang w:val="en-US" w:eastAsia="zh-CN"/>
        </w:rPr>
        <w:t>49.93万元，主要是棋盘山水库防汛物资购置及通讯服务费等支出，年初未安排预算。</w:t>
      </w:r>
    </w:p>
    <w:p w14:paraId="01557774">
      <w:pPr>
        <w:numPr>
          <w:ilvl w:val="0"/>
          <w:numId w:val="0"/>
        </w:numPr>
        <w:spacing w:line="56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9.住</w:t>
      </w:r>
      <w:r>
        <w:rPr>
          <w:rFonts w:hint="eastAsia" w:ascii="仿宋_GB2312" w:hAnsi="仿宋_GB2312" w:eastAsia="仿宋_GB2312" w:cs="仿宋_GB2312"/>
          <w:sz w:val="32"/>
          <w:szCs w:val="32"/>
          <w:lang w:val="en-US" w:eastAsia="zh-CN"/>
        </w:rPr>
        <w:t>房保障支出215.05万元，具体包括：</w:t>
      </w:r>
    </w:p>
    <w:p w14:paraId="1F2A8EAD">
      <w:pPr>
        <w:numPr>
          <w:ilvl w:val="0"/>
          <w:numId w:val="0"/>
        </w:numPr>
        <w:spacing w:line="560"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（1）、住房保障支出（类）住房改革支出（款）住房公积金（项）215.05万元，主要是在职人员缴纳的住房公积金单位部分。</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97.75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于年初预算数的原因主要是</w:t>
      </w:r>
      <w:r>
        <w:rPr>
          <w:rFonts w:hint="eastAsia" w:ascii="仿宋_GB2312" w:hAnsi="仿宋_GB2312" w:eastAsia="仿宋_GB2312" w:cs="仿宋_GB2312"/>
          <w:sz w:val="32"/>
          <w:szCs w:val="32"/>
          <w:lang w:val="en-US" w:eastAsia="zh-CN"/>
        </w:rPr>
        <w:t>调整及缴费基数调整</w:t>
      </w:r>
    </w:p>
    <w:p w14:paraId="68466209">
      <w:pPr>
        <w:pStyle w:val="6"/>
        <w:spacing w:line="560" w:lineRule="exact"/>
        <w:ind w:firstLine="660"/>
        <w:jc w:val="both"/>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（三）政府性基金预算财政拨款支出情况。</w:t>
      </w:r>
    </w:p>
    <w:p w14:paraId="58E12392">
      <w:pPr>
        <w:spacing w:line="560"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年度政府性基金预算财政拨款支出</w:t>
      </w:r>
      <w:r>
        <w:rPr>
          <w:rFonts w:hint="eastAsia" w:ascii="仿宋_GB2312" w:hAnsi="仿宋_GB2312" w:eastAsia="仿宋_GB2312" w:cs="仿宋_GB2312"/>
          <w:sz w:val="32"/>
          <w:szCs w:val="32"/>
          <w:lang w:val="en-US" w:eastAsia="zh-CN"/>
        </w:rPr>
        <w:t>88.51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按支出功能分类科目分，包括：</w:t>
      </w:r>
      <w:r>
        <w:rPr>
          <w:rFonts w:hint="eastAsia" w:ascii="仿宋_GB2312" w:hAnsi="仿宋_GB2312" w:eastAsia="仿宋_GB2312" w:cs="仿宋_GB2312"/>
          <w:sz w:val="32"/>
          <w:szCs w:val="32"/>
          <w:lang w:eastAsia="zh-CN"/>
        </w:rPr>
        <w:t>城乡社区支出。</w:t>
      </w:r>
    </w:p>
    <w:p w14:paraId="1C8756EB">
      <w:pPr>
        <w:spacing w:line="560"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城乡社区支出（类）农业土地开发资金安排的支出（款）</w:t>
      </w:r>
      <w:r>
        <w:rPr>
          <w:rFonts w:hint="eastAsia" w:ascii="仿宋_GB2312" w:hAnsi="仿宋_GB2312" w:eastAsia="仿宋_GB2312" w:cs="仿宋_GB2312"/>
          <w:sz w:val="32"/>
          <w:szCs w:val="32"/>
          <w:lang w:eastAsia="zh-CN"/>
        </w:rPr>
        <w:t>农业土地开发资金安排的支出（项）</w:t>
      </w:r>
      <w:r>
        <w:rPr>
          <w:rFonts w:hint="eastAsia" w:ascii="仿宋_GB2312" w:hAnsi="仿宋_GB2312" w:eastAsia="仿宋_GB2312" w:cs="仿宋_GB2312"/>
          <w:sz w:val="32"/>
          <w:szCs w:val="32"/>
          <w:lang w:val="en-US" w:eastAsia="zh-CN"/>
        </w:rPr>
        <w:t>88.51万元，主要是派遣制人员工资，年初未安排预算。</w:t>
      </w:r>
    </w:p>
    <w:p w14:paraId="018BF66C">
      <w:pPr>
        <w:spacing w:line="560" w:lineRule="exact"/>
        <w:ind w:firstLine="643" w:firstLineChars="200"/>
        <w:jc w:val="both"/>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（四）国有资本经营预算财政拨款支出情况。</w:t>
      </w:r>
    </w:p>
    <w:p w14:paraId="17EC9F1C">
      <w:pPr>
        <w:spacing w:line="560" w:lineRule="exact"/>
        <w:ind w:firstLine="643" w:firstLineChars="200"/>
        <w:jc w:val="both"/>
        <w:rPr>
          <w:rFonts w:hint="eastAsia"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eastAsia="zh-CN"/>
        </w:rPr>
        <w:t>本年未发生此项资金</w:t>
      </w:r>
    </w:p>
    <w:p w14:paraId="1562B80E">
      <w:pPr>
        <w:pStyle w:val="6"/>
        <w:spacing w:line="560" w:lineRule="exact"/>
        <w:ind w:firstLine="660"/>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三、一般公共预算财政拨款“三公”经费支出决算情况说明</w:t>
      </w:r>
    </w:p>
    <w:p w14:paraId="059018CB">
      <w:pPr>
        <w:spacing w:line="540" w:lineRule="exact"/>
        <w:ind w:firstLine="645"/>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2022</w:t>
      </w:r>
      <w:r>
        <w:rPr>
          <w:rFonts w:hint="eastAsia" w:ascii="仿宋_GB2312" w:hAnsi="仿宋_GB2312" w:eastAsia="仿宋_GB2312" w:cs="仿宋_GB2312"/>
          <w:sz w:val="32"/>
          <w:szCs w:val="32"/>
        </w:rPr>
        <w:t>年度一般公共预算财政拨款安排的“三公”经费支出</w:t>
      </w:r>
      <w:r>
        <w:rPr>
          <w:rFonts w:hint="eastAsia" w:ascii="仿宋_GB2312" w:hAnsi="仿宋_GB2312" w:eastAsia="仿宋_GB2312" w:cs="仿宋_GB2312"/>
          <w:sz w:val="32"/>
          <w:szCs w:val="32"/>
          <w:lang w:val="en-US" w:eastAsia="zh-CN"/>
        </w:rPr>
        <w:t>111.12</w:t>
      </w:r>
      <w:r>
        <w:rPr>
          <w:rFonts w:hint="eastAsia" w:ascii="仿宋_GB2312" w:hAnsi="仿宋_GB2312" w:eastAsia="仿宋_GB2312" w:cs="仿宋_GB2312"/>
          <w:sz w:val="32"/>
          <w:szCs w:val="32"/>
        </w:rPr>
        <w:t>万元，完成</w:t>
      </w:r>
      <w:r>
        <w:rPr>
          <w:rFonts w:hint="eastAsia" w:ascii="仿宋_GB2312" w:hAnsi="仿宋_GB2312" w:eastAsia="仿宋_GB2312" w:cs="仿宋_GB2312"/>
          <w:sz w:val="32"/>
          <w:szCs w:val="32"/>
          <w:lang w:eastAsia="zh-CN"/>
        </w:rPr>
        <w:t>全年</w:t>
      </w:r>
      <w:r>
        <w:rPr>
          <w:rFonts w:hint="eastAsia" w:ascii="仿宋_GB2312" w:hAnsi="仿宋_GB2312" w:eastAsia="仿宋_GB2312" w:cs="仿宋_GB2312"/>
          <w:sz w:val="32"/>
          <w:szCs w:val="32"/>
        </w:rPr>
        <w:t>预算的</w:t>
      </w:r>
      <w:r>
        <w:rPr>
          <w:rFonts w:hint="eastAsia" w:ascii="仿宋_GB2312" w:hAnsi="仿宋_GB2312" w:eastAsia="仿宋_GB2312" w:cs="仿宋_GB2312"/>
          <w:sz w:val="32"/>
          <w:szCs w:val="32"/>
          <w:lang w:val="en-US" w:eastAsia="zh-CN"/>
        </w:rPr>
        <w:t>75.59</w:t>
      </w:r>
      <w:r>
        <w:rPr>
          <w:rFonts w:hint="eastAsia" w:ascii="仿宋_GB2312" w:hAnsi="仿宋_GB2312" w:eastAsia="仿宋_GB2312" w:cs="仿宋_GB2312"/>
          <w:sz w:val="32"/>
          <w:szCs w:val="32"/>
        </w:rPr>
        <w:t>%，决算数小于</w:t>
      </w:r>
      <w:r>
        <w:rPr>
          <w:rFonts w:hint="eastAsia" w:ascii="仿宋_GB2312" w:hAnsi="仿宋_GB2312" w:eastAsia="仿宋_GB2312" w:cs="仿宋_GB2312"/>
          <w:sz w:val="32"/>
          <w:szCs w:val="32"/>
          <w:lang w:eastAsia="zh-CN"/>
        </w:rPr>
        <w:t>全年</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厉行节约</w:t>
      </w:r>
      <w:r>
        <w:rPr>
          <w:rFonts w:hint="eastAsia" w:ascii="仿宋_GB2312" w:hAnsi="仿宋_GB2312" w:eastAsia="仿宋_GB2312" w:cs="仿宋_GB2312"/>
          <w:sz w:val="32"/>
          <w:szCs w:val="32"/>
        </w:rPr>
        <w:t>。其中：因公出国（境）费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万元，公务接待费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万元，公务用车购置及运行维护费</w:t>
      </w:r>
      <w:r>
        <w:rPr>
          <w:rFonts w:hint="eastAsia" w:ascii="仿宋_GB2312" w:hAnsi="仿宋_GB2312" w:eastAsia="仿宋_GB2312" w:cs="仿宋_GB2312"/>
          <w:sz w:val="32"/>
          <w:szCs w:val="32"/>
          <w:lang w:val="en-US" w:eastAsia="zh-CN"/>
        </w:rPr>
        <w:t>111.12</w:t>
      </w:r>
      <w:r>
        <w:rPr>
          <w:rFonts w:hint="eastAsia" w:ascii="仿宋_GB2312" w:hAnsi="仿宋_GB2312" w:eastAsia="仿宋_GB2312" w:cs="仿宋_GB2312"/>
          <w:sz w:val="32"/>
          <w:szCs w:val="32"/>
        </w:rPr>
        <w:t>万元。</w:t>
      </w:r>
    </w:p>
    <w:p w14:paraId="7677D096">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14:paraId="249EB5B5">
      <w:pPr>
        <w:numPr>
          <w:ilvl w:val="0"/>
          <w:numId w:val="0"/>
        </w:numPr>
        <w:spacing w:line="540" w:lineRule="exact"/>
        <w:jc w:val="both"/>
        <w:rPr>
          <w:rFonts w:hint="eastAsia" w:ascii="仿宋_GB2312" w:hAnsi="仿宋_GB2312" w:eastAsia="仿宋_GB2312" w:cs="仿宋_GB2312"/>
          <w:sz w:val="32"/>
          <w:szCs w:val="32"/>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hAnsi="仿宋_GB2312" w:eastAsia="仿宋_GB2312" w:cs="仿宋_GB2312"/>
          <w:sz w:val="32"/>
          <w:szCs w:val="32"/>
          <w:lang w:eastAsia="zh-CN"/>
        </w:rPr>
        <w:t>。</w:t>
      </w:r>
    </w:p>
    <w:p w14:paraId="7E99779A">
      <w:pPr>
        <w:spacing w:line="540" w:lineRule="exact"/>
        <w:ind w:firstLine="645"/>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公务用车购置及运行费</w:t>
      </w:r>
      <w:r>
        <w:rPr>
          <w:rFonts w:hint="eastAsia" w:ascii="仿宋_GB2312" w:hAnsi="仿宋_GB2312" w:eastAsia="仿宋_GB2312" w:cs="仿宋_GB2312"/>
          <w:sz w:val="32"/>
          <w:szCs w:val="32"/>
          <w:lang w:val="en-US" w:eastAsia="zh-CN"/>
        </w:rPr>
        <w:t>111.12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占</w:t>
      </w:r>
      <w:r>
        <w:rPr>
          <w:rFonts w:hint="eastAsia" w:ascii="仿宋_GB2312" w:hAnsi="仿宋_GB2312" w:eastAsia="仿宋_GB2312" w:cs="仿宋_GB2312"/>
          <w:sz w:val="32"/>
          <w:szCs w:val="32"/>
        </w:rPr>
        <w:t>“三公”经费支出</w:t>
      </w:r>
      <w:r>
        <w:rPr>
          <w:rFonts w:hint="eastAsia" w:ascii="仿宋_GB2312" w:hAnsi="仿宋_GB2312" w:eastAsia="仿宋_GB2312" w:cs="仿宋_GB2312"/>
          <w:sz w:val="32"/>
          <w:szCs w:val="32"/>
          <w:lang w:val="en-US" w:eastAsia="zh-CN"/>
        </w:rPr>
        <w:t>的100%。</w:t>
      </w:r>
      <w:r>
        <w:rPr>
          <w:rFonts w:hint="eastAsia" w:ascii="仿宋_GB2312" w:hAnsi="仿宋_GB2312" w:eastAsia="仿宋_GB2312" w:cs="仿宋_GB2312"/>
          <w:sz w:val="32"/>
          <w:szCs w:val="32"/>
        </w:rPr>
        <w:t>完成</w:t>
      </w:r>
      <w:r>
        <w:rPr>
          <w:rFonts w:hint="eastAsia" w:ascii="仿宋_GB2312" w:hAnsi="仿宋_GB2312" w:eastAsia="仿宋_GB2312" w:cs="仿宋_GB2312"/>
          <w:sz w:val="32"/>
          <w:szCs w:val="32"/>
          <w:lang w:eastAsia="zh-CN"/>
        </w:rPr>
        <w:t>全年预算</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en-US" w:eastAsia="zh-CN"/>
        </w:rPr>
        <w:t>75.59</w:t>
      </w:r>
      <w:r>
        <w:rPr>
          <w:rFonts w:hint="eastAsia" w:ascii="仿宋_GB2312" w:hAnsi="仿宋_GB2312" w:eastAsia="仿宋_GB2312" w:cs="仿宋_GB2312"/>
          <w:sz w:val="32"/>
          <w:szCs w:val="32"/>
        </w:rPr>
        <w:t>%，决算数小于</w:t>
      </w:r>
      <w:r>
        <w:rPr>
          <w:rFonts w:hint="eastAsia" w:ascii="仿宋_GB2312" w:hAnsi="仿宋_GB2312" w:eastAsia="仿宋_GB2312" w:cs="仿宋_GB2312"/>
          <w:sz w:val="32"/>
          <w:szCs w:val="32"/>
          <w:lang w:eastAsia="zh-CN"/>
        </w:rPr>
        <w:t>全年预算数</w:t>
      </w:r>
      <w:r>
        <w:rPr>
          <w:rFonts w:hint="eastAsia" w:ascii="仿宋_GB2312" w:hAnsi="仿宋_GB2312" w:eastAsia="仿宋_GB2312" w:cs="仿宋_GB2312"/>
          <w:sz w:val="32"/>
          <w:szCs w:val="32"/>
        </w:rPr>
        <w:t>的主要原因是</w:t>
      </w:r>
      <w:r>
        <w:rPr>
          <w:rFonts w:hint="eastAsia" w:ascii="仿宋_GB2312" w:hAnsi="仿宋_GB2312" w:eastAsia="仿宋_GB2312" w:cs="仿宋_GB2312"/>
          <w:sz w:val="32"/>
          <w:szCs w:val="32"/>
          <w:lang w:eastAsia="zh-CN"/>
        </w:rPr>
        <w:t>厉行节约</w:t>
      </w:r>
      <w:r>
        <w:rPr>
          <w:rFonts w:hint="eastAsia" w:ascii="仿宋_GB2312" w:hAnsi="仿宋_GB2312" w:eastAsia="仿宋_GB2312" w:cs="仿宋_GB2312"/>
          <w:sz w:val="32"/>
          <w:szCs w:val="32"/>
        </w:rPr>
        <w:t>。比上年减少</w:t>
      </w:r>
      <w:r>
        <w:rPr>
          <w:rFonts w:hint="eastAsia" w:ascii="仿宋_GB2312" w:hAnsi="仿宋_GB2312" w:eastAsia="仿宋_GB2312" w:cs="仿宋_GB2312"/>
          <w:sz w:val="32"/>
          <w:szCs w:val="32"/>
          <w:lang w:val="en-US" w:eastAsia="zh-CN"/>
        </w:rPr>
        <w:t>35.88</w:t>
      </w:r>
      <w:r>
        <w:rPr>
          <w:rFonts w:hint="eastAsia" w:ascii="仿宋_GB2312" w:hAnsi="仿宋_GB2312" w:eastAsia="仿宋_GB2312" w:cs="仿宋_GB2312"/>
          <w:sz w:val="32"/>
          <w:szCs w:val="32"/>
        </w:rPr>
        <w:t>万元，下降</w:t>
      </w:r>
      <w:r>
        <w:rPr>
          <w:rFonts w:hint="eastAsia" w:ascii="仿宋_GB2312" w:hAnsi="仿宋_GB2312" w:eastAsia="仿宋_GB2312" w:cs="仿宋_GB2312"/>
          <w:sz w:val="32"/>
          <w:szCs w:val="32"/>
          <w:lang w:val="en-US" w:eastAsia="zh-CN"/>
        </w:rPr>
        <w:t>24.41</w:t>
      </w:r>
      <w:r>
        <w:rPr>
          <w:rFonts w:hint="eastAsia" w:ascii="仿宋_GB2312" w:hAnsi="仿宋_GB2312" w:eastAsia="仿宋_GB2312" w:cs="仿宋_GB2312"/>
          <w:sz w:val="32"/>
          <w:szCs w:val="32"/>
        </w:rPr>
        <w:t>%，主要</w:t>
      </w:r>
      <w:r>
        <w:rPr>
          <w:rFonts w:hint="eastAsia" w:ascii="仿宋_GB2312" w:hAnsi="仿宋_GB2312" w:eastAsia="仿宋_GB2312" w:cs="仿宋_GB2312"/>
          <w:sz w:val="32"/>
          <w:szCs w:val="32"/>
          <w:lang w:eastAsia="zh-CN"/>
        </w:rPr>
        <w:t>原因</w:t>
      </w:r>
      <w:r>
        <w:rPr>
          <w:rFonts w:hint="eastAsia" w:ascii="仿宋_GB2312" w:hAnsi="仿宋_GB2312" w:eastAsia="仿宋_GB2312" w:cs="仿宋_GB2312"/>
          <w:sz w:val="32"/>
          <w:szCs w:val="32"/>
        </w:rPr>
        <w:t>是</w:t>
      </w:r>
      <w:r>
        <w:rPr>
          <w:rFonts w:hint="eastAsia" w:ascii="仿宋_GB2312" w:hAnsi="仿宋_GB2312" w:eastAsia="仿宋_GB2312" w:cs="仿宋_GB2312"/>
          <w:sz w:val="32"/>
          <w:szCs w:val="32"/>
          <w:lang w:eastAsia="zh-CN"/>
        </w:rPr>
        <w:t>厉行节约</w:t>
      </w:r>
      <w:r>
        <w:rPr>
          <w:rFonts w:hint="eastAsia" w:ascii="仿宋_GB2312" w:hAnsi="仿宋_GB2312" w:eastAsia="仿宋_GB2312" w:cs="仿宋_GB2312"/>
          <w:sz w:val="32"/>
          <w:szCs w:val="32"/>
        </w:rPr>
        <w:t>。</w:t>
      </w:r>
    </w:p>
    <w:p w14:paraId="45113BCF">
      <w:pPr>
        <w:pStyle w:val="6"/>
        <w:autoSpaceDN w:val="0"/>
        <w:spacing w:line="560" w:lineRule="exact"/>
        <w:ind w:firstLine="64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其中：</w:t>
      </w:r>
      <w:r>
        <w:rPr>
          <w:rFonts w:hint="eastAsia" w:ascii="仿宋_GB2312" w:hAnsi="仿宋_GB2312" w:eastAsia="仿宋_GB2312" w:cs="仿宋_GB2312"/>
          <w:sz w:val="32"/>
          <w:szCs w:val="32"/>
        </w:rPr>
        <w:t>公务用车购置费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等,当年购置公务用车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辆。公务用车运行维护费</w:t>
      </w:r>
      <w:r>
        <w:rPr>
          <w:rFonts w:hint="eastAsia" w:ascii="仿宋_GB2312" w:hAnsi="仿宋_GB2312" w:eastAsia="仿宋_GB2312" w:cs="仿宋_GB2312"/>
          <w:sz w:val="32"/>
          <w:szCs w:val="32"/>
          <w:lang w:val="en-US" w:eastAsia="zh-CN"/>
        </w:rPr>
        <w:t>111.12</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eastAsia="zh-CN"/>
        </w:rPr>
        <w:t>公务用车加油机维修保养</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截至年末使用一般公共预算财政拨款开支</w:t>
      </w:r>
      <w:r>
        <w:rPr>
          <w:rFonts w:hint="eastAsia" w:ascii="仿宋_GB2312" w:hAnsi="仿宋_GB2312" w:eastAsia="仿宋_GB2312" w:cs="仿宋_GB2312"/>
          <w:sz w:val="32"/>
          <w:szCs w:val="32"/>
          <w:lang w:val="en-US" w:eastAsia="zh-CN"/>
        </w:rPr>
        <w:t>运行维护费</w:t>
      </w:r>
      <w:r>
        <w:rPr>
          <w:rFonts w:hint="eastAsia" w:ascii="仿宋_GB2312" w:hAnsi="仿宋_GB2312" w:eastAsia="仿宋_GB2312" w:cs="仿宋_GB2312"/>
          <w:sz w:val="32"/>
          <w:szCs w:val="32"/>
        </w:rPr>
        <w:t>的公务用车保有量</w:t>
      </w:r>
      <w:r>
        <w:rPr>
          <w:rFonts w:hint="eastAsia" w:ascii="仿宋_GB2312" w:hAnsi="仿宋_GB2312" w:eastAsia="仿宋_GB2312" w:cs="仿宋_GB2312"/>
          <w:sz w:val="32"/>
          <w:szCs w:val="32"/>
          <w:lang w:val="en-US" w:eastAsia="zh-CN"/>
        </w:rPr>
        <w:t>38</w:t>
      </w:r>
      <w:r>
        <w:rPr>
          <w:rFonts w:hint="eastAsia" w:ascii="仿宋_GB2312" w:hAnsi="仿宋_GB2312" w:eastAsia="仿宋_GB2312" w:cs="仿宋_GB2312"/>
          <w:sz w:val="32"/>
          <w:szCs w:val="32"/>
        </w:rPr>
        <w:t>辆。</w:t>
      </w:r>
    </w:p>
    <w:p w14:paraId="1ACFA36E">
      <w:pPr>
        <w:pStyle w:val="6"/>
        <w:spacing w:line="560" w:lineRule="exact"/>
        <w:ind w:firstLine="645"/>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四、一般公共预算财政拨款基本支出决算情况说明</w:t>
      </w:r>
    </w:p>
    <w:p w14:paraId="2016D2ED">
      <w:pPr>
        <w:pStyle w:val="6"/>
        <w:spacing w:line="560" w:lineRule="exact"/>
        <w:ind w:firstLine="645"/>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年度一般公共预算财政拨款基本支出</w:t>
      </w:r>
      <w:r>
        <w:rPr>
          <w:rFonts w:hint="eastAsia" w:ascii="仿宋_GB2312" w:hAnsi="仿宋_GB2312" w:eastAsia="仿宋_GB2312" w:cs="仿宋_GB2312"/>
          <w:sz w:val="32"/>
          <w:szCs w:val="32"/>
          <w:lang w:val="en-US" w:eastAsia="zh-CN"/>
        </w:rPr>
        <w:t>2212.47</w:t>
      </w:r>
      <w:r>
        <w:rPr>
          <w:rFonts w:hint="eastAsia" w:ascii="仿宋_GB2312" w:hAnsi="仿宋_GB2312" w:eastAsia="仿宋_GB2312" w:cs="仿宋_GB2312"/>
          <w:sz w:val="32"/>
          <w:szCs w:val="32"/>
        </w:rPr>
        <w:t>万元，其中：人员经费</w:t>
      </w:r>
      <w:r>
        <w:rPr>
          <w:rFonts w:hint="eastAsia" w:ascii="仿宋_GB2312" w:hAnsi="仿宋_GB2312" w:eastAsia="仿宋_GB2312" w:cs="仿宋_GB2312"/>
          <w:sz w:val="32"/>
          <w:szCs w:val="32"/>
          <w:lang w:val="en-US" w:eastAsia="zh-CN"/>
        </w:rPr>
        <w:t>1834.55</w:t>
      </w:r>
      <w:r>
        <w:rPr>
          <w:rFonts w:hint="eastAsia" w:ascii="仿宋_GB2312" w:hAnsi="仿宋_GB2312" w:eastAsia="仿宋_GB2312" w:cs="仿宋_GB2312"/>
          <w:sz w:val="32"/>
          <w:szCs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hAnsi="仿宋_GB2312" w:eastAsia="仿宋_GB2312" w:cs="仿宋_GB2312"/>
          <w:sz w:val="32"/>
          <w:szCs w:val="32"/>
          <w:lang w:val="en-US" w:eastAsia="zh-CN"/>
        </w:rPr>
        <w:t>377.92</w:t>
      </w:r>
      <w:r>
        <w:rPr>
          <w:rFonts w:hint="eastAsia" w:ascii="仿宋_GB2312" w:hAnsi="仿宋_GB2312" w:eastAsia="仿宋_GB2312" w:cs="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6BADBDE9">
      <w:pPr>
        <w:pStyle w:val="6"/>
        <w:spacing w:line="560" w:lineRule="exact"/>
        <w:ind w:firstLine="640"/>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五、其他重要事项的情况说明</w:t>
      </w:r>
    </w:p>
    <w:p w14:paraId="3A3AF2FB">
      <w:pPr>
        <w:pStyle w:val="6"/>
        <w:spacing w:line="560" w:lineRule="exact"/>
        <w:ind w:firstLine="640"/>
        <w:jc w:val="both"/>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（一）机关运行经费支出情况。</w:t>
      </w:r>
    </w:p>
    <w:p w14:paraId="2ACFF028">
      <w:pPr>
        <w:pStyle w:val="6"/>
        <w:spacing w:line="560" w:lineRule="exact"/>
        <w:ind w:firstLine="640"/>
        <w:jc w:val="both"/>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202</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年机关运行经费支出0万元，与上年持平，主要原因是</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沈阳棋盘山国际风景旅游开发区管理委员会</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属于事业单位，无机关运行经费。</w:t>
      </w:r>
    </w:p>
    <w:p w14:paraId="01B2FA70">
      <w:pPr>
        <w:pStyle w:val="6"/>
        <w:spacing w:line="560" w:lineRule="exact"/>
        <w:ind w:firstLine="640"/>
        <w:jc w:val="both"/>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（二）政府采购支出情况。</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年政府采购支出总额</w:t>
      </w:r>
      <w:r>
        <w:rPr>
          <w:rFonts w:hint="eastAsia" w:ascii="仿宋_GB2312" w:hAnsi="仿宋_GB2312" w:eastAsia="仿宋_GB2312" w:cs="仿宋_GB2312"/>
          <w:sz w:val="32"/>
          <w:szCs w:val="32"/>
          <w:lang w:val="en-US" w:eastAsia="zh-CN"/>
        </w:rPr>
        <w:t>121.26</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88.77</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32.49</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404.86</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52</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373.7</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48</w:t>
      </w:r>
      <w:r>
        <w:rPr>
          <w:rFonts w:hint="eastAsia" w:ascii="仿宋_GB2312" w:hAnsi="仿宋_GB2312" w:eastAsia="仿宋_GB2312" w:cs="仿宋_GB2312"/>
          <w:sz w:val="32"/>
          <w:szCs w:val="32"/>
        </w:rPr>
        <w:t>%；货物采购授予中小企业合同金额占货物支出金额的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%；工程采购授予中小企业合同金额占工程支出金额的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%；服务采购授予中小企业合同金额占服务支出金额的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559006FA">
      <w:pPr>
        <w:pStyle w:val="6"/>
        <w:spacing w:line="560" w:lineRule="exact"/>
        <w:ind w:firstLine="640"/>
        <w:jc w:val="both"/>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（三）国有资产占用情况。</w:t>
      </w:r>
      <w:r>
        <w:rPr>
          <w:rFonts w:hint="eastAsia" w:ascii="仿宋_GB2312" w:hAnsi="仿宋_GB2312" w:eastAsia="仿宋_GB2312" w:cs="仿宋_GB2312"/>
          <w:sz w:val="32"/>
          <w:szCs w:val="32"/>
        </w:rPr>
        <w:t>截至202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年12月31日，</w:t>
      </w:r>
      <w:r>
        <w:rPr>
          <w:rFonts w:hint="eastAsia" w:ascii="仿宋_GB2312" w:hAnsi="仿宋_GB2312" w:eastAsia="仿宋_GB2312" w:cs="仿宋_GB2312"/>
          <w:sz w:val="32"/>
          <w:szCs w:val="32"/>
          <w:highlight w:val="none"/>
        </w:rPr>
        <w:t>共有车辆</w:t>
      </w:r>
      <w:r>
        <w:rPr>
          <w:rFonts w:hint="eastAsia" w:ascii="仿宋_GB2312" w:hAnsi="仿宋_GB2312" w:eastAsia="仿宋_GB2312" w:cs="仿宋_GB2312"/>
          <w:sz w:val="32"/>
          <w:szCs w:val="32"/>
          <w:highlight w:val="none"/>
          <w:lang w:val="en-US" w:eastAsia="zh-CN"/>
        </w:rPr>
        <w:t>32</w:t>
      </w:r>
      <w:r>
        <w:rPr>
          <w:rFonts w:hint="eastAsia" w:ascii="仿宋_GB2312" w:hAnsi="仿宋_GB2312" w:eastAsia="仿宋_GB2312" w:cs="仿宋_GB2312"/>
          <w:sz w:val="32"/>
          <w:szCs w:val="32"/>
          <w:highlight w:val="none"/>
        </w:rPr>
        <w:t>辆，其中</w:t>
      </w:r>
      <w:r>
        <w:rPr>
          <w:rFonts w:hint="eastAsia" w:ascii="仿宋_GB2312" w:hAnsi="仿宋_GB2312" w:eastAsia="仿宋_GB2312" w:cs="仿宋_GB2312"/>
          <w:sz w:val="32"/>
          <w:szCs w:val="32"/>
        </w:rPr>
        <w:t>：副省级以上领导干部用车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辆，主要领导干部用车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辆，机要通讯用车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辆，应急保障用车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辆，执法执勤用车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辆，特种专业技术用车</w:t>
      </w:r>
      <w:r>
        <w:rPr>
          <w:rFonts w:hint="eastAsia" w:ascii="仿宋_GB2312" w:hAnsi="仿宋_GB2312" w:eastAsia="仿宋_GB2312" w:cs="仿宋_GB2312"/>
          <w:sz w:val="32"/>
          <w:szCs w:val="32"/>
          <w:lang w:val="en-US" w:eastAsia="zh-CN"/>
        </w:rPr>
        <w:t>32</w:t>
      </w:r>
      <w:r>
        <w:rPr>
          <w:rFonts w:hint="eastAsia" w:ascii="仿宋_GB2312" w:hAnsi="仿宋_GB2312" w:eastAsia="仿宋_GB2312" w:cs="仿宋_GB2312"/>
          <w:sz w:val="32"/>
          <w:szCs w:val="32"/>
        </w:rPr>
        <w:t>辆，离退休干部用车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辆，其他用车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辆；单位价值50万元以上通用设备</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台（套），单价100万元以上专用设备</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台（套）。</w:t>
      </w:r>
    </w:p>
    <w:p w14:paraId="707E2769">
      <w:pPr>
        <w:keepNext w:val="0"/>
        <w:keepLines w:val="0"/>
        <w:widowControl/>
        <w:suppressLineNumbers w:val="0"/>
        <w:spacing w:before="0" w:beforeAutospacing="0" w:after="0" w:afterAutospacing="0" w:line="540" w:lineRule="exact"/>
        <w:ind w:left="0" w:right="0" w:firstLine="643" w:firstLineChars="200"/>
        <w:jc w:val="both"/>
        <w:rPr>
          <w:rFonts w:hint="eastAsia" w:ascii="仿宋_GB2312" w:hAnsi="仿宋_GB2312" w:eastAsia="仿宋_GB2312" w:cs="仿宋_GB2312"/>
          <w:b/>
          <w:bCs w:val="0"/>
          <w:color w:val="FF0000"/>
          <w:sz w:val="32"/>
          <w:szCs w:val="32"/>
          <w:highlight w:val="none"/>
          <w:shd w:val="clear" w:color="auto" w:fill="auto"/>
        </w:rPr>
      </w:pPr>
      <w:r>
        <w:rPr>
          <w:rFonts w:hint="eastAsia" w:ascii="仿宋_GB2312" w:hAnsi="仿宋_GB2312" w:eastAsia="仿宋_GB2312" w:cs="仿宋_GB2312"/>
          <w:b/>
          <w:sz w:val="32"/>
          <w:szCs w:val="32"/>
        </w:rPr>
        <w:t>（四）预算绩效管理工作开展情况。</w:t>
      </w:r>
    </w:p>
    <w:p w14:paraId="7FCE2B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both"/>
        <w:textAlignment w:val="auto"/>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14:paraId="53115E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kern w:val="2"/>
          <w:sz w:val="32"/>
          <w:szCs w:val="32"/>
          <w:highlight w:val="none"/>
          <w:shd w:val="clear" w:color="auto" w:fill="auto"/>
          <w:lang w:val="en-US" w:eastAsia="zh-CN" w:bidi="ar"/>
        </w:rPr>
        <w:t>组织对本部门开展整体绩效自评，涉及资金12618.08万元。《部门（单位）整体绩效自评表》见附件。</w:t>
      </w:r>
    </w:p>
    <w:p w14:paraId="20EFEA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both"/>
        <w:textAlignment w:val="auto"/>
        <w:rPr>
          <w:rFonts w:hint="eastAsia" w:ascii="仿宋_GB2312" w:hAnsi="仿宋_GB2312" w:eastAsia="仿宋_GB2312" w:cs="仿宋_GB2312"/>
          <w:b/>
          <w:bCs/>
          <w:color w:val="auto"/>
          <w:kern w:val="2"/>
          <w:sz w:val="32"/>
          <w:szCs w:val="32"/>
          <w:highlight w:val="none"/>
          <w:shd w:val="clear" w:color="auto" w:fill="auto"/>
          <w:lang w:val="en-US" w:eastAsia="zh-CN" w:bidi="ar"/>
        </w:rPr>
      </w:pPr>
      <w:r>
        <w:rPr>
          <w:rFonts w:hint="eastAsia" w:ascii="仿宋_GB2312" w:hAnsi="仿宋_GB2312" w:eastAsia="仿宋_GB2312" w:cs="仿宋_GB2312"/>
          <w:b/>
          <w:bCs/>
          <w:color w:val="auto"/>
          <w:kern w:val="2"/>
          <w:sz w:val="32"/>
          <w:szCs w:val="32"/>
          <w:highlight w:val="none"/>
          <w:shd w:val="clear" w:color="auto" w:fill="auto"/>
          <w:lang w:val="en-US" w:eastAsia="zh-CN" w:bidi="ar"/>
        </w:rPr>
        <w:t>2、项目绩效自评结果。</w:t>
      </w:r>
    </w:p>
    <w:p w14:paraId="3BD137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kern w:val="2"/>
          <w:sz w:val="32"/>
          <w:szCs w:val="32"/>
          <w:highlight w:val="none"/>
          <w:shd w:val="clear" w:color="auto" w:fill="auto"/>
          <w:lang w:val="en-US" w:eastAsia="zh-CN" w:bidi="ar"/>
        </w:rPr>
      </w:pPr>
      <w:r>
        <w:rPr>
          <w:rFonts w:hint="eastAsia" w:ascii="仿宋_GB2312" w:hAnsi="仿宋_GB2312" w:eastAsia="仿宋_GB2312" w:cs="仿宋_GB2312"/>
          <w:color w:val="auto"/>
          <w:kern w:val="2"/>
          <w:sz w:val="32"/>
          <w:szCs w:val="32"/>
          <w:highlight w:val="none"/>
          <w:shd w:val="clear" w:color="auto" w:fill="auto"/>
          <w:lang w:val="en-US" w:eastAsia="zh-CN" w:bidi="ar"/>
        </w:rPr>
        <w:t>本部门在2022年度决算中反映</w:t>
      </w:r>
      <w:r>
        <w:rPr>
          <w:rFonts w:hint="eastAsia" w:ascii="仿宋_GB2312" w:hAnsi="仿宋_GB2312" w:eastAsia="仿宋_GB2312" w:cs="仿宋_GB2312"/>
          <w:sz w:val="32"/>
          <w:szCs w:val="32"/>
          <w:highlight w:val="none"/>
          <w:shd w:val="clear" w:color="auto" w:fill="auto"/>
        </w:rPr>
        <w:t>偿还以前年度工程欠款及化解历史遗留问题</w:t>
      </w:r>
      <w:r>
        <w:rPr>
          <w:rFonts w:hint="eastAsia" w:ascii="仿宋_GB2312" w:hAnsi="仿宋_GB2312" w:eastAsia="仿宋_GB2312" w:cs="仿宋_GB2312"/>
          <w:sz w:val="32"/>
          <w:szCs w:val="32"/>
          <w:highlight w:val="none"/>
          <w:shd w:val="clear" w:color="auto" w:fill="auto"/>
          <w:lang w:eastAsia="zh-CN"/>
        </w:rPr>
        <w:t>；旅游宣传、冰雪活动及景区建设经费；二三环及机场周边生态绿化带补助（六区防护林）；行政执法及扑救初火物资购置；监测项目经费(野生动物监测)；林业生态保护恢复资金专项；林业生态建设总体规划（2021-2035）；林业有害生物防治；林缘200米退耕还经济林补助；森林防火宣传；植树造林、义务植树、防治荒漠化与干旱宣传；其他林业支出</w:t>
      </w:r>
      <w:r>
        <w:rPr>
          <w:rFonts w:hint="eastAsia" w:ascii="仿宋_GB2312" w:hAnsi="仿宋_GB2312" w:eastAsia="仿宋_GB2312" w:cs="仿宋_GB2312"/>
          <w:color w:val="auto"/>
          <w:kern w:val="2"/>
          <w:sz w:val="32"/>
          <w:szCs w:val="32"/>
          <w:highlight w:val="none"/>
          <w:shd w:val="clear" w:color="auto" w:fill="auto"/>
          <w:lang w:val="en-US" w:eastAsia="zh-CN" w:bidi="ar"/>
        </w:rPr>
        <w:t>等12个项目绩效自评结果。</w:t>
      </w:r>
    </w:p>
    <w:p w14:paraId="2224C9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kern w:val="2"/>
          <w:sz w:val="32"/>
          <w:szCs w:val="32"/>
          <w:highlight w:val="none"/>
          <w:shd w:val="clear" w:color="auto" w:fill="auto"/>
          <w:lang w:val="en-US" w:eastAsia="zh-CN" w:bidi="ar"/>
        </w:rPr>
      </w:pPr>
      <w:r>
        <w:rPr>
          <w:rFonts w:hint="eastAsia" w:ascii="仿宋_GB2312" w:hAnsi="仿宋_GB2312" w:eastAsia="仿宋_GB2312" w:cs="仿宋_GB2312"/>
          <w:color w:val="auto"/>
          <w:kern w:val="2"/>
          <w:sz w:val="32"/>
          <w:szCs w:val="32"/>
          <w:highlight w:val="none"/>
          <w:shd w:val="clear" w:color="auto" w:fill="auto"/>
          <w:lang w:val="en-US" w:eastAsia="zh-CN" w:bidi="ar"/>
        </w:rPr>
        <w:t>（1）、“</w:t>
      </w:r>
      <w:r>
        <w:rPr>
          <w:rFonts w:hint="eastAsia" w:ascii="仿宋_GB2312" w:hAnsi="仿宋_GB2312" w:eastAsia="仿宋_GB2312" w:cs="仿宋_GB2312"/>
          <w:sz w:val="32"/>
          <w:szCs w:val="32"/>
          <w:highlight w:val="none"/>
          <w:shd w:val="clear" w:color="auto" w:fill="auto"/>
        </w:rPr>
        <w:t>偿还以前年度工程欠款及化解历史遗留问题</w:t>
      </w:r>
      <w:r>
        <w:rPr>
          <w:rFonts w:hint="eastAsia" w:ascii="仿宋_GB2312" w:hAnsi="仿宋_GB2312" w:eastAsia="仿宋_GB2312" w:cs="仿宋_GB2312"/>
          <w:color w:val="auto"/>
          <w:kern w:val="2"/>
          <w:sz w:val="32"/>
          <w:szCs w:val="32"/>
          <w:highlight w:val="none"/>
          <w:shd w:val="clear" w:color="auto" w:fill="auto"/>
          <w:lang w:val="en-US" w:eastAsia="zh-CN" w:bidi="ar"/>
        </w:rPr>
        <w:t>”项目自评综述：根据年初设定的绩效目标，项目自评得分99.33分。项目全年预算数为6304.29万元，执行数为6295.69万元，完成预算的99.86%%。项目绩效目标完成情况：完成植物园及景区建设欠款6304.29万元，经检验“</w:t>
      </w:r>
      <w:r>
        <w:rPr>
          <w:rFonts w:hint="eastAsia" w:ascii="仿宋_GB2312" w:hAnsi="仿宋_GB2312" w:eastAsia="仿宋_GB2312" w:cs="仿宋_GB2312"/>
          <w:sz w:val="32"/>
          <w:szCs w:val="32"/>
          <w:highlight w:val="none"/>
          <w:shd w:val="clear" w:color="auto" w:fill="auto"/>
        </w:rPr>
        <w:t>偿还以前年度工程欠款及化解历史遗留问题</w:t>
      </w:r>
      <w:r>
        <w:rPr>
          <w:rFonts w:hint="eastAsia" w:ascii="仿宋_GB2312" w:hAnsi="仿宋_GB2312" w:eastAsia="仿宋_GB2312" w:cs="仿宋_GB2312"/>
          <w:color w:val="auto"/>
          <w:kern w:val="2"/>
          <w:sz w:val="32"/>
          <w:szCs w:val="32"/>
          <w:highlight w:val="none"/>
          <w:shd w:val="clear" w:color="auto" w:fill="auto"/>
          <w:lang w:val="en-US" w:eastAsia="zh-CN" w:bidi="ar"/>
        </w:rPr>
        <w:t>”项目执行率高完成年初绩效目标，企业满意度高。</w:t>
      </w:r>
    </w:p>
    <w:p w14:paraId="618B82E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both"/>
        <w:textAlignment w:val="auto"/>
        <w:rPr>
          <w:rFonts w:hint="eastAsia" w:ascii="仿宋_GB2312" w:hAnsi="仿宋_GB2312" w:eastAsia="仿宋_GB2312" w:cs="仿宋_GB2312"/>
          <w:color w:val="auto"/>
          <w:kern w:val="2"/>
          <w:sz w:val="32"/>
          <w:szCs w:val="32"/>
          <w:highlight w:val="none"/>
          <w:shd w:val="clear" w:color="auto" w:fill="auto"/>
          <w:lang w:val="en-US" w:eastAsia="zh-CN" w:bidi="ar"/>
        </w:rPr>
      </w:pPr>
      <w:r>
        <w:rPr>
          <w:rFonts w:hint="eastAsia" w:ascii="仿宋_GB2312" w:hAnsi="仿宋_GB2312" w:eastAsia="仿宋_GB2312" w:cs="仿宋_GB2312"/>
          <w:color w:val="auto"/>
          <w:kern w:val="2"/>
          <w:sz w:val="32"/>
          <w:szCs w:val="32"/>
          <w:highlight w:val="none"/>
          <w:shd w:val="clear" w:color="auto" w:fill="auto"/>
          <w:lang w:val="en-US" w:eastAsia="zh-CN" w:bidi="ar"/>
        </w:rPr>
        <w:t>（2）、“</w:t>
      </w:r>
      <w:r>
        <w:rPr>
          <w:rFonts w:hint="eastAsia" w:ascii="仿宋_GB2312" w:hAnsi="仿宋_GB2312" w:eastAsia="仿宋_GB2312" w:cs="仿宋_GB2312"/>
          <w:sz w:val="32"/>
          <w:szCs w:val="32"/>
          <w:highlight w:val="none"/>
          <w:shd w:val="clear" w:color="auto" w:fill="auto"/>
          <w:lang w:eastAsia="zh-CN"/>
        </w:rPr>
        <w:t>旅游宣传、冰雪活动及景区建设经费</w:t>
      </w:r>
      <w:r>
        <w:rPr>
          <w:rFonts w:hint="eastAsia" w:ascii="仿宋_GB2312" w:hAnsi="仿宋_GB2312" w:eastAsia="仿宋_GB2312" w:cs="仿宋_GB2312"/>
          <w:color w:val="auto"/>
          <w:kern w:val="2"/>
          <w:sz w:val="32"/>
          <w:szCs w:val="32"/>
          <w:highlight w:val="none"/>
          <w:shd w:val="clear" w:color="auto" w:fill="auto"/>
          <w:lang w:val="en-US" w:eastAsia="zh-CN" w:bidi="ar"/>
        </w:rPr>
        <w:t>”项目自评综述：项目自评综述：根据年初设定的绩效目标，项目自评得分99.3分。项目全年预算数为172.5万元，执行数为169.5万元，完成预算的98.26%%。项目绩效目标完成情况：2022中国沈阳迎春灯会项目,2021年11月中旬进场施工，有序开展焊接、裱糊、安装等相关工作，监理单位和全过程审计单位全程跟踪监督管理，并于12月底52组灯组全部竣工完成，并正常运营。</w:t>
      </w:r>
    </w:p>
    <w:p w14:paraId="5F6CCC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kern w:val="2"/>
          <w:sz w:val="32"/>
          <w:szCs w:val="32"/>
          <w:highlight w:val="none"/>
          <w:shd w:val="clear" w:color="auto" w:fill="auto"/>
          <w:lang w:val="en-US" w:eastAsia="zh-CN" w:bidi="ar"/>
        </w:rPr>
      </w:pPr>
      <w:r>
        <w:rPr>
          <w:rFonts w:hint="eastAsia" w:ascii="仿宋_GB2312" w:hAnsi="仿宋_GB2312" w:eastAsia="仿宋_GB2312" w:cs="仿宋_GB2312"/>
          <w:color w:val="auto"/>
          <w:kern w:val="2"/>
          <w:sz w:val="32"/>
          <w:szCs w:val="32"/>
          <w:highlight w:val="none"/>
          <w:shd w:val="clear" w:color="auto" w:fill="auto"/>
          <w:lang w:val="en-US" w:eastAsia="zh-CN" w:bidi="ar"/>
        </w:rPr>
        <w:t>（3）、“</w:t>
      </w:r>
      <w:r>
        <w:rPr>
          <w:rFonts w:hint="eastAsia" w:ascii="仿宋_GB2312" w:hAnsi="仿宋_GB2312" w:eastAsia="仿宋_GB2312" w:cs="仿宋_GB2312"/>
          <w:sz w:val="32"/>
          <w:szCs w:val="32"/>
          <w:highlight w:val="none"/>
          <w:shd w:val="clear" w:color="auto" w:fill="auto"/>
          <w:lang w:eastAsia="zh-CN"/>
        </w:rPr>
        <w:t>二三环及机场周边生态绿化带补助（六区防护林）</w:t>
      </w:r>
      <w:r>
        <w:rPr>
          <w:rFonts w:hint="eastAsia" w:ascii="仿宋_GB2312" w:hAnsi="仿宋_GB2312" w:eastAsia="仿宋_GB2312" w:cs="仿宋_GB2312"/>
          <w:color w:val="auto"/>
          <w:kern w:val="2"/>
          <w:sz w:val="32"/>
          <w:szCs w:val="32"/>
          <w:highlight w:val="none"/>
          <w:shd w:val="clear" w:color="auto" w:fill="auto"/>
          <w:lang w:val="en-US" w:eastAsia="zh-CN" w:bidi="ar"/>
        </w:rPr>
        <w:t>”项目自评综述：根据年初设定的绩效目标，项目自评得分70分。项目全年预算数为189万元，执行数为0万元，完成预算的0%。项目绩效目标完成情况：一是我部门以技术人员手持GPS方式对涉及二三环及机场周边生态绿化带补助（六区防护林）补助的桃仙、李相两个街道，共计3150.602亩地进行核查，经检验二三环及机场周边生态绿化带补助（六区防护林）项目保存结果完好，公众满意度高；二是对核查数据进行归档保存，整理地块信息，制作成图。存在主要问题及原因：二三环及机场周边生态绿化带补助（六区防护林）项目周期较长，核查、请款时间较晚，公众等待时间长，目前执行的资金来源为区财政，区级资金正在被请款中。下一步改进措施：一是加强项目完成速度，完成后尽快履行请款、报销手续；二是提高预算编制的准确性和科学性。完好，公众满意度高，现区级资金正在请款中。</w:t>
      </w:r>
    </w:p>
    <w:p w14:paraId="014A64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kern w:val="2"/>
          <w:sz w:val="32"/>
          <w:szCs w:val="32"/>
          <w:highlight w:val="none"/>
          <w:shd w:val="clear" w:color="auto" w:fill="auto"/>
          <w:lang w:val="en-US" w:eastAsia="zh-CN" w:bidi="ar"/>
        </w:rPr>
      </w:pPr>
      <w:r>
        <w:rPr>
          <w:rFonts w:hint="eastAsia" w:ascii="仿宋_GB2312" w:hAnsi="仿宋_GB2312" w:eastAsia="仿宋_GB2312" w:cs="仿宋_GB2312"/>
          <w:color w:val="auto"/>
          <w:kern w:val="2"/>
          <w:sz w:val="32"/>
          <w:szCs w:val="32"/>
          <w:highlight w:val="none"/>
          <w:shd w:val="clear" w:color="auto" w:fill="auto"/>
          <w:lang w:val="en-US" w:eastAsia="zh-CN" w:bidi="ar"/>
        </w:rPr>
        <w:t>（4）、“</w:t>
      </w:r>
      <w:r>
        <w:rPr>
          <w:rFonts w:hint="eastAsia" w:ascii="仿宋_GB2312" w:hAnsi="仿宋_GB2312" w:eastAsia="仿宋_GB2312" w:cs="仿宋_GB2312"/>
          <w:sz w:val="32"/>
          <w:szCs w:val="32"/>
          <w:highlight w:val="none"/>
          <w:shd w:val="clear" w:color="auto" w:fill="auto"/>
          <w:lang w:eastAsia="zh-CN"/>
        </w:rPr>
        <w:t>行政执法及扑救初火物资购置</w:t>
      </w:r>
      <w:r>
        <w:rPr>
          <w:rFonts w:hint="eastAsia" w:ascii="仿宋_GB2312" w:hAnsi="仿宋_GB2312" w:eastAsia="仿宋_GB2312" w:cs="仿宋_GB2312"/>
          <w:color w:val="auto"/>
          <w:kern w:val="2"/>
          <w:sz w:val="32"/>
          <w:szCs w:val="32"/>
          <w:highlight w:val="none"/>
          <w:shd w:val="clear" w:color="auto" w:fill="auto"/>
          <w:lang w:val="en-US" w:eastAsia="zh-CN" w:bidi="ar"/>
        </w:rPr>
        <w:t>”项目自评综述：根据年初设定的绩效目标，项目自评得分60分。项目全年预算数为300万元，执行数为0万元，完成预算的0%。项目绩效目标完成情况：一2022年根据森林防灭火工作需要及预算安排，完成政府采购项目靠前驻防检查站、生命保障套装、森林消防车、巡逻电动自行车采购款；二是预算完成采购金额共计287.66万元。发现的主要问题及原因：一是存在项目周期较长，预算资金;二是预算编制与实际支出存在差异。下一步改进措施：一是提前谋划，科学使用预算资金；二是提升资金使用效率。</w:t>
      </w:r>
    </w:p>
    <w:p w14:paraId="68CC24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kern w:val="2"/>
          <w:sz w:val="32"/>
          <w:szCs w:val="32"/>
          <w:highlight w:val="yellow"/>
          <w:shd w:val="clear" w:color="auto" w:fill="auto"/>
          <w:lang w:val="en-US" w:eastAsia="zh-CN" w:bidi="ar"/>
        </w:rPr>
      </w:pPr>
    </w:p>
    <w:p w14:paraId="7187C8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kern w:val="2"/>
          <w:sz w:val="32"/>
          <w:szCs w:val="32"/>
          <w:highlight w:val="yellow"/>
          <w:shd w:val="clear" w:color="auto" w:fill="auto"/>
          <w:lang w:val="en-US" w:eastAsia="zh-CN" w:bidi="ar"/>
        </w:rPr>
      </w:pPr>
      <w:r>
        <w:rPr>
          <w:rFonts w:hint="eastAsia" w:ascii="仿宋_GB2312" w:hAnsi="仿宋_GB2312" w:eastAsia="仿宋_GB2312" w:cs="仿宋_GB2312"/>
          <w:color w:val="auto"/>
          <w:kern w:val="2"/>
          <w:sz w:val="32"/>
          <w:szCs w:val="32"/>
          <w:highlight w:val="none"/>
          <w:shd w:val="clear" w:color="auto" w:fill="auto"/>
          <w:lang w:val="en-US" w:eastAsia="zh-CN" w:bidi="ar"/>
        </w:rPr>
        <w:t>（5）、“</w:t>
      </w:r>
      <w:r>
        <w:rPr>
          <w:rFonts w:hint="eastAsia" w:ascii="仿宋_GB2312" w:hAnsi="仿宋_GB2312" w:eastAsia="仿宋_GB2312" w:cs="仿宋_GB2312"/>
          <w:sz w:val="32"/>
          <w:szCs w:val="32"/>
          <w:highlight w:val="none"/>
          <w:shd w:val="clear" w:color="auto" w:fill="auto"/>
          <w:lang w:eastAsia="zh-CN"/>
        </w:rPr>
        <w:t>监测项目经费(野生动物监测)</w:t>
      </w:r>
      <w:r>
        <w:rPr>
          <w:rFonts w:hint="eastAsia" w:ascii="仿宋_GB2312" w:hAnsi="仿宋_GB2312" w:eastAsia="仿宋_GB2312" w:cs="仿宋_GB2312"/>
          <w:color w:val="auto"/>
          <w:kern w:val="2"/>
          <w:sz w:val="32"/>
          <w:szCs w:val="32"/>
          <w:highlight w:val="none"/>
          <w:shd w:val="clear" w:color="auto" w:fill="auto"/>
          <w:lang w:val="en-US" w:eastAsia="zh-CN" w:bidi="ar"/>
        </w:rPr>
        <w:t>”</w:t>
      </w:r>
      <w:r>
        <w:rPr>
          <w:rFonts w:hint="eastAsia" w:ascii="仿宋_GB2312" w:hAnsi="仿宋_GB2312" w:eastAsia="仿宋_GB2312" w:cs="仿宋_GB2312"/>
          <w:sz w:val="32"/>
          <w:szCs w:val="32"/>
          <w:highlight w:val="none"/>
        </w:rPr>
        <w:t>自评综述：根</w:t>
      </w:r>
      <w:r>
        <w:rPr>
          <w:rFonts w:hint="eastAsia" w:ascii="仿宋_GB2312" w:hAnsi="仿宋_GB2312" w:eastAsia="仿宋_GB2312" w:cs="仿宋_GB2312"/>
          <w:sz w:val="32"/>
          <w:szCs w:val="32"/>
        </w:rPr>
        <w:t>据年初设定的绩效目标，项目自评得分60分。项目全年预算数为44.6万元，执行数为0万元，完成预算的0%。项目绩效目标完成情况：一是完成安装35个野外太阳能充电监摄像头及4G网络通讯，有效的监测了浑南区的野生动植物生态环境和湿地情况；二是完成安装10个室外电子围栏（野猪诱捕笼）及平台管理软件，有效的降低了野猪对村民和游人的安全隐患，也降低了野猪对农作物的危害。三是完成安装太阳能语音提示器及野猪出没警示牌，积极组织各涉林单位，安排人员将语音提示器 和野猪出没警示牌悬挂在各属地林区内，有效的降低了野猪等其他野生动物伤害游客及村民的风险。存在问题及原因：野外太阳能充电摄像头安装维修周期较长，导致执行率较低。下一步改进措施：一是加 强项目完成速度，尽快履行请款、报销手续；二是提高预算编制的准确性和科学性。</w:t>
      </w:r>
    </w:p>
    <w:p w14:paraId="3EEF8A36">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val="en-US" w:eastAsia="zh-CN"/>
        </w:rPr>
        <w:t xml:space="preserve">  （6）、“林业生态保护恢复资金专项”</w:t>
      </w:r>
      <w:r>
        <w:rPr>
          <w:rFonts w:hint="eastAsia" w:ascii="仿宋_GB2312" w:hAnsi="仿宋_GB2312" w:eastAsia="仿宋_GB2312" w:cs="仿宋_GB2312"/>
          <w:sz w:val="32"/>
          <w:szCs w:val="32"/>
          <w:highlight w:val="none"/>
        </w:rPr>
        <w:t>项目自评综述：根据年初设定的绩效目标，项目自评得分</w:t>
      </w:r>
      <w:r>
        <w:rPr>
          <w:rFonts w:hint="eastAsia" w:ascii="仿宋_GB2312" w:hAnsi="仿宋_GB2312" w:eastAsia="仿宋_GB2312" w:cs="仿宋_GB2312"/>
          <w:sz w:val="32"/>
          <w:szCs w:val="32"/>
          <w:highlight w:val="none"/>
          <w:lang w:val="en-US" w:eastAsia="zh-CN"/>
        </w:rPr>
        <w:t>60</w:t>
      </w:r>
      <w:r>
        <w:rPr>
          <w:rFonts w:hint="eastAsia" w:ascii="仿宋_GB2312" w:hAnsi="仿宋_GB2312" w:eastAsia="仿宋_GB2312" w:cs="仿宋_GB2312"/>
          <w:sz w:val="32"/>
          <w:szCs w:val="32"/>
          <w:highlight w:val="none"/>
        </w:rPr>
        <w:t>分。项目全年预</w:t>
      </w:r>
      <w:r>
        <w:rPr>
          <w:rFonts w:hint="eastAsia" w:ascii="仿宋_GB2312" w:hAnsi="仿宋_GB2312" w:eastAsia="仿宋_GB2312" w:cs="仿宋_GB2312"/>
          <w:sz w:val="32"/>
          <w:szCs w:val="32"/>
        </w:rPr>
        <w:t>算数为</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绩效目标完成情况：根据辽宁省自然资源厅、辽宁省林业和草原局《关于做好在国土空间规划中明确造林绿化空间工作的通知》（辽自然资发[2022]21号）文件要求，完成由国家统一下发的林业造林恢复地块图斑核查工作并建立造林后备数据库，故不需区县另行对确定违法地块位置、面积等进行清理恢复。</w:t>
      </w:r>
    </w:p>
    <w:p w14:paraId="1E6E7B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kern w:val="2"/>
          <w:sz w:val="32"/>
          <w:szCs w:val="32"/>
          <w:highlight w:val="none"/>
          <w:shd w:val="clear" w:color="auto" w:fill="auto"/>
          <w:lang w:val="en-US" w:eastAsia="zh-CN" w:bidi="ar"/>
        </w:rPr>
      </w:pPr>
      <w:r>
        <w:rPr>
          <w:rFonts w:hint="eastAsia" w:ascii="仿宋_GB2312" w:hAnsi="仿宋_GB2312" w:eastAsia="仿宋_GB2312" w:cs="仿宋_GB2312"/>
          <w:sz w:val="32"/>
          <w:szCs w:val="32"/>
        </w:rPr>
        <w:t>发现的主要问题及原因：一是</w:t>
      </w:r>
      <w:r>
        <w:rPr>
          <w:rFonts w:hint="eastAsia" w:ascii="仿宋_GB2312" w:hAnsi="仿宋_GB2312" w:eastAsia="仿宋_GB2312" w:cs="仿宋_GB2312"/>
          <w:sz w:val="32"/>
          <w:szCs w:val="32"/>
          <w:lang w:eastAsia="zh-CN"/>
        </w:rPr>
        <w:t>本年度与上年度政策性调整</w:t>
      </w:r>
      <w:r>
        <w:rPr>
          <w:rFonts w:hint="eastAsia" w:ascii="仿宋_GB2312" w:hAnsi="仿宋_GB2312" w:eastAsia="仿宋_GB2312" w:cs="仿宋_GB2312"/>
          <w:sz w:val="32"/>
          <w:szCs w:val="32"/>
        </w:rPr>
        <w:t>;二是预算编制与实际支出存在差异。下一步改进措施：一是</w:t>
      </w:r>
      <w:r>
        <w:rPr>
          <w:rFonts w:hint="eastAsia" w:ascii="仿宋_GB2312" w:hAnsi="仿宋_GB2312" w:eastAsia="仿宋_GB2312" w:cs="仿宋_GB2312"/>
          <w:sz w:val="32"/>
          <w:szCs w:val="32"/>
          <w:lang w:eastAsia="zh-CN"/>
        </w:rPr>
        <w:t>加强研究政策文件</w:t>
      </w:r>
      <w:r>
        <w:rPr>
          <w:rFonts w:hint="eastAsia" w:ascii="仿宋_GB2312" w:hAnsi="仿宋_GB2312" w:eastAsia="仿宋_GB2312" w:cs="仿宋_GB2312"/>
          <w:sz w:val="32"/>
          <w:szCs w:val="32"/>
        </w:rPr>
        <w:t>；二是提升预算编制的准确性科学性。</w:t>
      </w:r>
    </w:p>
    <w:p w14:paraId="09A0211A">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color w:val="auto"/>
          <w:kern w:val="2"/>
          <w:sz w:val="32"/>
          <w:szCs w:val="32"/>
          <w:highlight w:val="none"/>
          <w:shd w:val="clear" w:color="auto" w:fill="auto"/>
          <w:lang w:val="en-US" w:eastAsia="zh-CN" w:bidi="ar"/>
        </w:rPr>
        <w:t>（7）、“</w:t>
      </w:r>
      <w:r>
        <w:rPr>
          <w:rFonts w:hint="eastAsia" w:ascii="仿宋_GB2312" w:hAnsi="仿宋_GB2312" w:eastAsia="仿宋_GB2312" w:cs="仿宋_GB2312"/>
          <w:sz w:val="32"/>
          <w:szCs w:val="32"/>
          <w:highlight w:val="none"/>
          <w:shd w:val="clear" w:color="auto" w:fill="auto"/>
          <w:lang w:eastAsia="zh-CN"/>
        </w:rPr>
        <w:t>林业生态建设总体规划（2021-2035）</w:t>
      </w:r>
      <w:r>
        <w:rPr>
          <w:rFonts w:hint="eastAsia" w:ascii="仿宋_GB2312" w:hAnsi="仿宋_GB2312" w:eastAsia="仿宋_GB2312" w:cs="仿宋_GB2312"/>
          <w:color w:val="auto"/>
          <w:kern w:val="2"/>
          <w:sz w:val="32"/>
          <w:szCs w:val="32"/>
          <w:highlight w:val="none"/>
          <w:shd w:val="clear" w:color="auto" w:fill="auto"/>
          <w:lang w:val="en-US" w:eastAsia="zh-CN" w:bidi="ar"/>
        </w:rPr>
        <w:t>”</w:t>
      </w:r>
      <w:r>
        <w:rPr>
          <w:rFonts w:hint="eastAsia" w:ascii="仿宋_GB2312" w:hAnsi="仿宋_GB2312" w:eastAsia="仿宋_GB2312" w:cs="仿宋_GB2312"/>
          <w:sz w:val="32"/>
          <w:szCs w:val="32"/>
          <w:highlight w:val="none"/>
        </w:rPr>
        <w:t>项目自评综述</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根据年初设定的绩效目标，项目自评得分</w:t>
      </w:r>
      <w:r>
        <w:rPr>
          <w:rFonts w:hint="eastAsia" w:ascii="仿宋_GB2312" w:hAnsi="仿宋_GB2312" w:eastAsia="仿宋_GB2312" w:cs="仿宋_GB2312"/>
          <w:sz w:val="32"/>
          <w:szCs w:val="32"/>
          <w:highlight w:val="none"/>
          <w:lang w:val="en-US" w:eastAsia="zh-CN"/>
        </w:rPr>
        <w:t>60</w:t>
      </w:r>
      <w:r>
        <w:rPr>
          <w:rFonts w:hint="eastAsia" w:ascii="仿宋_GB2312" w:hAnsi="仿宋_GB2312" w:eastAsia="仿宋_GB2312" w:cs="仿宋_GB2312"/>
          <w:sz w:val="32"/>
          <w:szCs w:val="32"/>
          <w:highlight w:val="none"/>
        </w:rPr>
        <w:t>分。项目全年预算数为</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万元，执行数为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项目绩效目标完成情况：因《辉山风景名胜区总体规划》改为《棋盘山风景名胜名胜区整合优化方案》，由沈阳市自然资源局棋盘山分局负责编制，故不在执行原《辉山风景名胜区总体规划》文本印刷工作。发现的主要问题及原因：一是</w:t>
      </w:r>
      <w:r>
        <w:rPr>
          <w:rFonts w:hint="eastAsia" w:ascii="仿宋_GB2312" w:hAnsi="仿宋_GB2312" w:eastAsia="仿宋_GB2312" w:cs="仿宋_GB2312"/>
          <w:sz w:val="32"/>
          <w:szCs w:val="32"/>
          <w:highlight w:val="none"/>
          <w:lang w:eastAsia="zh-CN"/>
        </w:rPr>
        <w:t>本年度与上年度政策性调整</w:t>
      </w:r>
      <w:r>
        <w:rPr>
          <w:rFonts w:hint="eastAsia" w:ascii="仿宋_GB2312" w:hAnsi="仿宋_GB2312" w:eastAsia="仿宋_GB2312" w:cs="仿宋_GB2312"/>
          <w:sz w:val="32"/>
          <w:szCs w:val="32"/>
          <w:highlight w:val="none"/>
        </w:rPr>
        <w:t>;二是预算编制与实际支出存在差异。下一步改进措施：一是</w:t>
      </w:r>
      <w:r>
        <w:rPr>
          <w:rFonts w:hint="eastAsia" w:ascii="仿宋_GB2312" w:hAnsi="仿宋_GB2312" w:eastAsia="仿宋_GB2312" w:cs="仿宋_GB2312"/>
          <w:sz w:val="32"/>
          <w:szCs w:val="32"/>
          <w:highlight w:val="none"/>
          <w:lang w:eastAsia="zh-CN"/>
        </w:rPr>
        <w:t>加强研究政策文件</w:t>
      </w:r>
      <w:r>
        <w:rPr>
          <w:rFonts w:hint="eastAsia" w:ascii="仿宋_GB2312" w:hAnsi="仿宋_GB2312" w:eastAsia="仿宋_GB2312" w:cs="仿宋_GB2312"/>
          <w:sz w:val="32"/>
          <w:szCs w:val="32"/>
          <w:highlight w:val="none"/>
        </w:rPr>
        <w:t>；二是提升预算编制的准确性科学性。</w:t>
      </w:r>
    </w:p>
    <w:p w14:paraId="3902A0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kern w:val="2"/>
          <w:sz w:val="32"/>
          <w:szCs w:val="32"/>
          <w:highlight w:val="yellow"/>
          <w:shd w:val="clear" w:color="auto" w:fill="auto"/>
          <w:lang w:val="en-US" w:eastAsia="zh-CN" w:bidi="ar"/>
        </w:rPr>
      </w:pPr>
    </w:p>
    <w:p w14:paraId="79F57D00">
      <w:pPr>
        <w:ind w:firstLine="640" w:firstLineChars="200"/>
        <w:jc w:val="both"/>
        <w:rPr>
          <w:rFonts w:hint="eastAsia" w:ascii="仿宋_GB2312" w:hAnsi="仿宋_GB2312" w:eastAsia="仿宋_GB2312" w:cs="仿宋_GB2312"/>
          <w:color w:val="auto"/>
          <w:kern w:val="2"/>
          <w:sz w:val="32"/>
          <w:szCs w:val="32"/>
          <w:highlight w:val="none"/>
          <w:shd w:val="clear" w:color="auto" w:fill="auto"/>
          <w:lang w:val="en-US" w:eastAsia="zh-CN" w:bidi="ar"/>
        </w:rPr>
      </w:pPr>
      <w:r>
        <w:rPr>
          <w:rFonts w:hint="eastAsia" w:ascii="仿宋_GB2312" w:hAnsi="仿宋_GB2312" w:eastAsia="仿宋_GB2312" w:cs="仿宋_GB2312"/>
          <w:color w:val="auto"/>
          <w:kern w:val="2"/>
          <w:sz w:val="32"/>
          <w:szCs w:val="32"/>
          <w:highlight w:val="none"/>
          <w:shd w:val="clear" w:color="auto" w:fill="auto"/>
          <w:lang w:val="en-US" w:eastAsia="zh-CN" w:bidi="ar"/>
        </w:rPr>
        <w:t>（8）、“</w:t>
      </w:r>
      <w:r>
        <w:rPr>
          <w:rFonts w:hint="eastAsia" w:ascii="仿宋_GB2312" w:hAnsi="仿宋_GB2312" w:eastAsia="仿宋_GB2312" w:cs="仿宋_GB2312"/>
          <w:sz w:val="32"/>
          <w:szCs w:val="32"/>
          <w:highlight w:val="none"/>
          <w:shd w:val="clear" w:color="auto" w:fill="auto"/>
          <w:lang w:eastAsia="zh-CN"/>
        </w:rPr>
        <w:t>林业有害生物防治</w:t>
      </w:r>
      <w:r>
        <w:rPr>
          <w:rFonts w:hint="eastAsia" w:ascii="仿宋_GB2312" w:hAnsi="仿宋_GB2312" w:eastAsia="仿宋_GB2312" w:cs="仿宋_GB2312"/>
          <w:color w:val="auto"/>
          <w:kern w:val="2"/>
          <w:sz w:val="32"/>
          <w:szCs w:val="32"/>
          <w:highlight w:val="none"/>
          <w:shd w:val="clear" w:color="auto" w:fill="auto"/>
          <w:lang w:val="en-US" w:eastAsia="zh-CN" w:bidi="ar"/>
        </w:rPr>
        <w:t>”</w:t>
      </w:r>
      <w:r>
        <w:rPr>
          <w:rFonts w:hint="eastAsia" w:ascii="仿宋_GB2312" w:hAnsi="仿宋_GB2312" w:eastAsia="仿宋_GB2312" w:cs="仿宋_GB2312"/>
          <w:sz w:val="32"/>
          <w:szCs w:val="32"/>
        </w:rPr>
        <w:t>项目自评综述：根据年初设定的绩效目标，项目自评得分60分。项目全年预算数为141.24万元，执行数为0万元，完成预算的0%。项目绩效目标完成情况：一是完成了林业有害生物防治药品采购，组织各涉林单位采用人工喷施药剂的方式开展了美国白蛾防治，全年未出现美国白蛾成灾现象。顺利开展了无人机防治松材线虫病媒介昆虫，有效降低了松材线虫病传播扩散可能；二是投放了赤眼蜂蜂卡12.6万枚，投放花绒寄甲12万头，利用“以虫治虫”手段，有效防治了油松球果螟及松材线虫病媒介昆虫；三是积极开展了林业有害生物测报工作，合理利用全自动太阳能测报灯、昆虫诱捕器做好了全年美国白蛾、松材线虫病媒介昆虫、红脂大小蠹等重点林业有害生物监测。存在主要问题及原因：林业有害生物防治项目周期较长，部分防治工作需到10月份才能结束，请款时间较晚，导致执行率较低。下一步改进措施：一是加强项目完成速度，完成后尽快履行请款、报销手续；二是提高预算编制的准确性和科学性</w:t>
      </w:r>
      <w:r>
        <w:rPr>
          <w:rFonts w:hint="eastAsia" w:ascii="仿宋_GB2312" w:hAnsi="仿宋_GB2312" w:eastAsia="仿宋_GB2312" w:cs="仿宋_GB2312"/>
          <w:sz w:val="32"/>
          <w:szCs w:val="32"/>
          <w:lang w:eastAsia="zh-CN"/>
        </w:rPr>
        <w:t>。</w:t>
      </w:r>
    </w:p>
    <w:p w14:paraId="4F99E6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kern w:val="2"/>
          <w:sz w:val="32"/>
          <w:szCs w:val="32"/>
          <w:highlight w:val="none"/>
          <w:shd w:val="clear" w:color="auto" w:fill="auto"/>
          <w:lang w:val="en-US" w:eastAsia="zh-CN" w:bidi="ar"/>
        </w:rPr>
      </w:pPr>
      <w:r>
        <w:rPr>
          <w:rFonts w:hint="eastAsia" w:ascii="仿宋_GB2312" w:hAnsi="仿宋_GB2312" w:eastAsia="仿宋_GB2312" w:cs="仿宋_GB2312"/>
          <w:color w:val="auto"/>
          <w:kern w:val="2"/>
          <w:sz w:val="32"/>
          <w:szCs w:val="32"/>
          <w:highlight w:val="none"/>
          <w:shd w:val="clear" w:color="auto" w:fill="auto"/>
          <w:lang w:val="en-US" w:eastAsia="zh-CN" w:bidi="ar"/>
        </w:rPr>
        <w:t>（9）、“</w:t>
      </w:r>
      <w:r>
        <w:rPr>
          <w:rFonts w:hint="eastAsia" w:ascii="仿宋_GB2312" w:hAnsi="仿宋_GB2312" w:eastAsia="仿宋_GB2312" w:cs="仿宋_GB2312"/>
          <w:sz w:val="32"/>
          <w:szCs w:val="32"/>
          <w:highlight w:val="none"/>
          <w:shd w:val="clear" w:color="auto" w:fill="auto"/>
          <w:lang w:eastAsia="zh-CN"/>
        </w:rPr>
        <w:t>林缘200米退耕还经济林补助</w:t>
      </w:r>
      <w:r>
        <w:rPr>
          <w:rFonts w:hint="eastAsia" w:ascii="仿宋_GB2312" w:hAnsi="仿宋_GB2312" w:eastAsia="仿宋_GB2312" w:cs="仿宋_GB2312"/>
          <w:color w:val="auto"/>
          <w:kern w:val="2"/>
          <w:sz w:val="32"/>
          <w:szCs w:val="32"/>
          <w:highlight w:val="none"/>
          <w:shd w:val="clear" w:color="auto" w:fill="auto"/>
          <w:lang w:val="en-US" w:eastAsia="zh-CN" w:bidi="ar"/>
        </w:rPr>
        <w:t>”自评综述：根据年初设定的绩效目标，项目自评得分70分。项目全年预算数为6.68万元，执行数为0万元，完成预算的0%。项目绩效目标完成情况：一是我部门以技术人员手持GPS方式对涉及林缘200米补助的祝家、王滨、满堂三个街道，共计111.31亩地进行核查，经检验林缘200米还经济林项目保存结果完好，公众满意度高；二是对核查数据进行归档保存，整理地块信息，制作成图。存在主要问题及原因：林缘200米退耕还林经济林补助项目周期较长，核查、请款时间较晚，公众等待时间长，目前执行的资金来源为区财政，区级资金正在被请款中。下一步改进措施：一是加强项目完成速度，完成后尽快履行请款、报销手续；二是提高预算编制的准确性和科学性。（10）、“</w:t>
      </w:r>
      <w:r>
        <w:rPr>
          <w:rFonts w:hint="eastAsia" w:ascii="仿宋_GB2312" w:hAnsi="仿宋_GB2312" w:eastAsia="仿宋_GB2312" w:cs="仿宋_GB2312"/>
          <w:sz w:val="32"/>
          <w:szCs w:val="32"/>
          <w:highlight w:val="none"/>
          <w:shd w:val="clear" w:color="auto" w:fill="auto"/>
          <w:lang w:eastAsia="zh-CN"/>
        </w:rPr>
        <w:t>森林防火宣传</w:t>
      </w:r>
      <w:r>
        <w:rPr>
          <w:rFonts w:hint="eastAsia" w:ascii="仿宋_GB2312" w:hAnsi="仿宋_GB2312" w:eastAsia="仿宋_GB2312" w:cs="仿宋_GB2312"/>
          <w:color w:val="auto"/>
          <w:kern w:val="2"/>
          <w:sz w:val="32"/>
          <w:szCs w:val="32"/>
          <w:highlight w:val="none"/>
          <w:shd w:val="clear" w:color="auto" w:fill="auto"/>
          <w:lang w:val="en-US" w:eastAsia="zh-CN" w:bidi="ar"/>
        </w:rPr>
        <w:t>”项目自评综述：根据年初设定的绩效目标，项目自评得分60分。项目全年预算数为50.52万元，执行数为0万元，完成预算的0%。项目绩效目标完成情况：一是2022年根据森林防火宣传工作需要，完成森林防火宣传警示牌制作；二是预算完成率未达到较高水平。发现的主要问题及原因：一是存在项目资金结余;二是预算编制与实际支出存在差异。下一步改进措施：一是提前谋划，科学使用预算资金；二是提升资金使用效率。</w:t>
      </w:r>
    </w:p>
    <w:p w14:paraId="453952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kern w:val="2"/>
          <w:sz w:val="32"/>
          <w:szCs w:val="32"/>
          <w:highlight w:val="none"/>
          <w:shd w:val="clear" w:color="auto" w:fill="auto"/>
          <w:lang w:val="en-US" w:eastAsia="zh-CN" w:bidi="ar"/>
        </w:rPr>
      </w:pPr>
    </w:p>
    <w:p w14:paraId="2BD4F8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kern w:val="2"/>
          <w:sz w:val="32"/>
          <w:szCs w:val="32"/>
          <w:highlight w:val="none"/>
          <w:shd w:val="clear" w:color="auto" w:fill="auto"/>
          <w:lang w:val="en-US" w:eastAsia="zh-CN" w:bidi="ar"/>
        </w:rPr>
      </w:pPr>
      <w:r>
        <w:rPr>
          <w:rFonts w:hint="eastAsia" w:ascii="仿宋_GB2312" w:hAnsi="仿宋_GB2312" w:eastAsia="仿宋_GB2312" w:cs="仿宋_GB2312"/>
          <w:color w:val="auto"/>
          <w:kern w:val="2"/>
          <w:sz w:val="32"/>
          <w:szCs w:val="32"/>
          <w:highlight w:val="none"/>
          <w:shd w:val="clear" w:color="auto" w:fill="auto"/>
          <w:lang w:val="en-US" w:eastAsia="zh-CN" w:bidi="ar"/>
        </w:rPr>
        <w:t>（11）、“</w:t>
      </w:r>
      <w:r>
        <w:rPr>
          <w:rFonts w:hint="eastAsia" w:ascii="仿宋_GB2312" w:hAnsi="仿宋_GB2312" w:eastAsia="仿宋_GB2312" w:cs="仿宋_GB2312"/>
          <w:sz w:val="32"/>
          <w:szCs w:val="32"/>
          <w:highlight w:val="none"/>
          <w:shd w:val="clear" w:color="auto" w:fill="auto"/>
          <w:lang w:eastAsia="zh-CN"/>
        </w:rPr>
        <w:t>植树造林、义务植树、防治荒漠化与干旱宣传</w:t>
      </w:r>
      <w:r>
        <w:rPr>
          <w:rFonts w:hint="eastAsia" w:ascii="仿宋_GB2312" w:hAnsi="仿宋_GB2312" w:eastAsia="仿宋_GB2312" w:cs="仿宋_GB2312"/>
          <w:color w:val="auto"/>
          <w:kern w:val="2"/>
          <w:sz w:val="32"/>
          <w:szCs w:val="32"/>
          <w:highlight w:val="none"/>
          <w:shd w:val="clear" w:color="auto" w:fill="auto"/>
          <w:lang w:val="en-US" w:eastAsia="zh-CN" w:bidi="ar"/>
        </w:rPr>
        <w:t>”植树造林、义务植树、防治荒漠化与干旱宣传”项目自评综述：根据年初设定的绩效目标，项目自评得分70分。项目全年预算数为10万元，执行数为10万元，完成预算的100%。</w:t>
      </w:r>
    </w:p>
    <w:p w14:paraId="769512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kern w:val="2"/>
          <w:sz w:val="32"/>
          <w:szCs w:val="32"/>
          <w:highlight w:val="none"/>
          <w:shd w:val="clear" w:color="auto" w:fill="auto"/>
          <w:lang w:val="en-US" w:eastAsia="zh-CN" w:bidi="ar"/>
        </w:rPr>
      </w:pPr>
      <w:r>
        <w:rPr>
          <w:rFonts w:hint="eastAsia" w:ascii="仿宋_GB2312" w:hAnsi="仿宋_GB2312" w:eastAsia="仿宋_GB2312" w:cs="仿宋_GB2312"/>
          <w:color w:val="auto"/>
          <w:kern w:val="2"/>
          <w:sz w:val="32"/>
          <w:szCs w:val="32"/>
          <w:highlight w:val="none"/>
          <w:shd w:val="clear" w:color="auto" w:fill="auto"/>
          <w:lang w:val="en-US" w:eastAsia="zh-CN" w:bidi="ar"/>
        </w:rPr>
        <w:t>项目绩效目标完成情况：一是组织开展了100人以上参加的义务植树活动，共计栽植面积5.5亩，栽植植无机械损伤，无病虫害的富贵王子海棠365株；二是开展后期养护工作，定期组织进行修理枝杆和清理杂草。存在主要问题及原因：义务植树的宣传普及没能达到60%以上，植树成果的养护还需要加强。下一步改进措施：一是加强义务植树宣传，组织更多人参与活动；二是提高养护水平，用更科学、精确的方式为植树成果提供后期保护。</w:t>
      </w:r>
    </w:p>
    <w:p w14:paraId="6FEC14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kern w:val="2"/>
          <w:sz w:val="32"/>
          <w:szCs w:val="32"/>
          <w:highlight w:val="none"/>
          <w:shd w:val="clear" w:color="auto" w:fill="auto"/>
          <w:lang w:val="en-US" w:eastAsia="zh-CN" w:bidi="ar"/>
        </w:rPr>
      </w:pPr>
      <w:r>
        <w:rPr>
          <w:rFonts w:hint="eastAsia" w:ascii="仿宋_GB2312" w:hAnsi="仿宋_GB2312" w:eastAsia="仿宋_GB2312" w:cs="仿宋_GB2312"/>
          <w:color w:val="auto"/>
          <w:kern w:val="2"/>
          <w:sz w:val="32"/>
          <w:szCs w:val="32"/>
          <w:highlight w:val="none"/>
          <w:shd w:val="clear" w:color="auto" w:fill="auto"/>
          <w:lang w:val="en-US" w:eastAsia="zh-CN" w:bidi="ar"/>
        </w:rPr>
        <w:t>（12）、“</w:t>
      </w:r>
      <w:r>
        <w:rPr>
          <w:rFonts w:hint="eastAsia" w:ascii="仿宋_GB2312" w:hAnsi="仿宋_GB2312" w:eastAsia="仿宋_GB2312" w:cs="仿宋_GB2312"/>
          <w:sz w:val="32"/>
          <w:szCs w:val="32"/>
          <w:highlight w:val="none"/>
          <w:shd w:val="clear" w:color="auto" w:fill="auto"/>
          <w:lang w:eastAsia="zh-CN"/>
        </w:rPr>
        <w:t>其他林业支出</w:t>
      </w:r>
      <w:r>
        <w:rPr>
          <w:rFonts w:hint="eastAsia" w:ascii="仿宋_GB2312" w:hAnsi="仿宋_GB2312" w:eastAsia="仿宋_GB2312" w:cs="仿宋_GB2312"/>
          <w:color w:val="auto"/>
          <w:kern w:val="2"/>
          <w:sz w:val="32"/>
          <w:szCs w:val="32"/>
          <w:highlight w:val="none"/>
          <w:shd w:val="clear" w:color="auto" w:fill="auto"/>
          <w:lang w:val="en-US" w:eastAsia="zh-CN" w:bidi="ar"/>
        </w:rPr>
        <w:t>”根据年初设定的绩效目标，项目自评得分70分。项目全年预算数为162.588万元，执行数为38.875万元，完成预算的24%。项目绩效目标完成情况：一是完成对讲机采购及森林警卫教导队集中食宿物资采购款工作并完成资金支付；完成支付滥伐林木案件鉴定费、林业保险经费、林业相关法律法规宣传品。二是完成野生动物保护语音提示器采购及宣传工作、服装款采购等工作，但因经费保障不足，项目部分完成，但预算执行率较低。发现的主要问题及原因：一是存在项目资金结余;二是预算编制与实际支出存在差异。下一步改进措施：一是提高资金使用率；二是提升预算编制的准确性科学性。</w:t>
      </w:r>
    </w:p>
    <w:p w14:paraId="7C3604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kern w:val="2"/>
          <w:sz w:val="32"/>
          <w:szCs w:val="32"/>
          <w:highlight w:val="none"/>
          <w:shd w:val="clear" w:color="auto" w:fill="auto"/>
          <w:lang w:val="en-US" w:eastAsia="zh-CN" w:bidi="ar"/>
        </w:rPr>
      </w:pPr>
      <w:r>
        <w:rPr>
          <w:rFonts w:hint="eastAsia" w:ascii="仿宋_GB2312" w:hAnsi="仿宋_GB2312" w:eastAsia="仿宋_GB2312" w:cs="仿宋_GB2312"/>
          <w:color w:val="auto"/>
          <w:kern w:val="2"/>
          <w:sz w:val="32"/>
          <w:szCs w:val="32"/>
          <w:highlight w:val="none"/>
          <w:shd w:val="clear" w:color="auto" w:fill="auto"/>
          <w:lang w:val="en-US" w:eastAsia="zh-CN" w:bidi="ar"/>
        </w:rPr>
        <w:t>《预算（项目）政策绩效自评表》见附件。</w:t>
      </w:r>
    </w:p>
    <w:p w14:paraId="35CAD6E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jc w:val="both"/>
        <w:textAlignment w:val="auto"/>
        <w:rPr>
          <w:rFonts w:hint="eastAsia" w:ascii="仿宋_GB2312" w:hAnsi="仿宋_GB2312" w:eastAsia="仿宋_GB2312" w:cs="仿宋_GB2312"/>
          <w:b/>
          <w:bCs/>
          <w:color w:val="auto"/>
          <w:kern w:val="2"/>
          <w:sz w:val="32"/>
          <w:szCs w:val="32"/>
          <w:highlight w:val="none"/>
          <w:shd w:val="clear" w:color="auto" w:fill="auto"/>
          <w:lang w:val="en-US" w:eastAsia="zh-CN" w:bidi="ar"/>
        </w:rPr>
      </w:pPr>
      <w:r>
        <w:rPr>
          <w:rFonts w:hint="eastAsia" w:ascii="仿宋_GB2312" w:hAnsi="仿宋_GB2312" w:eastAsia="仿宋_GB2312" w:cs="仿宋_GB2312"/>
          <w:b/>
          <w:bCs/>
          <w:color w:val="auto"/>
          <w:kern w:val="2"/>
          <w:sz w:val="32"/>
          <w:szCs w:val="32"/>
          <w:highlight w:val="none"/>
          <w:shd w:val="clear" w:color="auto" w:fill="auto"/>
          <w:lang w:val="en-US" w:eastAsia="zh-CN" w:bidi="ar"/>
        </w:rPr>
        <w:t>3.部门评价结果。</w:t>
      </w:r>
    </w:p>
    <w:p w14:paraId="22ABD9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both"/>
        <w:textAlignment w:val="auto"/>
        <w:rPr>
          <w:rFonts w:hint="eastAsia" w:ascii="仿宋_GB2312" w:hAnsi="仿宋_GB2312" w:eastAsia="仿宋_GB2312" w:cs="仿宋_GB2312"/>
          <w:color w:val="auto"/>
          <w:kern w:val="2"/>
          <w:sz w:val="32"/>
          <w:szCs w:val="32"/>
          <w:highlight w:val="none"/>
          <w:shd w:val="clear" w:color="auto" w:fill="auto"/>
          <w:lang w:val="en-US" w:eastAsia="zh-CN" w:bidi="ar"/>
        </w:rPr>
      </w:pPr>
      <w:r>
        <w:rPr>
          <w:rFonts w:hint="eastAsia" w:ascii="仿宋_GB2312" w:hAnsi="仿宋_GB2312" w:eastAsia="仿宋_GB2312" w:cs="仿宋_GB2312"/>
          <w:b/>
          <w:bCs/>
          <w:color w:val="auto"/>
          <w:kern w:val="2"/>
          <w:sz w:val="32"/>
          <w:szCs w:val="32"/>
          <w:highlight w:val="none"/>
          <w:shd w:val="clear" w:color="auto" w:fill="auto"/>
          <w:lang w:val="en-US" w:eastAsia="zh-CN" w:bidi="ar"/>
        </w:rPr>
        <w:t xml:space="preserve"> </w:t>
      </w:r>
      <w:r>
        <w:rPr>
          <w:rFonts w:hint="eastAsia" w:ascii="仿宋_GB2312" w:hAnsi="仿宋_GB2312" w:eastAsia="仿宋_GB2312" w:cs="仿宋_GB2312"/>
          <w:color w:val="auto"/>
          <w:kern w:val="2"/>
          <w:sz w:val="32"/>
          <w:szCs w:val="32"/>
          <w:highlight w:val="none"/>
          <w:shd w:val="clear" w:color="auto" w:fill="auto"/>
          <w:lang w:val="en-US" w:eastAsia="zh-CN" w:bidi="ar"/>
        </w:rPr>
        <w:t>根据预算绩效管理要求，本部门组织对2022年度预算项目支出全面开展绩效自评，共涉及预算支出项目12个（其中：一般公共预算项目12个，政府性基金预算项目0个，国有资本经营预算项目0个，涉及资金7349.35万元（其中：一般公共预算资金7349.35万元，政府性基金预算资金0万元，国有资本经营预算资金0万元)，自评覆盖率达到100%，自评平均分66.06分。</w:t>
      </w:r>
    </w:p>
    <w:p w14:paraId="2CBF16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b w:val="0"/>
          <w:bCs w:val="0"/>
          <w:color w:val="auto"/>
          <w:kern w:val="2"/>
          <w:sz w:val="32"/>
          <w:szCs w:val="32"/>
          <w:highlight w:val="none"/>
          <w:shd w:val="clear" w:color="auto" w:fill="auto"/>
          <w:lang w:val="en-US" w:eastAsia="zh-CN" w:bidi="ar"/>
        </w:rPr>
      </w:pPr>
      <w:r>
        <w:rPr>
          <w:rFonts w:hint="eastAsia" w:ascii="仿宋_GB2312" w:hAnsi="仿宋_GB2312" w:eastAsia="仿宋_GB2312" w:cs="仿宋_GB2312"/>
          <w:b w:val="0"/>
          <w:bCs w:val="0"/>
          <w:color w:val="auto"/>
          <w:kern w:val="2"/>
          <w:sz w:val="32"/>
          <w:szCs w:val="32"/>
          <w:highlight w:val="none"/>
          <w:shd w:val="clear" w:color="auto" w:fill="auto"/>
          <w:lang w:val="en-US" w:eastAsia="zh-CN" w:bidi="ar"/>
        </w:rPr>
        <w:t xml:space="preserve"> 本部门组织对偿还以前年度工程欠款及化解历史遗留问题；旅游宣传、冰雪活动及景区建设经费；二三环及机场周边生态绿化带补助（六区防护林）；行政执法及扑救初火物资购置；监测项目经费(野生动物监测)；林业生态保护恢复资金专项；林业生态建设总体规划（2021-2035）；林业有害生物防治；林缘200米退耕还经济林补助；森林防火宣传；植树造林、义务植树、防治荒漠化与干旱宣传；其他林业支出等12个项目开展了部门评价，涉及资金；7349.35万元（其中：一般公共预算资金7349.35万元，政府性基金预算资金0万元，国有资本经营预算资金0万元）。从评价情况来看，12个项目中7个项目因财政资金紧张，没有用执行外，其余5个项目执行率均达到或接近100%，项目运行平稳，基本完成年初设定的绩效目标。</w:t>
      </w:r>
    </w:p>
    <w:p w14:paraId="2E6BFDF4">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jc w:val="both"/>
        <w:textAlignment w:val="auto"/>
        <w:rPr>
          <w:rFonts w:hint="eastAsia" w:ascii="仿宋_GB2312" w:hAnsi="仿宋_GB2312" w:eastAsia="仿宋_GB2312" w:cs="仿宋_GB2312"/>
          <w:b/>
          <w:bCs/>
          <w:color w:val="auto"/>
          <w:kern w:val="2"/>
          <w:sz w:val="32"/>
          <w:szCs w:val="32"/>
          <w:highlight w:val="none"/>
          <w:shd w:val="clear" w:color="auto" w:fill="auto"/>
          <w:lang w:val="en-US" w:eastAsia="zh-CN" w:bidi="ar"/>
        </w:rPr>
      </w:pPr>
      <w:r>
        <w:rPr>
          <w:rFonts w:hint="eastAsia" w:ascii="仿宋_GB2312" w:hAnsi="仿宋_GB2312" w:eastAsia="仿宋_GB2312" w:cs="仿宋_GB2312"/>
          <w:b/>
          <w:bCs/>
          <w:color w:val="auto"/>
          <w:kern w:val="2"/>
          <w:sz w:val="32"/>
          <w:szCs w:val="32"/>
          <w:highlight w:val="none"/>
          <w:shd w:val="clear" w:color="auto" w:fill="auto"/>
          <w:lang w:val="en-US" w:eastAsia="zh-CN" w:bidi="ar"/>
        </w:rPr>
        <w:t>4.财政评价结果。</w:t>
      </w:r>
    </w:p>
    <w:p w14:paraId="11B3DFD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jc w:val="both"/>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
        </w:rPr>
      </w:pPr>
      <w:r>
        <w:rPr>
          <w:rFonts w:hint="eastAsia" w:ascii="仿宋_GB2312" w:hAnsi="仿宋_GB2312" w:eastAsia="仿宋_GB2312" w:cs="仿宋_GB2312"/>
          <w:b w:val="0"/>
          <w:bCs w:val="0"/>
          <w:color w:val="auto"/>
          <w:kern w:val="2"/>
          <w:sz w:val="32"/>
          <w:szCs w:val="32"/>
          <w:highlight w:val="none"/>
          <w:shd w:val="clear" w:color="auto" w:fill="auto"/>
          <w:lang w:val="en-US" w:eastAsia="zh-CN" w:bidi="ar"/>
        </w:rPr>
        <w:t xml:space="preserve"> 建议建议不提升预算执行效率和效益。</w:t>
      </w:r>
    </w:p>
    <w:p w14:paraId="47D51B19">
      <w:pPr>
        <w:widowControl/>
        <w:spacing w:line="560" w:lineRule="exact"/>
        <w:ind w:firstLine="640" w:firstLineChars="200"/>
        <w:jc w:val="both"/>
        <w:rPr>
          <w:rFonts w:hint="eastAsia" w:ascii="仿宋_GB2312" w:hAnsi="仿宋_GB2312" w:eastAsia="仿宋_GB2312" w:cs="仿宋_GB2312"/>
          <w:b w:val="0"/>
          <w:bCs w:val="0"/>
          <w:sz w:val="32"/>
          <w:szCs w:val="32"/>
        </w:rPr>
      </w:pPr>
    </w:p>
    <w:p w14:paraId="30159757">
      <w:pPr>
        <w:pStyle w:val="6"/>
        <w:spacing w:line="560" w:lineRule="exact"/>
        <w:jc w:val="both"/>
        <w:rPr>
          <w:rFonts w:hint="eastAsia" w:ascii="仿宋_GB2312" w:hAnsi="仿宋_GB2312" w:eastAsia="仿宋_GB2312" w:cs="仿宋_GB2312"/>
          <w:b/>
          <w:sz w:val="32"/>
          <w:szCs w:val="32"/>
        </w:rPr>
      </w:pPr>
    </w:p>
    <w:p w14:paraId="0F67EB88">
      <w:pPr>
        <w:pStyle w:val="9"/>
        <w:autoSpaceDN w:val="0"/>
        <w:spacing w:line="560" w:lineRule="exact"/>
        <w:ind w:firstLine="2249" w:firstLineChars="700"/>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第三部分 名词解释</w:t>
      </w:r>
    </w:p>
    <w:p w14:paraId="591A18E0">
      <w:pPr>
        <w:pStyle w:val="6"/>
        <w:spacing w:line="560" w:lineRule="exact"/>
        <w:ind w:firstLine="627"/>
        <w:jc w:val="both"/>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1</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rPr>
        <w:t>财政拨款收入：</w:t>
      </w:r>
      <w:r>
        <w:rPr>
          <w:rFonts w:hint="eastAsia" w:ascii="仿宋_GB2312" w:hAnsi="仿宋_GB2312" w:eastAsia="仿宋_GB2312" w:cs="仿宋_GB2312"/>
          <w:sz w:val="32"/>
          <w:szCs w:val="32"/>
        </w:rPr>
        <w:t>指单位从同级财政部门取得的财政预算资金。</w:t>
      </w:r>
    </w:p>
    <w:p w14:paraId="5101E7C2">
      <w:pPr>
        <w:pStyle w:val="6"/>
        <w:spacing w:line="560" w:lineRule="exact"/>
        <w:ind w:firstLine="640"/>
        <w:jc w:val="both"/>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lang w:val="en-US" w:eastAsia="zh-CN"/>
        </w:rPr>
        <w:t>2</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rPr>
        <w:t>上年结转和结余：</w:t>
      </w:r>
      <w:r>
        <w:rPr>
          <w:rFonts w:hint="eastAsia" w:ascii="仿宋_GB2312" w:hAnsi="仿宋_GB2312" w:eastAsia="仿宋_GB2312" w:cs="仿宋_GB2312"/>
          <w:sz w:val="32"/>
          <w:szCs w:val="32"/>
        </w:rPr>
        <w:t>指以前年度尚未完成、结转到本年按有关规定继续使用的资金。</w:t>
      </w:r>
    </w:p>
    <w:p w14:paraId="58646626">
      <w:pPr>
        <w:pStyle w:val="6"/>
        <w:spacing w:line="560" w:lineRule="exact"/>
        <w:ind w:firstLine="640"/>
        <w:jc w:val="both"/>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lang w:val="en-US" w:eastAsia="zh-CN"/>
        </w:rPr>
        <w:t>3</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rPr>
        <w:t>基本支出：</w:t>
      </w:r>
      <w:r>
        <w:rPr>
          <w:rFonts w:hint="eastAsia" w:ascii="仿宋_GB2312" w:hAnsi="仿宋_GB2312" w:eastAsia="仿宋_GB2312" w:cs="仿宋_GB2312"/>
          <w:sz w:val="32"/>
          <w:szCs w:val="32"/>
        </w:rPr>
        <w:t>指保障机构正常运转、完成日常工作任务而发生的人员支出和公用支出。</w:t>
      </w:r>
    </w:p>
    <w:p w14:paraId="7A19EFD7">
      <w:pPr>
        <w:pStyle w:val="6"/>
        <w:spacing w:line="560" w:lineRule="exact"/>
        <w:ind w:firstLine="640"/>
        <w:jc w:val="both"/>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lang w:val="en-US" w:eastAsia="zh-CN"/>
        </w:rPr>
        <w:t>4</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rPr>
        <w:t>项目支出：</w:t>
      </w:r>
      <w:r>
        <w:rPr>
          <w:rFonts w:hint="eastAsia" w:ascii="仿宋_GB2312" w:hAnsi="仿宋_GB2312" w:eastAsia="仿宋_GB2312" w:cs="仿宋_GB2312"/>
          <w:sz w:val="32"/>
          <w:szCs w:val="32"/>
        </w:rPr>
        <w:t>指在基本支出之外为完成特定行政任务和事业发展目标所发生的支出。</w:t>
      </w:r>
    </w:p>
    <w:p w14:paraId="29E8D0D0">
      <w:pPr>
        <w:pStyle w:val="6"/>
        <w:spacing w:line="560" w:lineRule="exact"/>
        <w:ind w:firstLine="640"/>
        <w:jc w:val="both"/>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lang w:val="en-US" w:eastAsia="zh-CN"/>
        </w:rPr>
        <w:t>5</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rPr>
        <w:t>“三公”经费：</w:t>
      </w:r>
      <w:r>
        <w:rPr>
          <w:rFonts w:hint="eastAsia" w:ascii="仿宋_GB2312" w:hAnsi="仿宋_GB2312" w:eastAsia="仿宋_GB2312" w:cs="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49D151A8">
      <w:pPr>
        <w:pStyle w:val="6"/>
        <w:spacing w:line="560" w:lineRule="exact"/>
        <w:ind w:firstLine="64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机关运行经费：</w:t>
      </w:r>
      <w:r>
        <w:rPr>
          <w:rFonts w:hint="eastAsia" w:ascii="仿宋_GB2312" w:hAnsi="仿宋_GB2312" w:eastAsia="仿宋_GB2312" w:cs="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F427842">
      <w:pPr>
        <w:pStyle w:val="6"/>
        <w:spacing w:line="560" w:lineRule="exact"/>
        <w:ind w:firstLine="640"/>
        <w:jc w:val="both"/>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bCs/>
          <w:sz w:val="32"/>
          <w:szCs w:val="32"/>
          <w:lang w:val="en-US" w:eastAsia="zh-CN"/>
        </w:rPr>
        <w:t>7、</w:t>
      </w:r>
      <w:r>
        <w:rPr>
          <w:rFonts w:hint="eastAsia" w:ascii="仿宋_GB2312" w:hAnsi="仿宋_GB2312" w:eastAsia="仿宋_GB2312" w:cs="仿宋_GB2312"/>
          <w:b/>
          <w:bCs/>
          <w:sz w:val="32"/>
          <w:szCs w:val="32"/>
        </w:rPr>
        <w:t>一般公共服务支出（类）</w:t>
      </w:r>
      <w:r>
        <w:rPr>
          <w:rFonts w:hint="eastAsia" w:ascii="仿宋_GB2312" w:hAnsi="仿宋_GB2312" w:eastAsia="仿宋_GB2312" w:cs="仿宋_GB2312"/>
          <w:b/>
          <w:bCs/>
          <w:sz w:val="32"/>
          <w:szCs w:val="32"/>
          <w:lang w:eastAsia="zh-CN"/>
        </w:rPr>
        <w:t>政府办公厅（室）及相关机构事务</w:t>
      </w:r>
      <w:r>
        <w:rPr>
          <w:rFonts w:hint="eastAsia" w:ascii="仿宋_GB2312" w:hAnsi="仿宋_GB2312" w:eastAsia="仿宋_GB2312" w:cs="仿宋_GB2312"/>
          <w:b/>
          <w:bCs/>
          <w:sz w:val="32"/>
          <w:szCs w:val="32"/>
        </w:rPr>
        <w:t>（款）</w:t>
      </w:r>
      <w:r>
        <w:rPr>
          <w:rFonts w:hint="eastAsia" w:ascii="仿宋_GB2312" w:hAnsi="仿宋_GB2312" w:eastAsia="仿宋_GB2312" w:cs="仿宋_GB2312"/>
          <w:b/>
          <w:bCs/>
          <w:sz w:val="32"/>
          <w:szCs w:val="32"/>
          <w:lang w:eastAsia="zh-CN"/>
        </w:rPr>
        <w:t>一般行政管理事务</w:t>
      </w:r>
      <w:r>
        <w:rPr>
          <w:rFonts w:hint="eastAsia" w:ascii="仿宋_GB2312" w:hAnsi="仿宋_GB2312" w:eastAsia="仿宋_GB2312" w:cs="仿宋_GB2312"/>
          <w:b/>
          <w:bCs/>
          <w:sz w:val="32"/>
          <w:szCs w:val="32"/>
        </w:rPr>
        <w:t>（项）</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val="0"/>
          <w:bCs w:val="0"/>
          <w:sz w:val="32"/>
          <w:szCs w:val="32"/>
          <w:lang w:eastAsia="zh-CN"/>
        </w:rPr>
        <w:t>反映行政单位（包括实行公务员管理的事业单位）未单独设置项级科目的其他项目支出。</w:t>
      </w:r>
    </w:p>
    <w:p w14:paraId="0026B07F">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8、一般公共服务支出（类）政府办公厅（室）及相关机构事务（款）机关服务（项）：</w:t>
      </w:r>
      <w:r>
        <w:rPr>
          <w:rFonts w:hint="eastAsia" w:ascii="仿宋_GB2312" w:hAnsi="仿宋_GB2312" w:eastAsia="仿宋_GB2312" w:cs="仿宋_GB2312"/>
          <w:b w:val="0"/>
          <w:bCs w:val="0"/>
          <w:sz w:val="32"/>
          <w:szCs w:val="32"/>
          <w:lang w:val="en-US" w:eastAsia="zh-CN"/>
        </w:rPr>
        <w:t>反映为行政单位（</w:t>
      </w:r>
      <w:r>
        <w:rPr>
          <w:rFonts w:hint="eastAsia" w:ascii="仿宋_GB2312" w:hAnsi="仿宋_GB2312" w:eastAsia="仿宋_GB2312" w:cs="仿宋_GB2312"/>
          <w:b w:val="0"/>
          <w:bCs w:val="0"/>
          <w:sz w:val="32"/>
          <w:szCs w:val="32"/>
          <w:lang w:eastAsia="zh-CN"/>
        </w:rPr>
        <w:t>包括实行公务员管理的事业单位</w:t>
      </w:r>
      <w:r>
        <w:rPr>
          <w:rFonts w:hint="eastAsia" w:ascii="仿宋_GB2312" w:hAnsi="仿宋_GB2312" w:eastAsia="仿宋_GB2312" w:cs="仿宋_GB2312"/>
          <w:b w:val="0"/>
          <w:bCs w:val="0"/>
          <w:sz w:val="32"/>
          <w:szCs w:val="32"/>
          <w:lang w:val="en-US" w:eastAsia="zh-CN"/>
        </w:rPr>
        <w:t>）提供后勤服务的各类后勤服务中心、医务室等附属事业单位的支出。其他事业单位的支出，凡单独设置了项级科目的，在“其他”项级设置科目中反映。</w:t>
      </w:r>
    </w:p>
    <w:p w14:paraId="4B8E1ACC">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9、一般公共服务支出（类）政府办公厅（室）及相关机构事务（款）专项业务及机关事务管理（项）：</w:t>
      </w:r>
      <w:r>
        <w:rPr>
          <w:rFonts w:hint="eastAsia" w:ascii="仿宋_GB2312" w:hAnsi="仿宋_GB2312" w:eastAsia="仿宋_GB2312" w:cs="仿宋_GB2312"/>
          <w:b w:val="0"/>
          <w:bCs w:val="0"/>
          <w:sz w:val="32"/>
          <w:szCs w:val="32"/>
          <w:lang w:val="en-US" w:eastAsia="zh-CN"/>
        </w:rPr>
        <w:t>反映各级政府举行各类重大活动、召开重要会议（如国务院一类会议、国庆招待会、全国劳模大会）的支出，政府机关房地产管理、公务用车管理等方面的支出。</w:t>
      </w:r>
    </w:p>
    <w:p w14:paraId="2F1ED40A">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10、一般公共服务支出（类）政府办公厅（室）及相关机构事务（款）信访事务（项）：</w:t>
      </w:r>
      <w:r>
        <w:rPr>
          <w:rFonts w:hint="eastAsia" w:ascii="仿宋_GB2312" w:hAnsi="仿宋_GB2312" w:eastAsia="仿宋_GB2312" w:cs="仿宋_GB2312"/>
          <w:b w:val="0"/>
          <w:bCs w:val="0"/>
          <w:sz w:val="32"/>
          <w:szCs w:val="32"/>
          <w:lang w:val="en-US" w:eastAsia="zh-CN"/>
        </w:rPr>
        <w:t>反映各级政府用于接待群众来信来访方面的支出。</w:t>
      </w:r>
    </w:p>
    <w:p w14:paraId="79BA427B">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11、一般公共服务支出（类）政府办公厅（室）及相关机构事务（款）事业运行（项）：</w:t>
      </w:r>
      <w:r>
        <w:rPr>
          <w:rFonts w:hint="eastAsia" w:ascii="仿宋_GB2312" w:hAnsi="仿宋_GB2312" w:eastAsia="仿宋_GB2312" w:cs="仿宋_GB2312"/>
          <w:b w:val="0"/>
          <w:bCs w:val="0"/>
          <w:sz w:val="32"/>
          <w:szCs w:val="32"/>
          <w:lang w:val="en-US" w:eastAsia="zh-CN"/>
        </w:rPr>
        <w:t>反映事业单位的基本支出，不包括行政单位（包括实行公务员管理的事业单位）后勤服务中心、医务室等附属事业单位。</w:t>
      </w:r>
    </w:p>
    <w:p w14:paraId="7B5E5991">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12、一般公共服务支出（类）政府办公厅（室）及相关机构事务（款）其他政府办公厅（室）及相关机构事务服务支出（项）：</w:t>
      </w:r>
      <w:r>
        <w:rPr>
          <w:rFonts w:hint="eastAsia" w:ascii="仿宋_GB2312" w:hAnsi="仿宋_GB2312" w:eastAsia="仿宋_GB2312" w:cs="仿宋_GB2312"/>
          <w:b w:val="0"/>
          <w:bCs w:val="0"/>
          <w:sz w:val="32"/>
          <w:szCs w:val="32"/>
          <w:lang w:val="en-US" w:eastAsia="zh-CN"/>
        </w:rPr>
        <w:t>反映除上述项目以外的其他政府办公厅（室）及相关机构事务支出。</w:t>
      </w:r>
    </w:p>
    <w:p w14:paraId="1FF5352B">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13、文化旅游体育与传媒支出（类）文化和旅游（款）其他文化和旅游支出（项）：</w:t>
      </w:r>
      <w:r>
        <w:rPr>
          <w:rFonts w:hint="eastAsia" w:ascii="仿宋_GB2312" w:hAnsi="仿宋_GB2312" w:eastAsia="仿宋_GB2312" w:cs="仿宋_GB2312"/>
          <w:b w:val="0"/>
          <w:bCs w:val="0"/>
          <w:sz w:val="32"/>
          <w:szCs w:val="32"/>
          <w:lang w:val="en-US" w:eastAsia="zh-CN"/>
        </w:rPr>
        <w:t>反映除上述项目以外其他用于文化和旅游方面的支出。</w:t>
      </w:r>
    </w:p>
    <w:p w14:paraId="1D3F5B94">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14、</w:t>
      </w:r>
      <w:r>
        <w:rPr>
          <w:rFonts w:hint="eastAsia" w:ascii="仿宋_GB2312" w:hAnsi="仿宋_GB2312" w:eastAsia="仿宋_GB2312" w:cs="仿宋_GB2312"/>
          <w:b/>
          <w:bCs/>
          <w:sz w:val="32"/>
          <w:szCs w:val="32"/>
          <w:lang w:val="en-US" w:eastAsia="zh-CN"/>
        </w:rPr>
        <w:t>文化旅游体育与传媒支出（类）其他文化旅游体育与传媒支出（款）其他文化旅游体育与传媒支出（项）：</w:t>
      </w:r>
      <w:r>
        <w:rPr>
          <w:rFonts w:hint="eastAsia" w:ascii="仿宋_GB2312" w:hAnsi="仿宋_GB2312" w:eastAsia="仿宋_GB2312" w:cs="仿宋_GB2312"/>
          <w:b w:val="0"/>
          <w:bCs w:val="0"/>
          <w:sz w:val="32"/>
          <w:szCs w:val="32"/>
          <w:lang w:val="en-US" w:eastAsia="zh-CN"/>
        </w:rPr>
        <w:t>反映除上述项目以外其他用于文化旅游体育与传媒方面的支出。</w:t>
      </w:r>
    </w:p>
    <w:p w14:paraId="61ED50BB">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15、社会保障和就业支出（类）行政事业单位养老支出（款）事业单位离退休（项）：</w:t>
      </w:r>
      <w:r>
        <w:rPr>
          <w:rFonts w:hint="eastAsia" w:ascii="仿宋_GB2312" w:hAnsi="仿宋_GB2312" w:eastAsia="仿宋_GB2312" w:cs="仿宋_GB2312"/>
          <w:b w:val="0"/>
          <w:bCs w:val="0"/>
          <w:sz w:val="32"/>
          <w:szCs w:val="32"/>
          <w:lang w:val="en-US" w:eastAsia="zh-CN"/>
        </w:rPr>
        <w:t>反映事业单位开支的离退休经费。</w:t>
      </w:r>
    </w:p>
    <w:p w14:paraId="630B8323">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16、社会保障和就业支出（类）行政事业单位养老支出（款）机关事业单位基本养老保险缴费支出（项）：</w:t>
      </w:r>
      <w:r>
        <w:rPr>
          <w:rFonts w:hint="eastAsia" w:ascii="仿宋_GB2312" w:hAnsi="仿宋_GB2312" w:eastAsia="仿宋_GB2312" w:cs="仿宋_GB2312"/>
          <w:b w:val="0"/>
          <w:bCs w:val="0"/>
          <w:sz w:val="32"/>
          <w:szCs w:val="32"/>
          <w:lang w:val="en-US" w:eastAsia="zh-CN"/>
        </w:rPr>
        <w:t>反映机关事业单位实施养老保险制度由单位缴纳的基本养老保险费支出。</w:t>
      </w:r>
    </w:p>
    <w:p w14:paraId="35854621">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17、社会保障和就业支出（类）行政事业单位养老支出（款）机关事业单位职业年金缴费支出（项）：</w:t>
      </w:r>
      <w:r>
        <w:rPr>
          <w:rFonts w:hint="eastAsia" w:ascii="仿宋_GB2312" w:hAnsi="仿宋_GB2312" w:eastAsia="仿宋_GB2312" w:cs="仿宋_GB2312"/>
          <w:b w:val="0"/>
          <w:bCs w:val="0"/>
          <w:sz w:val="32"/>
          <w:szCs w:val="32"/>
          <w:lang w:val="en-US" w:eastAsia="zh-CN"/>
        </w:rPr>
        <w:t>反映机关事业单位实施养老保险制度由单位实际缴纳的职业年金支出。</w:t>
      </w:r>
    </w:p>
    <w:p w14:paraId="18EE4348">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18、社会保障和就业支出（类）抚恤（款）死亡抚恤（项）：</w:t>
      </w:r>
      <w:r>
        <w:rPr>
          <w:rFonts w:hint="eastAsia" w:ascii="仿宋_GB2312" w:hAnsi="仿宋_GB2312" w:eastAsia="仿宋_GB2312" w:cs="仿宋_GB2312"/>
          <w:b w:val="0"/>
          <w:bCs w:val="0"/>
          <w:sz w:val="32"/>
          <w:szCs w:val="32"/>
          <w:lang w:val="en-US" w:eastAsia="zh-CN"/>
        </w:rPr>
        <w:t>反映按规定用于烈士和牺牲、病故人员家属的一次性和定期抚恤金、丧葬补助费以及烈士褒扬金。</w:t>
      </w:r>
    </w:p>
    <w:p w14:paraId="6904D631">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19、卫生健康支出（类）公共卫生（款）突发公共卫生事件应急处理（项）：</w:t>
      </w:r>
      <w:r>
        <w:rPr>
          <w:rFonts w:hint="eastAsia" w:ascii="仿宋_GB2312" w:hAnsi="仿宋_GB2312" w:eastAsia="仿宋_GB2312" w:cs="仿宋_GB2312"/>
          <w:b w:val="0"/>
          <w:bCs w:val="0"/>
          <w:sz w:val="32"/>
          <w:szCs w:val="32"/>
          <w:lang w:val="en-US" w:eastAsia="zh-CN"/>
        </w:rPr>
        <w:t>反映用于突发公共卫生事件应急处理的支出。</w:t>
      </w:r>
    </w:p>
    <w:p w14:paraId="3EB362A5">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20、卫生健康支出（类）行政事业单位医疗（款）事业单位医疗（项）：</w:t>
      </w:r>
      <w:r>
        <w:rPr>
          <w:rFonts w:hint="eastAsia" w:ascii="仿宋_GB2312" w:hAnsi="仿宋_GB2312" w:eastAsia="仿宋_GB2312" w:cs="仿宋_GB2312"/>
          <w:b w:val="0"/>
          <w:bCs w:val="0"/>
          <w:sz w:val="32"/>
          <w:szCs w:val="32"/>
          <w:lang w:val="en-US" w:eastAsia="zh-CN"/>
        </w:rPr>
        <w:t>反映财政部门安排的事业单位基本医疗保险缴费经费，未参加医疗保险的事业单位的公费医疗经费，按国家规定享受离休人员待遇的医疗经费。</w:t>
      </w:r>
    </w:p>
    <w:p w14:paraId="2083ADC6">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21、卫生健康支出（类）行政事业单位医疗（款）其他行政事业单位医疗支出（项）：</w:t>
      </w:r>
      <w:r>
        <w:rPr>
          <w:rFonts w:hint="eastAsia" w:ascii="仿宋_GB2312" w:hAnsi="仿宋_GB2312" w:eastAsia="仿宋_GB2312" w:cs="仿宋_GB2312"/>
          <w:b w:val="0"/>
          <w:bCs w:val="0"/>
          <w:sz w:val="32"/>
          <w:szCs w:val="32"/>
          <w:lang w:val="en-US" w:eastAsia="zh-CN"/>
        </w:rPr>
        <w:t>反映除上述项目以外的其他用于行政事业单位医疗方面的支出。</w:t>
      </w:r>
    </w:p>
    <w:p w14:paraId="0017F2C1">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22、节能环保支出（类）自然生态保护（款）生态保护（项）：</w:t>
      </w:r>
      <w:r>
        <w:rPr>
          <w:rFonts w:hint="eastAsia" w:ascii="仿宋_GB2312" w:hAnsi="仿宋_GB2312" w:eastAsia="仿宋_GB2312" w:cs="仿宋_GB2312"/>
          <w:b w:val="0"/>
          <w:bCs w:val="0"/>
          <w:sz w:val="32"/>
          <w:szCs w:val="32"/>
          <w:lang w:val="en-US" w:eastAsia="zh-CN"/>
        </w:rPr>
        <w:t>反映用于生态功能区、生态示范区、生态省（市、县）管理及能力建设、日常管护、宣教、试点示范等支出，生态修复支出，资源开发生态监管支出，生态护林员的劳务报酬等支出。</w:t>
      </w:r>
    </w:p>
    <w:p w14:paraId="35A2DD30">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23、城乡社区支出（类）城乡社区管理事务（款）城管执法（项）：</w:t>
      </w:r>
      <w:r>
        <w:rPr>
          <w:rFonts w:hint="eastAsia" w:ascii="仿宋_GB2312" w:hAnsi="仿宋_GB2312" w:eastAsia="仿宋_GB2312" w:cs="仿宋_GB2312"/>
          <w:b w:val="0"/>
          <w:bCs w:val="0"/>
          <w:sz w:val="32"/>
          <w:szCs w:val="32"/>
          <w:lang w:val="en-US" w:eastAsia="zh-CN"/>
        </w:rPr>
        <w:t>反映城市管理综合行政执法、加强城市市容和环境卫生管理等方面的支出。</w:t>
      </w:r>
    </w:p>
    <w:p w14:paraId="5EBBE956">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24、城乡社区支出（类）城乡社区管理事务（款）其他城乡社区管理事务支出（项）：</w:t>
      </w:r>
      <w:r>
        <w:rPr>
          <w:rFonts w:hint="eastAsia" w:ascii="仿宋_GB2312" w:hAnsi="仿宋_GB2312" w:eastAsia="仿宋_GB2312" w:cs="仿宋_GB2312"/>
          <w:b w:val="0"/>
          <w:bCs w:val="0"/>
          <w:sz w:val="32"/>
          <w:szCs w:val="32"/>
          <w:lang w:val="en-US" w:eastAsia="zh-CN"/>
        </w:rPr>
        <w:t>反映除上述项目以外其他用于城乡社区管理事务方面的支出。</w:t>
      </w:r>
    </w:p>
    <w:p w14:paraId="629FC424">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25、城乡社区支出（类）城乡社区公共设施（款）其他城乡社区公共设施支出（项）：</w:t>
      </w:r>
      <w:r>
        <w:rPr>
          <w:rFonts w:hint="eastAsia" w:ascii="仿宋_GB2312" w:hAnsi="仿宋_GB2312" w:eastAsia="仿宋_GB2312" w:cs="仿宋_GB2312"/>
          <w:b w:val="0"/>
          <w:bCs w:val="0"/>
          <w:sz w:val="32"/>
          <w:szCs w:val="32"/>
          <w:lang w:val="en-US" w:eastAsia="zh-CN"/>
        </w:rPr>
        <w:t>反映除上述项目以外其他用于城乡社区公共设施方面的支出。</w:t>
      </w:r>
    </w:p>
    <w:p w14:paraId="0D18CAF6">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26、城乡社区支出（类）城乡社区环境卫生（款）城乡社区环境卫生（项）：</w:t>
      </w:r>
      <w:r>
        <w:rPr>
          <w:rFonts w:hint="eastAsia" w:ascii="仿宋_GB2312" w:hAnsi="仿宋_GB2312" w:eastAsia="仿宋_GB2312" w:cs="仿宋_GB2312"/>
          <w:b w:val="0"/>
          <w:bCs w:val="0"/>
          <w:sz w:val="32"/>
          <w:szCs w:val="32"/>
          <w:lang w:val="en-US" w:eastAsia="zh-CN"/>
        </w:rPr>
        <w:t>反映城乡社区道路清扫、垃圾清运与处理、公厕建设与维护、园林绿化等方面的支出。</w:t>
      </w:r>
    </w:p>
    <w:p w14:paraId="7FD57211">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27、农林水支出（类）林业和草原（款）森林资源管理（项）：</w:t>
      </w:r>
      <w:r>
        <w:rPr>
          <w:rFonts w:hint="eastAsia" w:ascii="仿宋_GB2312" w:hAnsi="仿宋_GB2312" w:eastAsia="仿宋_GB2312" w:cs="仿宋_GB2312"/>
          <w:b w:val="0"/>
          <w:bCs w:val="0"/>
          <w:sz w:val="32"/>
          <w:szCs w:val="32"/>
          <w:lang w:val="en-US" w:eastAsia="zh-CN"/>
        </w:rPr>
        <w:t>反映森林资源核查、监测、评估、经营利用、林地保护等方面的支出。</w:t>
      </w:r>
    </w:p>
    <w:p w14:paraId="261CA67D">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28、农林水支出（类）林业和草原（款）森林生态效益补偿（项）：</w:t>
      </w:r>
      <w:r>
        <w:rPr>
          <w:rFonts w:hint="eastAsia" w:ascii="仿宋_GB2312" w:hAnsi="仿宋_GB2312" w:eastAsia="仿宋_GB2312" w:cs="仿宋_GB2312"/>
          <w:b w:val="0"/>
          <w:bCs w:val="0"/>
          <w:sz w:val="32"/>
          <w:szCs w:val="32"/>
          <w:lang w:val="en-US" w:eastAsia="zh-CN"/>
        </w:rPr>
        <w:t>反映用于公益林保护和管理等方面的支出。</w:t>
      </w:r>
    </w:p>
    <w:p w14:paraId="1CFF35A1">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29、农林水支出（类）林业和草原（款）动植物保护（项）：</w:t>
      </w:r>
      <w:r>
        <w:rPr>
          <w:rFonts w:hint="eastAsia" w:ascii="仿宋_GB2312" w:hAnsi="仿宋_GB2312" w:eastAsia="仿宋_GB2312" w:cs="仿宋_GB2312"/>
          <w:b w:val="0"/>
          <w:bCs w:val="0"/>
          <w:sz w:val="32"/>
          <w:szCs w:val="32"/>
          <w:lang w:val="en-US" w:eastAsia="zh-CN"/>
        </w:rPr>
        <w:t>反映动植物资源生态环境调查、监测、保护管理、野外放（回）归、巡护、野生动物疫源疫病监测防控、濒危野生动植物拯救、繁育及进出口管理等方面的支出。</w:t>
      </w:r>
    </w:p>
    <w:p w14:paraId="667155DE">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30、农林水支出（类）林业和草原（款）其他林业和草原支出（项）：</w:t>
      </w:r>
      <w:r>
        <w:rPr>
          <w:rFonts w:hint="eastAsia" w:ascii="仿宋_GB2312" w:hAnsi="仿宋_GB2312" w:eastAsia="仿宋_GB2312" w:cs="仿宋_GB2312"/>
          <w:b w:val="0"/>
          <w:bCs w:val="0"/>
          <w:sz w:val="32"/>
          <w:szCs w:val="32"/>
          <w:lang w:val="en-US" w:eastAsia="zh-CN"/>
        </w:rPr>
        <w:t>反映除上述项目以外其他用于林业和草原方面的支出。</w:t>
      </w:r>
    </w:p>
    <w:p w14:paraId="0D39463A">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31、农林水支出（类）水利（款）防汛（项）：</w:t>
      </w:r>
      <w:r>
        <w:rPr>
          <w:rFonts w:hint="eastAsia" w:ascii="仿宋_GB2312" w:hAnsi="仿宋_GB2312" w:eastAsia="仿宋_GB2312" w:cs="仿宋_GB2312"/>
          <w:b w:val="0"/>
          <w:bCs w:val="0"/>
          <w:sz w:val="32"/>
          <w:szCs w:val="32"/>
          <w:lang w:val="en-US" w:eastAsia="zh-CN"/>
        </w:rPr>
        <w:t>反映防汛业务支出。有关事项包括防汛物资购置管护，防汛通信设施设备、网络系统、车船设备运行维护，防汛值班、水情报讯、防汛指挥系统运行维护、水毁修复以及防汛组织（如防汛预案编制、检查、演习、宣传、会议等），汛期调用民工及劳动保护，水利设施灾后重建，退田还湖，蓄滞洪区补偿、水情、雨情、决策支持，防汛视频会商，应急度汛，山洪灾害防治等。</w:t>
      </w:r>
    </w:p>
    <w:p w14:paraId="7BE769ED">
      <w:pPr>
        <w:pStyle w:val="6"/>
        <w:spacing w:line="560" w:lineRule="exact"/>
        <w:ind w:firstLine="643"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32、农林水支出（类）水利（款）其他水利支出（项）：</w:t>
      </w:r>
      <w:r>
        <w:rPr>
          <w:rFonts w:hint="eastAsia" w:ascii="仿宋_GB2312" w:hAnsi="仿宋_GB2312" w:eastAsia="仿宋_GB2312" w:cs="仿宋_GB2312"/>
          <w:b w:val="0"/>
          <w:bCs w:val="0"/>
          <w:sz w:val="32"/>
          <w:szCs w:val="32"/>
          <w:lang w:val="en-US" w:eastAsia="zh-CN"/>
        </w:rPr>
        <w:t>反映除上述项目以外其他用于水利方面的支出。</w:t>
      </w:r>
    </w:p>
    <w:p w14:paraId="6DC4B29E">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33、住房保障支出（类）住房改革支出（款）住房公积金（项）：</w:t>
      </w:r>
      <w:r>
        <w:rPr>
          <w:rFonts w:hint="eastAsia" w:ascii="仿宋_GB2312" w:hAnsi="仿宋_GB2312" w:eastAsia="仿宋_GB2312" w:cs="仿宋_GB2312"/>
          <w:b w:val="0"/>
          <w:bCs w:val="0"/>
          <w:sz w:val="32"/>
          <w:szCs w:val="32"/>
          <w:lang w:val="en-US" w:eastAsia="zh-CN"/>
        </w:rPr>
        <w:t>反映行政事业单位按人力资源和社会保障部、财政部规定的基本工资和津贴补贴以及规定比例为职工缴纳的住房公积金。</w:t>
      </w:r>
    </w:p>
    <w:p w14:paraId="1D166697">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34、住房保障支出（类）住房改革支出（款）购房补贴（项）：</w:t>
      </w:r>
      <w:r>
        <w:rPr>
          <w:rFonts w:hint="eastAsia" w:ascii="仿宋_GB2312" w:hAnsi="仿宋_GB2312" w:eastAsia="仿宋_GB2312" w:cs="仿宋_GB2312"/>
          <w:b w:val="0"/>
          <w:bCs w:val="0"/>
          <w:sz w:val="32"/>
          <w:szCs w:val="32"/>
          <w:lang w:val="en-US" w:eastAsia="zh-CN"/>
        </w:rPr>
        <w:t>反映按房改政策规定，行政事业单位向符合条件职工（含离退休人员）、军队（含武警）向转役复员离退休人员发放的用于购买住房的补贴。</w:t>
      </w:r>
    </w:p>
    <w:p w14:paraId="4314D8BB">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35、灾害防治及应急管理支出（类）应急管理事务（款）其他应急管理支出（项）：</w:t>
      </w:r>
      <w:r>
        <w:rPr>
          <w:rFonts w:hint="eastAsia" w:ascii="仿宋_GB2312" w:hAnsi="仿宋_GB2312" w:eastAsia="仿宋_GB2312" w:cs="仿宋_GB2312"/>
          <w:b w:val="0"/>
          <w:bCs w:val="0"/>
          <w:sz w:val="32"/>
          <w:szCs w:val="32"/>
          <w:lang w:val="en-US" w:eastAsia="zh-CN"/>
        </w:rPr>
        <w:t>反映除上述项目外的其他应急管理方面的支出。</w:t>
      </w:r>
    </w:p>
    <w:p w14:paraId="189D0CB2">
      <w:pPr>
        <w:pStyle w:val="6"/>
        <w:spacing w:line="560" w:lineRule="exac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36、灾害防治及应急管理支出（类）消防事务（款）消防应急救援（项）：</w:t>
      </w:r>
      <w:r>
        <w:rPr>
          <w:rFonts w:hint="eastAsia" w:ascii="仿宋_GB2312" w:hAnsi="仿宋_GB2312" w:eastAsia="仿宋_GB2312" w:cs="仿宋_GB2312"/>
          <w:b w:val="0"/>
          <w:bCs w:val="0"/>
          <w:sz w:val="32"/>
          <w:szCs w:val="32"/>
          <w:lang w:val="en-US" w:eastAsia="zh-CN"/>
        </w:rPr>
        <w:t>反映用于国家综合性消防救援队伍装备购置、基础设施及运行维护等方面的支出。</w:t>
      </w:r>
    </w:p>
    <w:p w14:paraId="33C549A9">
      <w:pPr>
        <w:pStyle w:val="6"/>
        <w:spacing w:line="560" w:lineRule="exact"/>
        <w:ind w:firstLine="640"/>
        <w:jc w:val="both"/>
        <w:rPr>
          <w:rFonts w:hint="eastAsia" w:ascii="仿宋_GB2312" w:hAnsi="仿宋_GB2312" w:eastAsia="仿宋_GB2312" w:cs="仿宋_GB2312"/>
          <w:i/>
          <w:sz w:val="32"/>
          <w:szCs w:val="32"/>
          <w:u w:val="single"/>
        </w:rPr>
      </w:pPr>
    </w:p>
    <w:p w14:paraId="1C4080DD">
      <w:pPr>
        <w:pStyle w:val="6"/>
        <w:spacing w:line="560" w:lineRule="atLeast"/>
        <w:jc w:val="both"/>
        <w:rPr>
          <w:rFonts w:hint="eastAsia" w:ascii="仿宋_GB2312" w:hAnsi="仿宋_GB2312" w:eastAsia="仿宋_GB2312" w:cs="仿宋_GB2312"/>
          <w:b/>
          <w:sz w:val="32"/>
          <w:szCs w:val="32"/>
        </w:rPr>
      </w:pPr>
    </w:p>
    <w:p w14:paraId="41AD2E18">
      <w:pPr>
        <w:pStyle w:val="6"/>
        <w:spacing w:line="560" w:lineRule="atLeast"/>
        <w:jc w:val="both"/>
        <w:rPr>
          <w:rFonts w:hint="eastAsia" w:ascii="仿宋_GB2312" w:hAnsi="仿宋_GB2312" w:eastAsia="仿宋_GB2312" w:cs="仿宋_GB2312"/>
          <w:b/>
          <w:sz w:val="32"/>
          <w:szCs w:val="32"/>
        </w:rPr>
      </w:pPr>
    </w:p>
    <w:p w14:paraId="61E11909">
      <w:pPr>
        <w:pStyle w:val="6"/>
        <w:spacing w:line="560" w:lineRule="atLeast"/>
        <w:jc w:val="both"/>
        <w:rPr>
          <w:rFonts w:hint="eastAsia" w:ascii="仿宋_GB2312" w:hAnsi="仿宋_GB2312" w:eastAsia="仿宋_GB2312" w:cs="仿宋_GB2312"/>
          <w:b/>
          <w:sz w:val="32"/>
          <w:szCs w:val="32"/>
        </w:rPr>
      </w:pPr>
    </w:p>
    <w:p w14:paraId="7F2B2B11">
      <w:pPr>
        <w:pStyle w:val="6"/>
        <w:spacing w:line="560" w:lineRule="atLeast"/>
        <w:jc w:val="both"/>
        <w:rPr>
          <w:rFonts w:hint="eastAsia" w:ascii="仿宋_GB2312" w:hAnsi="仿宋_GB2312" w:eastAsia="仿宋_GB2312" w:cs="仿宋_GB2312"/>
          <w:b/>
          <w:sz w:val="32"/>
          <w:szCs w:val="32"/>
        </w:rPr>
      </w:pPr>
    </w:p>
    <w:p w14:paraId="2BC97486">
      <w:pPr>
        <w:pStyle w:val="6"/>
        <w:spacing w:line="560" w:lineRule="atLeast"/>
        <w:jc w:val="both"/>
        <w:rPr>
          <w:rFonts w:hint="eastAsia" w:ascii="仿宋_GB2312" w:hAnsi="仿宋_GB2312" w:eastAsia="仿宋_GB2312" w:cs="仿宋_GB2312"/>
          <w:b/>
          <w:sz w:val="32"/>
          <w:szCs w:val="32"/>
        </w:rPr>
      </w:pPr>
    </w:p>
    <w:p w14:paraId="6E9484D9">
      <w:pPr>
        <w:pStyle w:val="6"/>
        <w:spacing w:line="560" w:lineRule="atLeast"/>
        <w:jc w:val="both"/>
        <w:rPr>
          <w:rFonts w:hint="eastAsia" w:ascii="仿宋_GB2312" w:hAnsi="仿宋_GB2312" w:eastAsia="仿宋_GB2312" w:cs="仿宋_GB2312"/>
          <w:b/>
          <w:sz w:val="32"/>
          <w:szCs w:val="32"/>
        </w:rPr>
      </w:pPr>
    </w:p>
    <w:p w14:paraId="04D0B74D">
      <w:pPr>
        <w:pStyle w:val="6"/>
        <w:spacing w:line="560" w:lineRule="atLeast"/>
        <w:jc w:val="both"/>
        <w:rPr>
          <w:rFonts w:hint="eastAsia" w:ascii="仿宋_GB2312" w:hAnsi="仿宋_GB2312" w:eastAsia="仿宋_GB2312" w:cs="仿宋_GB2312"/>
          <w:b/>
          <w:sz w:val="32"/>
          <w:szCs w:val="32"/>
        </w:rPr>
      </w:pPr>
    </w:p>
    <w:p w14:paraId="51FEF1EF">
      <w:pPr>
        <w:pStyle w:val="6"/>
        <w:spacing w:line="560" w:lineRule="atLeast"/>
        <w:jc w:val="both"/>
        <w:rPr>
          <w:rFonts w:hint="eastAsia" w:ascii="仿宋_GB2312" w:hAnsi="仿宋_GB2312" w:eastAsia="仿宋_GB2312" w:cs="仿宋_GB2312"/>
          <w:b/>
          <w:sz w:val="32"/>
          <w:szCs w:val="32"/>
        </w:rPr>
      </w:pPr>
    </w:p>
    <w:p w14:paraId="2EF3269C">
      <w:pPr>
        <w:pStyle w:val="6"/>
        <w:spacing w:line="560" w:lineRule="atLeast"/>
        <w:jc w:val="both"/>
        <w:rPr>
          <w:rFonts w:hint="eastAsia" w:ascii="仿宋_GB2312" w:hAnsi="仿宋_GB2312" w:eastAsia="仿宋_GB2312" w:cs="仿宋_GB2312"/>
          <w:b/>
          <w:sz w:val="32"/>
          <w:szCs w:val="32"/>
        </w:rPr>
      </w:pPr>
    </w:p>
    <w:p w14:paraId="1C8DB84C">
      <w:pPr>
        <w:pStyle w:val="6"/>
        <w:spacing w:line="560" w:lineRule="atLeast"/>
        <w:jc w:val="both"/>
        <w:rPr>
          <w:rFonts w:hint="eastAsia" w:ascii="仿宋_GB2312" w:hAnsi="仿宋_GB2312" w:eastAsia="仿宋_GB2312" w:cs="仿宋_GB2312"/>
          <w:b/>
          <w:sz w:val="32"/>
          <w:szCs w:val="32"/>
        </w:rPr>
      </w:pPr>
    </w:p>
    <w:p w14:paraId="2BADA2C7">
      <w:pPr>
        <w:pStyle w:val="6"/>
        <w:spacing w:line="560" w:lineRule="atLeast"/>
        <w:jc w:val="both"/>
        <w:rPr>
          <w:rFonts w:hint="eastAsia" w:ascii="仿宋_GB2312" w:hAnsi="仿宋_GB2312" w:eastAsia="仿宋_GB2312" w:cs="仿宋_GB2312"/>
          <w:b/>
          <w:sz w:val="32"/>
          <w:szCs w:val="32"/>
        </w:rPr>
      </w:pPr>
    </w:p>
    <w:p w14:paraId="64B189B5">
      <w:pPr>
        <w:pStyle w:val="6"/>
        <w:spacing w:line="560" w:lineRule="atLeast"/>
        <w:jc w:val="both"/>
        <w:rPr>
          <w:rFonts w:hint="eastAsia" w:ascii="仿宋_GB2312" w:hAnsi="仿宋_GB2312" w:eastAsia="仿宋_GB2312" w:cs="仿宋_GB2312"/>
          <w:b/>
          <w:sz w:val="32"/>
          <w:szCs w:val="32"/>
        </w:rPr>
      </w:pPr>
    </w:p>
    <w:p w14:paraId="7ED244E4">
      <w:pPr>
        <w:pStyle w:val="6"/>
        <w:spacing w:line="560" w:lineRule="atLeast"/>
        <w:jc w:val="both"/>
        <w:rPr>
          <w:rFonts w:hint="eastAsia" w:ascii="仿宋_GB2312" w:hAnsi="仿宋_GB2312" w:eastAsia="仿宋_GB2312" w:cs="仿宋_GB2312"/>
          <w:b/>
          <w:sz w:val="32"/>
          <w:szCs w:val="32"/>
        </w:rPr>
      </w:pPr>
    </w:p>
    <w:p w14:paraId="5EDA97C2">
      <w:pPr>
        <w:pStyle w:val="6"/>
        <w:spacing w:line="560" w:lineRule="atLeast"/>
        <w:jc w:val="both"/>
        <w:rPr>
          <w:rFonts w:hint="eastAsia" w:ascii="仿宋_GB2312" w:hAnsi="仿宋_GB2312" w:eastAsia="仿宋_GB2312" w:cs="仿宋_GB2312"/>
          <w:b/>
          <w:sz w:val="32"/>
          <w:szCs w:val="32"/>
        </w:rPr>
      </w:pPr>
    </w:p>
    <w:p w14:paraId="3841198A">
      <w:pPr>
        <w:pStyle w:val="6"/>
        <w:spacing w:line="560" w:lineRule="atLeast"/>
        <w:jc w:val="both"/>
        <w:rPr>
          <w:rFonts w:hint="eastAsia" w:ascii="仿宋_GB2312" w:hAnsi="仿宋_GB2312" w:eastAsia="仿宋_GB2312" w:cs="仿宋_GB2312"/>
          <w:b/>
          <w:sz w:val="32"/>
          <w:szCs w:val="32"/>
        </w:rPr>
      </w:pPr>
    </w:p>
    <w:p w14:paraId="49A943A1">
      <w:pPr>
        <w:pStyle w:val="6"/>
        <w:spacing w:line="560" w:lineRule="atLeast"/>
        <w:jc w:val="both"/>
        <w:rPr>
          <w:rFonts w:hint="eastAsia" w:ascii="仿宋_GB2312" w:hAnsi="仿宋_GB2312" w:eastAsia="仿宋_GB2312" w:cs="仿宋_GB2312"/>
          <w:b/>
          <w:sz w:val="32"/>
          <w:szCs w:val="32"/>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2BA8D43A">
      <w:pPr>
        <w:pStyle w:val="6"/>
        <w:spacing w:line="560" w:lineRule="atLeast"/>
        <w:jc w:val="both"/>
        <w:rPr>
          <w:rFonts w:hint="eastAsia" w:ascii="仿宋_GB2312" w:hAnsi="仿宋_GB2312" w:eastAsia="仿宋_GB2312" w:cs="仿宋_GB2312"/>
          <w:b/>
          <w:sz w:val="32"/>
          <w:szCs w:val="32"/>
        </w:rPr>
      </w:pPr>
    </w:p>
    <w:p w14:paraId="091904FC">
      <w:pPr>
        <w:pStyle w:val="6"/>
        <w:spacing w:line="560" w:lineRule="atLeast"/>
        <w:jc w:val="both"/>
        <w:rPr>
          <w:rFonts w:hint="eastAsia" w:ascii="仿宋_GB2312" w:hAnsi="仿宋_GB2312" w:eastAsia="仿宋_GB2312" w:cs="仿宋_GB2312"/>
          <w:b/>
          <w:sz w:val="32"/>
          <w:szCs w:val="32"/>
        </w:rPr>
      </w:pPr>
    </w:p>
    <w:p w14:paraId="19930A8D">
      <w:pPr>
        <w:pStyle w:val="6"/>
        <w:spacing w:line="560" w:lineRule="atLeast"/>
        <w:jc w:val="both"/>
        <w:rPr>
          <w:rFonts w:hint="eastAsia" w:ascii="仿宋_GB2312" w:hAnsi="仿宋_GB2312" w:eastAsia="仿宋_GB2312" w:cs="仿宋_GB2312"/>
          <w:b/>
          <w:sz w:val="32"/>
          <w:szCs w:val="32"/>
        </w:rPr>
      </w:pPr>
    </w:p>
    <w:p w14:paraId="66112A8F">
      <w:pPr>
        <w:pStyle w:val="6"/>
        <w:spacing w:line="560" w:lineRule="atLeast"/>
        <w:jc w:val="both"/>
        <w:rPr>
          <w:rFonts w:hint="eastAsia" w:ascii="仿宋_GB2312" w:hAnsi="仿宋_GB2312" w:eastAsia="仿宋_GB2312" w:cs="仿宋_GB2312"/>
          <w:b/>
          <w:sz w:val="32"/>
          <w:szCs w:val="32"/>
        </w:rPr>
      </w:pPr>
    </w:p>
    <w:p w14:paraId="64787CF9">
      <w:pPr>
        <w:pStyle w:val="6"/>
        <w:numPr>
          <w:ilvl w:val="0"/>
          <w:numId w:val="2"/>
        </w:numPr>
        <w:spacing w:line="560" w:lineRule="atLeast"/>
        <w:jc w:val="both"/>
        <w:rPr>
          <w:rFonts w:hint="eastAsia" w:ascii="仿宋_GB2312" w:hAnsi="仿宋_GB2312" w:eastAsia="仿宋_GB2312" w:cs="仿宋_GB2312"/>
          <w:b/>
          <w:sz w:val="52"/>
          <w:szCs w:val="52"/>
          <w:lang w:val="en-US" w:eastAsia="zh-CN"/>
        </w:rPr>
      </w:pPr>
      <w:r>
        <w:rPr>
          <w:rFonts w:hint="eastAsia" w:ascii="仿宋_GB2312" w:hAnsi="仿宋_GB2312" w:eastAsia="仿宋_GB2312" w:cs="仿宋_GB2312"/>
          <w:b/>
          <w:sz w:val="52"/>
          <w:szCs w:val="52"/>
          <w:lang w:val="en-US" w:eastAsia="zh-CN"/>
        </w:rPr>
        <w:t>沈阳棋盘山国际风景旅游开发区管理委员会</w:t>
      </w:r>
    </w:p>
    <w:p w14:paraId="5F892CFE">
      <w:pPr>
        <w:pStyle w:val="6"/>
        <w:numPr>
          <w:ilvl w:val="0"/>
          <w:numId w:val="0"/>
        </w:numPr>
        <w:spacing w:line="560" w:lineRule="atLeast"/>
        <w:ind w:firstLine="5742" w:firstLineChars="1100"/>
        <w:jc w:val="both"/>
        <w:rPr>
          <w:rFonts w:hint="eastAsia" w:ascii="仿宋_GB2312" w:hAnsi="仿宋_GB2312" w:eastAsia="仿宋_GB2312" w:cs="仿宋_GB2312"/>
          <w:b/>
          <w:sz w:val="32"/>
          <w:szCs w:val="32"/>
        </w:rPr>
      </w:pPr>
      <w:r>
        <w:rPr>
          <w:rFonts w:hint="eastAsia"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hint="eastAsia" w:ascii="仿宋_GB2312" w:hAnsi="仿宋_GB2312" w:eastAsia="仿宋_GB2312" w:cs="仿宋_GB2312"/>
          <w:b/>
          <w:sz w:val="52"/>
          <w:szCs w:val="52"/>
        </w:rPr>
        <w:t>年度决算表</w:t>
      </w:r>
    </w:p>
    <w:p w14:paraId="5489F55F">
      <w:pPr>
        <w:jc w:val="both"/>
        <w:rPr>
          <w:rFonts w:hint="eastAsia" w:ascii="仿宋_GB2312" w:hAnsi="仿宋_GB2312" w:eastAsia="仿宋_GB2312" w:cs="仿宋_GB2312"/>
          <w:kern w:val="0"/>
          <w:sz w:val="32"/>
          <w:szCs w:val="32"/>
        </w:rPr>
      </w:pPr>
    </w:p>
    <w:p w14:paraId="2E5761C4">
      <w:pPr>
        <w:jc w:val="both"/>
        <w:rPr>
          <w:rFonts w:hint="eastAsia" w:ascii="仿宋_GB2312" w:hAnsi="仿宋_GB2312" w:eastAsia="仿宋_GB2312" w:cs="仿宋_GB2312"/>
          <w:kern w:val="0"/>
          <w:sz w:val="32"/>
          <w:szCs w:val="32"/>
        </w:rPr>
      </w:pPr>
    </w:p>
    <w:p w14:paraId="6485BD62">
      <w:pPr>
        <w:jc w:val="both"/>
        <w:rPr>
          <w:rFonts w:hint="eastAsia" w:ascii="仿宋_GB2312" w:hAnsi="仿宋_GB2312" w:eastAsia="仿宋_GB2312" w:cs="仿宋_GB2312"/>
          <w:kern w:val="0"/>
          <w:sz w:val="32"/>
          <w:szCs w:val="32"/>
        </w:rPr>
      </w:pPr>
    </w:p>
    <w:p w14:paraId="1709D035">
      <w:pPr>
        <w:jc w:val="both"/>
        <w:rPr>
          <w:rFonts w:hint="eastAsia" w:ascii="仿宋_GB2312" w:hAnsi="仿宋_GB2312" w:eastAsia="仿宋_GB2312" w:cs="仿宋_GB2312"/>
          <w:kern w:val="0"/>
          <w:sz w:val="32"/>
          <w:szCs w:val="32"/>
        </w:rPr>
      </w:pPr>
    </w:p>
    <w:p w14:paraId="3CB09DFA">
      <w:pPr>
        <w:jc w:val="both"/>
        <w:rPr>
          <w:rFonts w:hint="eastAsia" w:ascii="仿宋_GB2312" w:hAnsi="仿宋_GB2312" w:eastAsia="仿宋_GB2312" w:cs="仿宋_GB2312"/>
          <w:kern w:val="0"/>
          <w:sz w:val="32"/>
          <w:szCs w:val="32"/>
        </w:rPr>
      </w:pPr>
    </w:p>
    <w:p w14:paraId="5F110FC6">
      <w:pPr>
        <w:jc w:val="both"/>
        <w:rPr>
          <w:rFonts w:hint="eastAsia" w:ascii="仿宋_GB2312" w:hAnsi="仿宋_GB2312" w:eastAsia="仿宋_GB2312" w:cs="仿宋_GB2312"/>
          <w:kern w:val="0"/>
          <w:sz w:val="32"/>
          <w:szCs w:val="32"/>
        </w:rPr>
      </w:pPr>
    </w:p>
    <w:p w14:paraId="1FA996BE">
      <w:pPr>
        <w:jc w:val="both"/>
        <w:rPr>
          <w:rFonts w:hint="eastAsia" w:ascii="仿宋_GB2312" w:hAnsi="仿宋_GB2312" w:eastAsia="仿宋_GB2312" w:cs="仿宋_GB2312"/>
          <w:b/>
          <w:sz w:val="32"/>
          <w:szCs w:val="32"/>
        </w:rPr>
      </w:pPr>
    </w:p>
    <w:p w14:paraId="3B40A4F3">
      <w:pPr>
        <w:jc w:val="both"/>
        <w:rPr>
          <w:rFonts w:hint="eastAsia" w:ascii="仿宋_GB2312" w:hAnsi="仿宋_GB2312" w:eastAsia="仿宋_GB2312" w:cs="仿宋_GB2312"/>
          <w:b/>
          <w:sz w:val="32"/>
          <w:szCs w:val="32"/>
        </w:rPr>
      </w:pPr>
    </w:p>
    <w:p w14:paraId="63B0561E">
      <w:pPr>
        <w:jc w:val="both"/>
        <w:rPr>
          <w:rFonts w:hint="eastAsia" w:ascii="仿宋_GB2312" w:hAnsi="仿宋_GB2312" w:eastAsia="仿宋_GB2312" w:cs="仿宋_GB2312"/>
          <w:b/>
          <w:sz w:val="32"/>
          <w:szCs w:val="32"/>
        </w:rPr>
      </w:pPr>
    </w:p>
    <w:p w14:paraId="05E9BAF0">
      <w:pPr>
        <w:numPr>
          <w:ilvl w:val="0"/>
          <w:numId w:val="3"/>
        </w:numPr>
        <w:jc w:val="center"/>
        <w:rPr>
          <w:rFonts w:hint="eastAsia" w:ascii="仿宋_GB2312" w:hAnsi="仿宋_GB2312" w:eastAsia="仿宋_GB2312" w:cs="仿宋_GB2312"/>
          <w:b/>
          <w:sz w:val="52"/>
          <w:szCs w:val="52"/>
          <w:lang w:eastAsia="zh-CN"/>
        </w:rPr>
      </w:pPr>
      <w:r>
        <w:rPr>
          <w:rFonts w:hint="eastAsia" w:ascii="仿宋_GB2312" w:hAnsi="仿宋_GB2312" w:eastAsia="仿宋_GB2312" w:cs="仿宋_GB2312"/>
          <w:b/>
          <w:sz w:val="52"/>
          <w:szCs w:val="52"/>
          <w:lang w:eastAsia="zh-CN"/>
        </w:rPr>
        <w:t>附件</w:t>
      </w:r>
    </w:p>
    <w:p w14:paraId="4C8AB53C">
      <w:pPr>
        <w:widowControl w:val="0"/>
        <w:numPr>
          <w:ilvl w:val="0"/>
          <w:numId w:val="0"/>
        </w:numPr>
        <w:jc w:val="both"/>
        <w:rPr>
          <w:rFonts w:hint="eastAsia" w:ascii="仿宋_GB2312" w:hAnsi="仿宋_GB2312" w:eastAsia="仿宋_GB2312" w:cs="仿宋_GB2312"/>
          <w:b/>
          <w:sz w:val="32"/>
          <w:szCs w:val="32"/>
          <w:lang w:eastAsia="zh-CN"/>
        </w:rPr>
      </w:pPr>
    </w:p>
    <w:p w14:paraId="57564BE9">
      <w:pPr>
        <w:widowControl w:val="0"/>
        <w:numPr>
          <w:ilvl w:val="0"/>
          <w:numId w:val="0"/>
        </w:numPr>
        <w:jc w:val="both"/>
        <w:rPr>
          <w:rFonts w:hint="eastAsia" w:ascii="仿宋_GB2312" w:hAnsi="仿宋_GB2312" w:eastAsia="仿宋_GB2312" w:cs="仿宋_GB2312"/>
          <w:b/>
          <w:sz w:val="32"/>
          <w:szCs w:val="32"/>
          <w:lang w:eastAsia="zh-CN"/>
        </w:rPr>
      </w:pPr>
    </w:p>
    <w:p w14:paraId="6A134D2B">
      <w:pPr>
        <w:widowControl w:val="0"/>
        <w:numPr>
          <w:ilvl w:val="0"/>
          <w:numId w:val="0"/>
        </w:numPr>
        <w:jc w:val="both"/>
        <w:rPr>
          <w:rFonts w:hint="eastAsia" w:ascii="仿宋_GB2312" w:hAnsi="仿宋_GB2312" w:eastAsia="仿宋_GB2312" w:cs="仿宋_GB2312"/>
          <w:b/>
          <w:sz w:val="32"/>
          <w:szCs w:val="32"/>
          <w:lang w:eastAsia="zh-CN"/>
        </w:rPr>
      </w:pPr>
    </w:p>
    <w:p w14:paraId="681E71FF">
      <w:pPr>
        <w:widowControl w:val="0"/>
        <w:numPr>
          <w:ilvl w:val="0"/>
          <w:numId w:val="0"/>
        </w:numPr>
        <w:jc w:val="both"/>
        <w:rPr>
          <w:rFonts w:hint="eastAsia" w:ascii="仿宋_GB2312" w:hAnsi="仿宋_GB2312" w:eastAsia="仿宋_GB2312" w:cs="仿宋_GB2312"/>
          <w:b/>
          <w:sz w:val="32"/>
          <w:szCs w:val="32"/>
          <w:lang w:eastAsia="zh-CN"/>
        </w:rPr>
      </w:pPr>
    </w:p>
    <w:p w14:paraId="137A06D2">
      <w:pPr>
        <w:jc w:val="both"/>
        <w:rPr>
          <w:rFonts w:hint="eastAsia" w:ascii="仿宋_GB2312" w:hAnsi="仿宋_GB2312" w:eastAsia="仿宋_GB2312" w:cs="仿宋_GB2312"/>
          <w:kern w:val="0"/>
          <w:sz w:val="32"/>
          <w:szCs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E6EF7">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ABEA9">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F11B4F"/>
    <w:multiLevelType w:val="singleLevel"/>
    <w:tmpl w:val="8CF11B4F"/>
    <w:lvl w:ilvl="0" w:tentative="0">
      <w:start w:val="2"/>
      <w:numFmt w:val="chineseCounting"/>
      <w:suff w:val="nothing"/>
      <w:lvlText w:val="（%1）"/>
      <w:lvlJc w:val="left"/>
      <w:rPr>
        <w:rFonts w:hint="eastAsia"/>
      </w:r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abstractNum w:abstractNumId="2">
    <w:nsid w:val="5AF862C9"/>
    <w:multiLevelType w:val="singleLevel"/>
    <w:tmpl w:val="5AF862C9"/>
    <w:lvl w:ilvl="0" w:tentative="0">
      <w:start w:val="4"/>
      <w:numFmt w:val="chineseCounting"/>
      <w:suff w:val="space"/>
      <w:lvlText w:val="第%1部分"/>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70C02D8"/>
    <w:rsid w:val="082C6248"/>
    <w:rsid w:val="08FE7CE1"/>
    <w:rsid w:val="09285011"/>
    <w:rsid w:val="09C4782E"/>
    <w:rsid w:val="0BFB6843"/>
    <w:rsid w:val="0ECB7368"/>
    <w:rsid w:val="0FD91C07"/>
    <w:rsid w:val="11612EA5"/>
    <w:rsid w:val="123A66F0"/>
    <w:rsid w:val="12CC5588"/>
    <w:rsid w:val="13105812"/>
    <w:rsid w:val="131E2240"/>
    <w:rsid w:val="16C70A20"/>
    <w:rsid w:val="1B9703C5"/>
    <w:rsid w:val="1C635C29"/>
    <w:rsid w:val="1C6537BA"/>
    <w:rsid w:val="266F7F1B"/>
    <w:rsid w:val="286C4199"/>
    <w:rsid w:val="28977847"/>
    <w:rsid w:val="2A3D2189"/>
    <w:rsid w:val="2E4F6256"/>
    <w:rsid w:val="36230505"/>
    <w:rsid w:val="3BA207ED"/>
    <w:rsid w:val="3F9D5476"/>
    <w:rsid w:val="416C3568"/>
    <w:rsid w:val="43ED4466"/>
    <w:rsid w:val="451F4B74"/>
    <w:rsid w:val="457637FB"/>
    <w:rsid w:val="46CA2860"/>
    <w:rsid w:val="474C6DD1"/>
    <w:rsid w:val="481F3B43"/>
    <w:rsid w:val="48731977"/>
    <w:rsid w:val="493128A6"/>
    <w:rsid w:val="4BD50DD7"/>
    <w:rsid w:val="4BED2867"/>
    <w:rsid w:val="51E4739C"/>
    <w:rsid w:val="51F65B08"/>
    <w:rsid w:val="520B7606"/>
    <w:rsid w:val="53430A03"/>
    <w:rsid w:val="54F6469B"/>
    <w:rsid w:val="574517F6"/>
    <w:rsid w:val="59C52B8D"/>
    <w:rsid w:val="5AE93939"/>
    <w:rsid w:val="5AE973A2"/>
    <w:rsid w:val="5B697371"/>
    <w:rsid w:val="5B6D3744"/>
    <w:rsid w:val="5C8A6AB3"/>
    <w:rsid w:val="5D802D36"/>
    <w:rsid w:val="5DA809FA"/>
    <w:rsid w:val="5ED62458"/>
    <w:rsid w:val="628F7873"/>
    <w:rsid w:val="65837118"/>
    <w:rsid w:val="66094FEA"/>
    <w:rsid w:val="66D23B07"/>
    <w:rsid w:val="67277FC8"/>
    <w:rsid w:val="673C6F2C"/>
    <w:rsid w:val="6DA15E5C"/>
    <w:rsid w:val="6FE5071F"/>
    <w:rsid w:val="70C70595"/>
    <w:rsid w:val="724179B2"/>
    <w:rsid w:val="72A046D5"/>
    <w:rsid w:val="75A51BAA"/>
    <w:rsid w:val="770F5700"/>
    <w:rsid w:val="78C1036E"/>
    <w:rsid w:val="7B5E2E51"/>
    <w:rsid w:val="7CAF4F32"/>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autoRedefine/>
    <w:qFormat/>
    <w:uiPriority w:val="0"/>
    <w:pPr>
      <w:widowControl/>
    </w:pPr>
    <w:rPr>
      <w:rFonts w:ascii="宋体" w:hAnsi="宋体"/>
    </w:rPr>
  </w:style>
  <w:style w:type="character" w:customStyle="1" w:styleId="7">
    <w:name w:val="页眉 Char"/>
    <w:basedOn w:val="5"/>
    <w:link w:val="3"/>
    <w:autoRedefine/>
    <w:qFormat/>
    <w:uiPriority w:val="0"/>
    <w:rPr>
      <w:rFonts w:ascii="Times New Roman" w:hAnsi="Times New Roman" w:eastAsia="宋体"/>
      <w:kern w:val="2"/>
      <w:sz w:val="18"/>
      <w:szCs w:val="18"/>
    </w:rPr>
  </w:style>
  <w:style w:type="character" w:customStyle="1" w:styleId="8">
    <w:name w:val="页脚 Char"/>
    <w:basedOn w:val="5"/>
    <w:link w:val="2"/>
    <w:autoRedefine/>
    <w:qFormat/>
    <w:uiPriority w:val="0"/>
    <w:rPr>
      <w:rFonts w:ascii="Times New Roman" w:hAnsi="Times New Roman" w:eastAsia="宋体"/>
      <w:kern w:val="2"/>
      <w:sz w:val="18"/>
      <w:szCs w:val="18"/>
    </w:rPr>
  </w:style>
  <w:style w:type="paragraph" w:customStyle="1" w:styleId="9">
    <w:name w:val="p15"/>
    <w:basedOn w:val="1"/>
    <w:autoRedefine/>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12742</Words>
  <Characters>13601</Characters>
  <Lines>37</Lines>
  <Paragraphs>10</Paragraphs>
  <TotalTime>2</TotalTime>
  <ScaleCrop>false</ScaleCrop>
  <LinksUpToDate>false</LinksUpToDate>
  <CharactersWithSpaces>13640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2024-10-23T06:43:37Z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D8C3D86190044CF79FC5E9FC38194C98_13</vt:lpwstr>
  </property>
</Properties>
</file>