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辽宁省国家统计局浑南调查队</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辽宁省国家统计局浑南调查队</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辽宁省国家统计局浑南调查队</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辽宁省国家统计局浑南调查队</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辽宁省国家统计局浑南调查队</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辽宁省国家统计局浑南调查队概况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国家统计局浑南调查队本级贯彻落实党中央关于财政工作的方针政策和决策部署及省委有关要求，在履行职责过程中坚持和加强党对财政工作的集中统一领导。主要职责是：</w:t>
        <w:br/>
        <w:t xml:space="preserve">    （一）完成国家统计局布置的各项统计调查任务，接受地方政府交办的有关调查任务，完成上级调查队交办的地方调查任务，协助地方统计局完成重大国情国力调查任务。</w:t>
        <w:br/>
        <w:t xml:space="preserve">    （二）负责查处调查队组织实施的统计调查中发生的统计违法行为。</w:t>
        <w:br/>
        <w:t xml:space="preserve">    （三）完成国家统计局和上级调查队交办的其它调查。</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辽宁省国家统计局浑南调查队</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国家统计局浑南调查队本级，本单位无下设机构。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30.15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30.15</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30.15</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减少44.80万元，降低59.78%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统计调查相关工作业务量减少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30.15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30.15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主要包括统计调查相关的一般公共服务支出等业务支出。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减少44.80万元，降低59.78%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统计调查相关工作业务量减少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年末无结转结余资金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30.15</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30.15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减少44.80万元，降低59.78%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统计调查相关工作业务量减少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40.96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40.96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2024年度一般公共预算财政拨款支出30.15万元。按支出功能分类科目分，包括：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1.一般公共服务支出30.15万元，具体包括：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（1）一般公共服务支出（类）统计信息事务（款）统计抽样调查（项）30.15万元,主要是统计调查等支出，完成年初预算的40.96%，决算数与年初预算数存在差异的主要原因是上级单位拨付部分调查经费。</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1.整体绩效自评及结果。</w:t>
        <w:br/>
        <w:t xml:space="preserve">    本部门为中直单位，未在区里开展整体绩效自评。</w:t>
        <w:br/>
        <w:t xml:space="preserve">    2.项目绩效自评情况及结果。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30.15万元。其中，一般公共预算资金30.15万元，占资金总额的100%；政府性基金预算资金0万元，占0%；国有资本经营预算资金0万元，占0%。通过全面开展绩效评价，旨在全面检验财政资金的使用效益和政策的实施效果。</w:t>
        <w:br/>
        <w:t xml:space="preserve">    3.部门重点评价情况及结果。</w:t>
        <w:br/>
        <w:t xml:space="preserve">    本部门为中直单位，未在区里开展重点项目绩效评价。</w:t>
        <w:br/>
        <w:t xml:space="preserve">    4.财政评价结果。</w:t>
        <w:br/>
        <w:t xml:space="preserve">    该部门为中直单位，未在区里开展绩效评价。</w:t>
        <w:br/>
        <w:t xml:space="preserve">    5.其他需要说明的情况。</w:t>
        <w:br/>
        <w:t xml:space="preserve">    无其他情况。</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单位：辽宁省国家统计局浑南调查队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30.15</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30.15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30.15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30.15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30.15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30.15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单位：辽宁省国家统计局浑南调查队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30.15</w:t>
            </w:r>
          </w:p>
        </w:tc>
        <w:tc>
          <w:tcPr>
            <w:tcW w:w="960" w:type="dxa"/>
            <w:tcBorders/>
            <w:vAlign w:val="center"/>
          </w:tcPr>
          <w:p>
            <w:pPr>
              <w:jc w:val="right"/>
            </w:pPr>
            <w:r>
              <w:rPr>
                <w:rFonts w:ascii="宋体" w:eastAsia="宋体" w:hAnsi="宋体" w:cs="宋体"/>
                <w:b/>
                <w:i w:val="0"/>
                <w:color w:val="000000"/>
                <w:sz w:val="13"/>
              </w:rPr>
              <w:t xml:space="preserve">30.15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30.15</w:t>
            </w:r>
          </w:p>
        </w:tc>
        <w:tc>
          <w:tcPr>
            <w:tcW w:w="960" w:type="dxa"/>
            <w:tcBorders/>
            <w:vAlign w:val="center"/>
          </w:tcPr>
          <w:p>
            <w:pPr>
              <w:jc w:val="right"/>
            </w:pPr>
            <w:r>
              <w:rPr>
                <w:rFonts w:ascii="宋体" w:eastAsia="宋体" w:hAnsi="宋体" w:cs="宋体"/>
                <w:b w:val="0"/>
                <w:i w:val="0"/>
                <w:color w:val="000000"/>
                <w:sz w:val="13"/>
              </w:rPr>
              <w:t xml:space="preserve">30.15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w:t>
            </w:r>
          </w:p>
        </w:tc>
        <w:tc>
          <w:tcPr>
            <w:tcW w:w="3200" w:type="dxa"/>
            <w:tcBorders/>
            <w:vAlign w:val="center"/>
          </w:tcPr>
          <w:p>
            <w:pPr>
              <w:jc w:val="left"/>
            </w:pPr>
            <w:r>
              <w:rPr>
                <w:rFonts w:ascii="宋体" w:eastAsia="宋体" w:hAnsi="宋体" w:cs="宋体"/>
                <w:b w:val="0"/>
                <w:i w:val="0"/>
                <w:color w:val="000000"/>
                <w:sz w:val="13"/>
              </w:rPr>
              <w:t xml:space="preserve">统计信息事务</w:t>
            </w:r>
          </w:p>
        </w:tc>
        <w:tc>
          <w:tcPr>
            <w:tcW w:w="960" w:type="dxa"/>
            <w:tcBorders/>
            <w:vAlign w:val="center"/>
          </w:tcPr>
          <w:p>
            <w:pPr>
              <w:jc w:val="right"/>
            </w:pPr>
            <w:r>
              <w:rPr>
                <w:rFonts w:ascii="宋体" w:eastAsia="宋体" w:hAnsi="宋体" w:cs="宋体"/>
                <w:b w:val="0"/>
                <w:i w:val="0"/>
                <w:color w:val="000000"/>
                <w:sz w:val="13"/>
              </w:rPr>
              <w:t xml:space="preserve">30.15</w:t>
            </w:r>
          </w:p>
        </w:tc>
        <w:tc>
          <w:tcPr>
            <w:tcW w:w="960" w:type="dxa"/>
            <w:tcBorders/>
            <w:vAlign w:val="center"/>
          </w:tcPr>
          <w:p>
            <w:pPr>
              <w:jc w:val="right"/>
            </w:pPr>
            <w:r>
              <w:rPr>
                <w:rFonts w:ascii="宋体" w:eastAsia="宋体" w:hAnsi="宋体" w:cs="宋体"/>
                <w:b w:val="0"/>
                <w:i w:val="0"/>
                <w:color w:val="000000"/>
                <w:sz w:val="13"/>
              </w:rPr>
              <w:t xml:space="preserve">30.15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2010508</w:t>
            </w:r>
          </w:p>
        </w:tc>
        <w:tc>
          <w:tcPr>
            <w:tcW w:w="3200" w:type="dxa"/>
            <w:tcBorders/>
            <w:vAlign w:val="center"/>
          </w:tcPr>
          <w:p>
            <w:pPr>
              <w:jc w:val="left"/>
            </w:pPr>
            <w:r>
              <w:rPr>
                <w:rFonts w:ascii="宋体" w:eastAsia="宋体" w:hAnsi="宋体" w:cs="宋体"/>
                <w:b w:val="0"/>
                <w:i w:val="0"/>
                <w:color w:val="000000"/>
                <w:sz w:val="13"/>
              </w:rPr>
              <w:t xml:space="preserve">统计抽样调查</w:t>
            </w:r>
          </w:p>
        </w:tc>
        <w:tc>
          <w:tcPr>
            <w:tcW w:w="960" w:type="dxa"/>
            <w:tcBorders/>
            <w:vAlign w:val="center"/>
          </w:tcPr>
          <w:p>
            <w:pPr>
              <w:jc w:val="right"/>
            </w:pPr>
            <w:r>
              <w:rPr>
                <w:rFonts w:ascii="宋体" w:eastAsia="宋体" w:hAnsi="宋体" w:cs="宋体"/>
                <w:b w:val="0"/>
                <w:i w:val="0"/>
                <w:color w:val="000000"/>
                <w:sz w:val="13"/>
              </w:rPr>
              <w:t xml:space="preserve">30.15</w:t>
            </w:r>
          </w:p>
        </w:tc>
        <w:tc>
          <w:tcPr>
            <w:tcW w:w="960" w:type="dxa"/>
            <w:tcBorders/>
            <w:vAlign w:val="center"/>
          </w:tcPr>
          <w:p>
            <w:pPr>
              <w:jc w:val="right"/>
            </w:pPr>
            <w:r>
              <w:rPr>
                <w:rFonts w:ascii="宋体" w:eastAsia="宋体" w:hAnsi="宋体" w:cs="宋体"/>
                <w:b w:val="0"/>
                <w:i w:val="0"/>
                <w:color w:val="000000"/>
                <w:sz w:val="13"/>
              </w:rPr>
              <w:t xml:space="preserve">30.15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单位：辽宁省国家统计局浑南调查队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30.15</w:t>
            </w:r>
          </w:p>
        </w:tc>
        <w:tc>
          <w:tcPr>
            <w:tcW w:w="1060" w:type="dxa"/>
            <w:tcBorders/>
            <w:vAlign w:val="center"/>
          </w:tcPr>
          <w:p>
            <w:pPr/>
          </w:p>
        </w:tc>
        <w:tc>
          <w:tcPr>
            <w:tcW w:w="1060" w:type="dxa"/>
            <w:tcBorders/>
            <w:vAlign w:val="center"/>
          </w:tcPr>
          <w:p>
            <w:pPr>
              <w:jc w:val="right"/>
            </w:pPr>
            <w:r>
              <w:rPr>
                <w:rFonts w:ascii="宋体" w:eastAsia="宋体" w:hAnsi="宋体" w:cs="宋体"/>
                <w:b/>
                <w:i w:val="0"/>
                <w:color w:val="000000"/>
                <w:sz w:val="14"/>
              </w:rPr>
              <w:t xml:space="preserve">30.15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30.15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w:t>
            </w:r>
          </w:p>
        </w:tc>
        <w:tc>
          <w:tcPr>
            <w:tcW w:w="3440" w:type="dxa"/>
            <w:tcBorders/>
            <w:vAlign w:val="center"/>
          </w:tcPr>
          <w:p>
            <w:pPr>
              <w:jc w:val="left"/>
            </w:pPr>
            <w:r>
              <w:rPr>
                <w:rFonts w:ascii="宋体" w:eastAsia="宋体" w:hAnsi="宋体" w:cs="宋体"/>
                <w:b w:val="0"/>
                <w:i w:val="0"/>
                <w:color w:val="000000"/>
                <w:sz w:val="14"/>
              </w:rPr>
              <w:t xml:space="preserve">统计信息事务</w:t>
            </w:r>
          </w:p>
        </w:tc>
        <w:tc>
          <w:tcPr>
            <w:tcW w:w="1060" w:type="dxa"/>
            <w:tcBorders/>
            <w:vAlign w:val="center"/>
          </w:tcPr>
          <w:p>
            <w:pPr>
              <w:jc w:val="right"/>
            </w:pPr>
            <w:r>
              <w:rPr>
                <w:rFonts w:ascii="宋体" w:eastAsia="宋体" w:hAnsi="宋体" w:cs="宋体"/>
                <w:b w:val="0"/>
                <w:i w:val="0"/>
                <w:color w:val="000000"/>
                <w:sz w:val="14"/>
              </w:rPr>
              <w:t xml:space="preserve">30.15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2010508</w:t>
            </w:r>
          </w:p>
        </w:tc>
        <w:tc>
          <w:tcPr>
            <w:tcW w:w="3440" w:type="dxa"/>
            <w:tcBorders/>
            <w:vAlign w:val="center"/>
          </w:tcPr>
          <w:p>
            <w:pPr>
              <w:jc w:val="left"/>
            </w:pPr>
            <w:r>
              <w:rPr>
                <w:rFonts w:ascii="宋体" w:eastAsia="宋体" w:hAnsi="宋体" w:cs="宋体"/>
                <w:b w:val="0"/>
                <w:i w:val="0"/>
                <w:color w:val="000000"/>
                <w:sz w:val="14"/>
              </w:rPr>
              <w:t xml:space="preserve">统计抽样调查</w:t>
            </w:r>
          </w:p>
        </w:tc>
        <w:tc>
          <w:tcPr>
            <w:tcW w:w="1060" w:type="dxa"/>
            <w:tcBorders/>
            <w:vAlign w:val="center"/>
          </w:tcPr>
          <w:p>
            <w:pPr>
              <w:jc w:val="right"/>
            </w:pPr>
            <w:r>
              <w:rPr>
                <w:rFonts w:ascii="宋体" w:eastAsia="宋体" w:hAnsi="宋体" w:cs="宋体"/>
                <w:b w:val="0"/>
                <w:i w:val="0"/>
                <w:color w:val="000000"/>
                <w:sz w:val="14"/>
              </w:rPr>
              <w:t xml:space="preserve">30.15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单位：辽宁省国家统计局浑南调查队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30.15</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30.15</w:t>
            </w:r>
          </w:p>
        </w:tc>
        <w:tc>
          <w:tcPr>
            <w:tcW w:w="1100" w:type="dxa"/>
            <w:tcBorders/>
            <w:vAlign w:val="center"/>
          </w:tcPr>
          <w:p>
            <w:pPr>
              <w:jc w:val="right"/>
            </w:pPr>
            <w:r>
              <w:rPr>
                <w:rFonts w:ascii="宋体" w:eastAsia="宋体" w:hAnsi="宋体" w:cs="宋体"/>
                <w:b w:val="0"/>
                <w:i w:val="0"/>
                <w:color w:val="000000"/>
                <w:sz w:val="14"/>
              </w:rPr>
              <w:t xml:space="preserve">30.15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30.15</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30.15</w:t>
            </w:r>
          </w:p>
        </w:tc>
        <w:tc>
          <w:tcPr>
            <w:tcW w:w="1100" w:type="dxa"/>
            <w:tcBorders/>
            <w:vAlign w:val="center"/>
          </w:tcPr>
          <w:p>
            <w:pPr>
              <w:jc w:val="right"/>
            </w:pPr>
            <w:r>
              <w:rPr>
                <w:rFonts w:ascii="宋体" w:eastAsia="宋体" w:hAnsi="宋体" w:cs="宋体"/>
                <w:b w:val="0"/>
                <w:i w:val="0"/>
                <w:color w:val="000000"/>
                <w:sz w:val="14"/>
              </w:rPr>
              <w:t xml:space="preserve">30.15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30.15</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30.15</w:t>
            </w:r>
          </w:p>
        </w:tc>
        <w:tc>
          <w:tcPr>
            <w:tcW w:w="1100" w:type="dxa"/>
            <w:tcBorders/>
            <w:vAlign w:val="center"/>
          </w:tcPr>
          <w:p>
            <w:pPr>
              <w:jc w:val="right"/>
            </w:pPr>
            <w:r>
              <w:rPr>
                <w:rFonts w:ascii="宋体" w:eastAsia="宋体" w:hAnsi="宋体" w:cs="宋体"/>
                <w:b w:val="0"/>
                <w:i w:val="0"/>
                <w:color w:val="000000"/>
                <w:sz w:val="14"/>
              </w:rPr>
              <w:t xml:space="preserve">30.15</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单位：辽宁省国家统计局浑南调查队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30.15</w:t>
            </w:r>
          </w:p>
        </w:tc>
        <w:tc>
          <w:tcPr>
            <w:tcW w:w="1780" w:type="dxa"/>
            <w:tcBorders/>
            <w:vAlign w:val="center"/>
          </w:tcPr>
          <w:p>
            <w:pPr>
              <w:jc w:val="right"/>
            </w:pPr>
            <w:r>
              <w:rPr>
                <w:rFonts w:ascii="宋体" w:eastAsia="宋体" w:hAnsi="宋体" w:cs="宋体"/>
                <w:b/>
                <w:i w:val="0"/>
                <w:color w:val="000000"/>
                <w:sz w:val="18"/>
              </w:rPr>
              <w:t xml:space="preserve">0.00</w:t>
            </w:r>
          </w:p>
        </w:tc>
        <w:tc>
          <w:tcPr>
            <w:tcW w:w="1772" w:type="dxa"/>
            <w:tcBorders/>
            <w:vAlign w:val="center"/>
          </w:tcPr>
          <w:p>
            <w:pPr>
              <w:jc w:val="right"/>
            </w:pPr>
            <w:r>
              <w:rPr>
                <w:rFonts w:ascii="宋体" w:eastAsia="宋体" w:hAnsi="宋体" w:cs="宋体"/>
                <w:b/>
                <w:i w:val="0"/>
                <w:color w:val="000000"/>
                <w:sz w:val="18"/>
              </w:rPr>
              <w:t xml:space="preserve">30.15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30.15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w:t>
            </w:r>
          </w:p>
        </w:tc>
        <w:tc>
          <w:tcPr>
            <w:tcW w:w="4300" w:type="dxa"/>
            <w:tcBorders/>
            <w:vAlign w:val="center"/>
          </w:tcPr>
          <w:p>
            <w:pPr>
              <w:jc w:val="left"/>
            </w:pPr>
            <w:r>
              <w:rPr>
                <w:rFonts w:ascii="宋体" w:eastAsia="宋体" w:hAnsi="宋体" w:cs="宋体"/>
                <w:b w:val="0"/>
                <w:i w:val="0"/>
                <w:color w:val="000000"/>
                <w:sz w:val="18"/>
              </w:rPr>
              <w:t xml:space="preserve">统计信息事务</w:t>
            </w:r>
          </w:p>
        </w:tc>
        <w:tc>
          <w:tcPr>
            <w:tcW w:w="1780" w:type="dxa"/>
            <w:tcBorders/>
            <w:vAlign w:val="center"/>
          </w:tcPr>
          <w:p>
            <w:pPr>
              <w:jc w:val="right"/>
            </w:pPr>
            <w:r>
              <w:rPr>
                <w:rFonts w:ascii="宋体" w:eastAsia="宋体" w:hAnsi="宋体" w:cs="宋体"/>
                <w:b w:val="0"/>
                <w:i w:val="0"/>
                <w:color w:val="000000"/>
                <w:sz w:val="18"/>
              </w:rPr>
              <w:t xml:space="preserve">30.15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2010508</w:t>
            </w:r>
          </w:p>
        </w:tc>
        <w:tc>
          <w:tcPr>
            <w:tcW w:w="4300" w:type="dxa"/>
            <w:tcBorders/>
            <w:vAlign w:val="center"/>
          </w:tcPr>
          <w:p>
            <w:pPr>
              <w:jc w:val="left"/>
            </w:pPr>
            <w:r>
              <w:rPr>
                <w:rFonts w:ascii="宋体" w:eastAsia="宋体" w:hAnsi="宋体" w:cs="宋体"/>
                <w:b w:val="0"/>
                <w:i w:val="0"/>
                <w:color w:val="000000"/>
                <w:sz w:val="18"/>
              </w:rPr>
              <w:t xml:space="preserve">统计抽样调查</w:t>
            </w:r>
          </w:p>
        </w:tc>
        <w:tc>
          <w:tcPr>
            <w:tcW w:w="1780" w:type="dxa"/>
            <w:tcBorders/>
            <w:vAlign w:val="center"/>
          </w:tcPr>
          <w:p>
            <w:pPr>
              <w:jc w:val="right"/>
            </w:pPr>
            <w:r>
              <w:rPr>
                <w:rFonts w:ascii="宋体" w:eastAsia="宋体" w:hAnsi="宋体" w:cs="宋体"/>
                <w:b w:val="0"/>
                <w:i w:val="0"/>
                <w:color w:val="000000"/>
                <w:sz w:val="18"/>
              </w:rPr>
              <w:t xml:space="preserve">30.15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30.15</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单位：辽宁省国家统计局浑南调查队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单位：辽宁省国家统计局浑南调查队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单位：辽宁省国家统计局浑南调查队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单位：辽宁省国家统计局浑南调查队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pStyle w:val="Normal_99cd654f-555d-4ae1-9918-41e66919103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771.08pt;height:545.65pt;margin-top:0;margin-left:0;position:absolute;z-index:251658240">
            <v:imagedata r:id="rId6" o:title=""/>
            <w10:wrap type="square"/>
          </v:shape>
        </w:pict>
      </w:r>
    </w:p>
    <w:sectPr>
      <w:headerReference w:type="default" r:id="rId7"/>
      <w:pgSz w:w="16839" w:h="11907" w:orient="landscape"/>
      <w:pgMar w:top="2" w:right="2" w:bottom="992" w:left="2" w:header="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Normal_99cd654f-555d-4ae1-9918-41e669191038"/>
    </w:pPr>
    <w:r>
      <w:rPr>
        <w:sz w:val="2"/>
      </w:rPr>
      <w:t xml:space="preserve">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paragraph" w:styleId="Normal_99cd654f-555d-4ae1-9918-41e669191038">
    <w:name w:val="Normal_99cd654f-555d-4ae1-9918-41e669191038"/>
    <w:qFormat/>
    <w:rPr>
      <w:rFonts w:ascii="Times New Roman" w:eastAsia="Times New Roman" w:hAnsi="Times New Roman"/>
      <w:sz w:val="24"/>
      <w:szCs w:val="24"/>
      <w:lang w:val="en-US" w:eastAsia="uk-UA" w:bidi="ar-SA"/>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fontTable" Target="fontTable.xml" /><Relationship Id="rId12"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image" Target="media/image1.jpeg"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