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辽宁省沈阳市公安局交通警察支队浑南交警大队</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辽宁省沈阳市公安局交通警察支队浑南交警大队</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辽宁省沈阳市公安局交通警察支队浑南交警大队</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辽宁省沈阳市公安局交通警察支队浑南交警大队</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辽宁省沈阳市公安局交通警察支队浑南交警大队</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辽宁省沈阳市公安局交通警察支队浑南交警大队概况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（一）加强道路交通安全管理，定期掌握分析道路交通安全动态，制定对策。</w:t>
        <w:br/>
        <w:t xml:space="preserve">    （二）加强道路巡逻，及时发现和查处各类交通违法行为。</w:t>
        <w:br/>
        <w:t xml:space="preserve">    （三）纠正交通违章，加强道路交通安全宣传，预防道路交通安全事故的发生。</w:t>
        <w:br/>
        <w:t xml:space="preserve">    （四）加强交通事故的现场勘查和处理；加强交通事故逃逸案件的侦破工作。</w:t>
        <w:br/>
        <w:t xml:space="preserve">    （五）做好机动车（两轮摩托车、三轮摩托车、低速载货汽车、三轮汽车）的注册登记和驾驶员管理工作。</w:t>
        <w:br/>
        <w:t xml:space="preserve">    （六）搞好交通特殊勤务和交通警卫。</w:t>
        <w:br/>
        <w:t xml:space="preserve">    （七）维护重大节日、集会、游行、示威和体育活动的交通秩序，保证首长、外宾车辆行驶安全与畅通。</w:t>
        <w:br/>
        <w:t xml:space="preserve">    （八）制止、协助破获在道路上的犯罪活动，堵截在逃犯罪分子。</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辽宁省沈阳市公安局交通警察支队浑南交警大队</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浑南交警大队本级，本单位无下设机构。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499.34</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495.54</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99.24</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495.54</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3.80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0.76</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主要是人员经费等。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减少57.18万元，降低10.27%</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一是新体制原因我单位部门经费由市交警支队承担；二是我单位部分维修维护经费预算拨付减少。</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495.54</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495.54</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100.00</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主要包括一般行政管理事务等业务支出。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减少57.18万元，降低10.34%</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一是新体制原因我单位部门经费由市交警支队承担；二是我单位部分维修维护经费预算拨付减少。</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3.80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主要是历史遗留问题等原因形成的结余。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遗留时间较长，具体情况不明</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495.54</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495.54</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减少57.18万元，降低10.34%</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一是新体制原因我单位部门经费由市交警支队承担；二是我单位部分维修维护经费预算拨付减少。</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50.88</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50.88</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2024年度一般公共预算财政拨款支出495.54万元。按支出功能分类科目分，包括：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1.一般公共服务支出30.00万元，具体包括：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（1）一般公共服务支出（类）信访事务（款）信访业务（项）30.00万元,主要是信访维稳救助金等支出，完成年初预算的100%，决算数与年初预算数存在差异的主要原因是根据实际情况追加预算。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2.公共安全支出465.54万元，具体包括：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公共安全支出（类）公安（款）一般行政管理事务（项）452.94万元,主要是人员经费等支出，完成年初预算的54.97%，决算数与年初预算数存在差异的主要原因是一是新体制原因我单位部门经费由市交警支队承担；二是我单位部分维修维护经费预算拨付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（2）公共安全支出（类）公安（款）执法办案（项）12.60万元,主要是交通事故鉴定费等支出，完成年初预算的8.4%，决算数与年初预算数存在差异的主要原因是财政资金紧张未全额拨付。</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24.97</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83.23</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小于</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为防止公务用车维护费不足使用，预算数预估高于实际支出数</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24.97</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无此项任务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无此项任务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24.97</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100.00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83.23</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小于</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厉行节约，实际发生费用减少</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比上年减少127.96万元，降低83.67%</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严格管控资金，节约支出，压缩相关经费支出</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24.97</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主要用于公务车及警用车辆的加油、维修及保险等，</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22</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未发生机关运行经费</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22</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12</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10</w:t>
      </w:r>
      <w:r>
        <w:rPr>
          <w:rFonts w:ascii="仿宋_GB2312" w:eastAsia="仿宋_GB2312" w:hAnsi="黑体" w:hint="eastAsia"/>
          <w:sz w:val="32"/>
          <w:szCs w:val="32"/>
        </w:rPr>
        <w:t xml:space="preserve">辆</w:t>
      </w:r>
      <w:r>
        <w:rPr>
          <w:rFonts w:ascii="仿宋_GB2312" w:eastAsia="仿宋_GB2312" w:cs="仿宋_GB2312" w:hint="eastAsia"/>
          <w:sz w:val="32"/>
          <w:szCs w:val="32"/>
        </w:rPr>
        <w:t xml:space="preserve">，其他用车主要是区属公务车</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1.绩效评价工作开展情况。</w:t>
        <w:br/>
        <w:t xml:space="preserve">本部门在2024年度省直部门决算中反映工程项目尾款、执法协勤人员经费等20个项目绩效自评结果。</w:t>
        <w:br/>
        <w:t xml:space="preserve">2.项目绩效评价结果。</w:t>
        <w:br/>
        <w:t xml:space="preserve">根据预算绩效管理要求，本部门组织对2024年度预算项目支出全面开展绩效自评，共涉及预算支出项目11个（其中：一般公共预算项目10个），涉及资金495.54万元（其中：一般公共预算资金465.54万元，），自评覆盖率（开展绩效自评的项目数/年初批复绩效目标的项目数*100%）达到47.80%。</w:t>
        <w:br/>
        <w:t xml:space="preserve">2.项目绩效自评结果。</w:t>
        <w:br/>
        <w:t xml:space="preserve">本部门在2024年度省直部门决算中反映工程项目尾款、执法协勤人员经费等20个项目绩效自评结果。</w:t>
        <w:br/>
        <w:t xml:space="preserve">3.部门评价结果。</w:t>
        <w:br/>
        <w:t xml:space="preserve">按照年初工作计划，较好完成年初制定目标。</w:t>
        <w:br/>
        <w:t xml:space="preserve">4.财政评价结果。</w:t>
        <w:br/>
        <w:t xml:space="preserve">该部门整体绩效自评效果较好，望你单位继续加强资金管理，发挥资金效益。</w:t>
        <w:br/>
        <w:t xml:space="preserve">5.无其他评价。</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16.一般公共服务（类）财政事务（款）行政运行（项）：反映行政单位（包括实行公务员管理的事业单位）的基本支出。</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单位：辽宁省沈阳市公安局交通警察支队浑南交警大队</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495.54</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30.00</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jc w:val="right"/>
            </w:pPr>
            <w:r>
              <w:rPr>
                <w:rFonts w:ascii="宋体" w:eastAsia="宋体" w:hAnsi="宋体" w:cs="宋体"/>
                <w:b w:val="0"/>
                <w:i w:val="0"/>
                <w:color w:val="000000"/>
                <w:sz w:val="16"/>
              </w:rPr>
              <w:t xml:space="preserve">465.54</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495.54</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495.54</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3.80</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3.80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499.34</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499.34</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单位：辽宁省沈阳市公安局交通警察支队浑南交警大队</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495.54</w:t>
            </w:r>
          </w:p>
        </w:tc>
        <w:tc>
          <w:tcPr>
            <w:tcW w:w="960" w:type="dxa"/>
            <w:tcBorders/>
            <w:vAlign w:val="center"/>
          </w:tcPr>
          <w:p>
            <w:pPr>
              <w:jc w:val="right"/>
            </w:pPr>
            <w:r>
              <w:rPr>
                <w:rFonts w:ascii="宋体" w:eastAsia="宋体" w:hAnsi="宋体" w:cs="宋体"/>
                <w:b/>
                <w:i w:val="0"/>
                <w:color w:val="000000"/>
                <w:sz w:val="13"/>
              </w:rPr>
              <w:t xml:space="preserve">495.54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30.00</w:t>
            </w:r>
          </w:p>
        </w:tc>
        <w:tc>
          <w:tcPr>
            <w:tcW w:w="960" w:type="dxa"/>
            <w:tcBorders/>
            <w:vAlign w:val="center"/>
          </w:tcPr>
          <w:p>
            <w:pPr>
              <w:jc w:val="right"/>
            </w:pPr>
            <w:r>
              <w:rPr>
                <w:rFonts w:ascii="宋体" w:eastAsia="宋体" w:hAnsi="宋体" w:cs="宋体"/>
                <w:b w:val="0"/>
                <w:i w:val="0"/>
                <w:color w:val="000000"/>
                <w:sz w:val="13"/>
              </w:rPr>
              <w:t xml:space="preserve">30.00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w:t>
            </w:r>
          </w:p>
        </w:tc>
        <w:tc>
          <w:tcPr>
            <w:tcW w:w="3200" w:type="dxa"/>
            <w:tcBorders/>
            <w:vAlign w:val="center"/>
          </w:tcPr>
          <w:p>
            <w:pPr>
              <w:jc w:val="left"/>
            </w:pPr>
            <w:r>
              <w:rPr>
                <w:rFonts w:ascii="宋体" w:eastAsia="宋体" w:hAnsi="宋体" w:cs="宋体"/>
                <w:b w:val="0"/>
                <w:i w:val="0"/>
                <w:color w:val="000000"/>
                <w:sz w:val="13"/>
              </w:rPr>
              <w:t xml:space="preserve">信访事务</w:t>
            </w:r>
          </w:p>
        </w:tc>
        <w:tc>
          <w:tcPr>
            <w:tcW w:w="960" w:type="dxa"/>
            <w:tcBorders/>
            <w:vAlign w:val="center"/>
          </w:tcPr>
          <w:p>
            <w:pPr>
              <w:jc w:val="right"/>
            </w:pPr>
            <w:r>
              <w:rPr>
                <w:rFonts w:ascii="宋体" w:eastAsia="宋体" w:hAnsi="宋体" w:cs="宋体"/>
                <w:b w:val="0"/>
                <w:i w:val="0"/>
                <w:color w:val="000000"/>
                <w:sz w:val="13"/>
              </w:rPr>
              <w:t xml:space="preserve">30.00</w:t>
            </w:r>
          </w:p>
        </w:tc>
        <w:tc>
          <w:tcPr>
            <w:tcW w:w="960" w:type="dxa"/>
            <w:tcBorders/>
            <w:vAlign w:val="center"/>
          </w:tcPr>
          <w:p>
            <w:pPr>
              <w:jc w:val="right"/>
            </w:pPr>
            <w:r>
              <w:rPr>
                <w:rFonts w:ascii="宋体" w:eastAsia="宋体" w:hAnsi="宋体" w:cs="宋体"/>
                <w:b w:val="0"/>
                <w:i w:val="0"/>
                <w:color w:val="000000"/>
                <w:sz w:val="13"/>
              </w:rPr>
              <w:t xml:space="preserve">30.00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2014004</w:t>
            </w:r>
          </w:p>
        </w:tc>
        <w:tc>
          <w:tcPr>
            <w:tcW w:w="3200" w:type="dxa"/>
            <w:tcBorders/>
            <w:vAlign w:val="center"/>
          </w:tcPr>
          <w:p>
            <w:pPr>
              <w:jc w:val="left"/>
            </w:pPr>
            <w:r>
              <w:rPr>
                <w:rFonts w:ascii="宋体" w:eastAsia="宋体" w:hAnsi="宋体" w:cs="宋体"/>
                <w:b w:val="0"/>
                <w:i w:val="0"/>
                <w:color w:val="000000"/>
                <w:sz w:val="13"/>
              </w:rPr>
              <w:t xml:space="preserve">信访业务</w:t>
            </w:r>
          </w:p>
        </w:tc>
        <w:tc>
          <w:tcPr>
            <w:tcW w:w="960" w:type="dxa"/>
            <w:tcBorders/>
            <w:vAlign w:val="center"/>
          </w:tcPr>
          <w:p>
            <w:pPr>
              <w:jc w:val="right"/>
            </w:pPr>
            <w:r>
              <w:rPr>
                <w:rFonts w:ascii="宋体" w:eastAsia="宋体" w:hAnsi="宋体" w:cs="宋体"/>
                <w:b w:val="0"/>
                <w:i w:val="0"/>
                <w:color w:val="000000"/>
                <w:sz w:val="13"/>
              </w:rPr>
              <w:t xml:space="preserve">30.00</w:t>
            </w:r>
          </w:p>
        </w:tc>
        <w:tc>
          <w:tcPr>
            <w:tcW w:w="960" w:type="dxa"/>
            <w:tcBorders/>
            <w:vAlign w:val="center"/>
          </w:tcPr>
          <w:p>
            <w:pPr>
              <w:jc w:val="right"/>
            </w:pPr>
            <w:r>
              <w:rPr>
                <w:rFonts w:ascii="宋体" w:eastAsia="宋体" w:hAnsi="宋体" w:cs="宋体"/>
                <w:b w:val="0"/>
                <w:i w:val="0"/>
                <w:color w:val="000000"/>
                <w:sz w:val="13"/>
              </w:rPr>
              <w:t xml:space="preserve">30.00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204</w:t>
            </w:r>
          </w:p>
        </w:tc>
        <w:tc>
          <w:tcPr>
            <w:tcW w:w="3200" w:type="dxa"/>
            <w:tcBorders/>
            <w:vAlign w:val="center"/>
          </w:tcPr>
          <w:p>
            <w:pPr>
              <w:jc w:val="left"/>
            </w:pPr>
            <w:r>
              <w:rPr>
                <w:rFonts w:ascii="宋体" w:eastAsia="宋体" w:hAnsi="宋体" w:cs="宋体"/>
                <w:b w:val="0"/>
                <w:i w:val="0"/>
                <w:color w:val="000000"/>
                <w:sz w:val="13"/>
              </w:rPr>
              <w:t xml:space="preserve">公共安全支出</w:t>
            </w:r>
          </w:p>
        </w:tc>
        <w:tc>
          <w:tcPr>
            <w:tcW w:w="960" w:type="dxa"/>
            <w:tcBorders/>
            <w:vAlign w:val="center"/>
          </w:tcPr>
          <w:p>
            <w:pPr>
              <w:jc w:val="right"/>
            </w:pPr>
            <w:r>
              <w:rPr>
                <w:rFonts w:ascii="宋体" w:eastAsia="宋体" w:hAnsi="宋体" w:cs="宋体"/>
                <w:b w:val="0"/>
                <w:i w:val="0"/>
                <w:color w:val="000000"/>
                <w:sz w:val="13"/>
              </w:rPr>
              <w:t xml:space="preserve">465.54</w:t>
            </w:r>
          </w:p>
        </w:tc>
        <w:tc>
          <w:tcPr>
            <w:tcW w:w="960" w:type="dxa"/>
            <w:tcBorders/>
            <w:vAlign w:val="center"/>
          </w:tcPr>
          <w:p>
            <w:pPr>
              <w:jc w:val="right"/>
            </w:pPr>
            <w:r>
              <w:rPr>
                <w:rFonts w:ascii="宋体" w:eastAsia="宋体" w:hAnsi="宋体" w:cs="宋体"/>
                <w:b w:val="0"/>
                <w:i w:val="0"/>
                <w:color w:val="000000"/>
                <w:sz w:val="13"/>
              </w:rPr>
              <w:t xml:space="preserve">465.54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20402</w:t>
            </w:r>
          </w:p>
        </w:tc>
        <w:tc>
          <w:tcPr>
            <w:tcW w:w="3200" w:type="dxa"/>
            <w:tcBorders/>
            <w:vAlign w:val="center"/>
          </w:tcPr>
          <w:p>
            <w:pPr>
              <w:jc w:val="left"/>
            </w:pPr>
            <w:r>
              <w:rPr>
                <w:rFonts w:ascii="宋体" w:eastAsia="宋体" w:hAnsi="宋体" w:cs="宋体"/>
                <w:b w:val="0"/>
                <w:i w:val="0"/>
                <w:color w:val="000000"/>
                <w:sz w:val="13"/>
              </w:rPr>
              <w:t xml:space="preserve">公安</w:t>
            </w:r>
          </w:p>
        </w:tc>
        <w:tc>
          <w:tcPr>
            <w:tcW w:w="960" w:type="dxa"/>
            <w:tcBorders/>
            <w:vAlign w:val="center"/>
          </w:tcPr>
          <w:p>
            <w:pPr>
              <w:jc w:val="right"/>
            </w:pPr>
            <w:r>
              <w:rPr>
                <w:rFonts w:ascii="宋体" w:eastAsia="宋体" w:hAnsi="宋体" w:cs="宋体"/>
                <w:b w:val="0"/>
                <w:i w:val="0"/>
                <w:color w:val="000000"/>
                <w:sz w:val="13"/>
              </w:rPr>
              <w:t xml:space="preserve">465.54</w:t>
            </w:r>
          </w:p>
        </w:tc>
        <w:tc>
          <w:tcPr>
            <w:tcW w:w="960" w:type="dxa"/>
            <w:tcBorders/>
            <w:vAlign w:val="center"/>
          </w:tcPr>
          <w:p>
            <w:pPr>
              <w:jc w:val="right"/>
            </w:pPr>
            <w:r>
              <w:rPr>
                <w:rFonts w:ascii="宋体" w:eastAsia="宋体" w:hAnsi="宋体" w:cs="宋体"/>
                <w:b w:val="0"/>
                <w:i w:val="0"/>
                <w:color w:val="000000"/>
                <w:sz w:val="13"/>
              </w:rPr>
              <w:t xml:space="preserve">465.54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2040202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452.94</w:t>
            </w:r>
          </w:p>
        </w:tc>
        <w:tc>
          <w:tcPr>
            <w:tcW w:w="960" w:type="dxa"/>
            <w:tcBorders/>
            <w:vAlign w:val="center"/>
          </w:tcPr>
          <w:p>
            <w:pPr>
              <w:jc w:val="right"/>
            </w:pPr>
            <w:r>
              <w:rPr>
                <w:rFonts w:ascii="宋体" w:eastAsia="宋体" w:hAnsi="宋体" w:cs="宋体"/>
                <w:b w:val="0"/>
                <w:i w:val="0"/>
                <w:color w:val="000000"/>
                <w:sz w:val="13"/>
              </w:rPr>
              <w:t xml:space="preserve">452.94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2040220</w:t>
            </w:r>
          </w:p>
        </w:tc>
        <w:tc>
          <w:tcPr>
            <w:tcW w:w="3200" w:type="dxa"/>
            <w:tcBorders/>
            <w:vAlign w:val="center"/>
          </w:tcPr>
          <w:p>
            <w:pPr>
              <w:jc w:val="left"/>
            </w:pPr>
            <w:r>
              <w:rPr>
                <w:rFonts w:ascii="宋体" w:eastAsia="宋体" w:hAnsi="宋体" w:cs="宋体"/>
                <w:b w:val="0"/>
                <w:i w:val="0"/>
                <w:color w:val="000000"/>
                <w:sz w:val="13"/>
              </w:rPr>
              <w:t xml:space="preserve">执法办案</w:t>
            </w:r>
          </w:p>
        </w:tc>
        <w:tc>
          <w:tcPr>
            <w:tcW w:w="960" w:type="dxa"/>
            <w:tcBorders/>
            <w:vAlign w:val="center"/>
          </w:tcPr>
          <w:p>
            <w:pPr>
              <w:jc w:val="right"/>
            </w:pPr>
            <w:r>
              <w:rPr>
                <w:rFonts w:ascii="宋体" w:eastAsia="宋体" w:hAnsi="宋体" w:cs="宋体"/>
                <w:b w:val="0"/>
                <w:i w:val="0"/>
                <w:color w:val="000000"/>
                <w:sz w:val="13"/>
              </w:rPr>
              <w:t xml:space="preserve">12.60</w:t>
            </w:r>
          </w:p>
        </w:tc>
        <w:tc>
          <w:tcPr>
            <w:tcW w:w="960" w:type="dxa"/>
            <w:tcBorders/>
            <w:vAlign w:val="center"/>
          </w:tcPr>
          <w:p>
            <w:pPr>
              <w:jc w:val="right"/>
            </w:pPr>
            <w:r>
              <w:rPr>
                <w:rFonts w:ascii="宋体" w:eastAsia="宋体" w:hAnsi="宋体" w:cs="宋体"/>
                <w:b w:val="0"/>
                <w:i w:val="0"/>
                <w:color w:val="000000"/>
                <w:sz w:val="13"/>
              </w:rPr>
              <w:t xml:space="preserve">12.60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单位：辽宁省沈阳市公安局交通警察支队浑南交警大队</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495.54</w:t>
            </w:r>
          </w:p>
        </w:tc>
        <w:tc>
          <w:tcPr>
            <w:tcW w:w="1060" w:type="dxa"/>
            <w:tcBorders/>
            <w:vAlign w:val="center"/>
          </w:tcPr>
          <w:p>
            <w:pPr/>
          </w:p>
        </w:tc>
        <w:tc>
          <w:tcPr>
            <w:tcW w:w="1060" w:type="dxa"/>
            <w:tcBorders/>
            <w:vAlign w:val="center"/>
          </w:tcPr>
          <w:p>
            <w:pPr>
              <w:jc w:val="right"/>
            </w:pPr>
            <w:r>
              <w:rPr>
                <w:rFonts w:ascii="宋体" w:eastAsia="宋体" w:hAnsi="宋体" w:cs="宋体"/>
                <w:b/>
                <w:i w:val="0"/>
                <w:color w:val="000000"/>
                <w:sz w:val="14"/>
              </w:rPr>
              <w:t xml:space="preserve">495.54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30.00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w:t>
            </w:r>
          </w:p>
        </w:tc>
        <w:tc>
          <w:tcPr>
            <w:tcW w:w="3440" w:type="dxa"/>
            <w:tcBorders/>
            <w:vAlign w:val="center"/>
          </w:tcPr>
          <w:p>
            <w:pPr>
              <w:jc w:val="left"/>
            </w:pPr>
            <w:r>
              <w:rPr>
                <w:rFonts w:ascii="宋体" w:eastAsia="宋体" w:hAnsi="宋体" w:cs="宋体"/>
                <w:b w:val="0"/>
                <w:i w:val="0"/>
                <w:color w:val="000000"/>
                <w:sz w:val="14"/>
              </w:rPr>
              <w:t xml:space="preserve">信访事务</w:t>
            </w:r>
          </w:p>
        </w:tc>
        <w:tc>
          <w:tcPr>
            <w:tcW w:w="1060" w:type="dxa"/>
            <w:tcBorders/>
            <w:vAlign w:val="center"/>
          </w:tcPr>
          <w:p>
            <w:pPr>
              <w:jc w:val="right"/>
            </w:pPr>
            <w:r>
              <w:rPr>
                <w:rFonts w:ascii="宋体" w:eastAsia="宋体" w:hAnsi="宋体" w:cs="宋体"/>
                <w:b w:val="0"/>
                <w:i w:val="0"/>
                <w:color w:val="000000"/>
                <w:sz w:val="14"/>
              </w:rPr>
              <w:t xml:space="preserve">30.00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2014004</w:t>
            </w:r>
          </w:p>
        </w:tc>
        <w:tc>
          <w:tcPr>
            <w:tcW w:w="3440" w:type="dxa"/>
            <w:tcBorders/>
            <w:vAlign w:val="center"/>
          </w:tcPr>
          <w:p>
            <w:pPr>
              <w:jc w:val="left"/>
            </w:pPr>
            <w:r>
              <w:rPr>
                <w:rFonts w:ascii="宋体" w:eastAsia="宋体" w:hAnsi="宋体" w:cs="宋体"/>
                <w:b w:val="0"/>
                <w:i w:val="0"/>
                <w:color w:val="000000"/>
                <w:sz w:val="14"/>
              </w:rPr>
              <w:t xml:space="preserve">信访业务</w:t>
            </w:r>
          </w:p>
        </w:tc>
        <w:tc>
          <w:tcPr>
            <w:tcW w:w="1060" w:type="dxa"/>
            <w:tcBorders/>
            <w:vAlign w:val="center"/>
          </w:tcPr>
          <w:p>
            <w:pPr>
              <w:jc w:val="right"/>
            </w:pPr>
            <w:r>
              <w:rPr>
                <w:rFonts w:ascii="宋体" w:eastAsia="宋体" w:hAnsi="宋体" w:cs="宋体"/>
                <w:b w:val="0"/>
                <w:i w:val="0"/>
                <w:color w:val="000000"/>
                <w:sz w:val="14"/>
              </w:rPr>
              <w:t xml:space="preserve">30.00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204</w:t>
            </w:r>
          </w:p>
        </w:tc>
        <w:tc>
          <w:tcPr>
            <w:tcW w:w="3440" w:type="dxa"/>
            <w:tcBorders/>
            <w:vAlign w:val="center"/>
          </w:tcPr>
          <w:p>
            <w:pPr>
              <w:jc w:val="left"/>
            </w:pPr>
            <w:r>
              <w:rPr>
                <w:rFonts w:ascii="宋体" w:eastAsia="宋体" w:hAnsi="宋体" w:cs="宋体"/>
                <w:b w:val="0"/>
                <w:i w:val="0"/>
                <w:color w:val="000000"/>
                <w:sz w:val="14"/>
              </w:rPr>
              <w:t xml:space="preserve">公共安全支出</w:t>
            </w:r>
          </w:p>
        </w:tc>
        <w:tc>
          <w:tcPr>
            <w:tcW w:w="1060" w:type="dxa"/>
            <w:tcBorders/>
            <w:vAlign w:val="center"/>
          </w:tcPr>
          <w:p>
            <w:pPr>
              <w:jc w:val="right"/>
            </w:pPr>
            <w:r>
              <w:rPr>
                <w:rFonts w:ascii="宋体" w:eastAsia="宋体" w:hAnsi="宋体" w:cs="宋体"/>
                <w:b w:val="0"/>
                <w:i w:val="0"/>
                <w:color w:val="000000"/>
                <w:sz w:val="14"/>
              </w:rPr>
              <w:t xml:space="preserve">465.54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465.54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20402</w:t>
            </w:r>
          </w:p>
        </w:tc>
        <w:tc>
          <w:tcPr>
            <w:tcW w:w="3440" w:type="dxa"/>
            <w:tcBorders/>
            <w:vAlign w:val="center"/>
          </w:tcPr>
          <w:p>
            <w:pPr>
              <w:jc w:val="left"/>
            </w:pPr>
            <w:r>
              <w:rPr>
                <w:rFonts w:ascii="宋体" w:eastAsia="宋体" w:hAnsi="宋体" w:cs="宋体"/>
                <w:b w:val="0"/>
                <w:i w:val="0"/>
                <w:color w:val="000000"/>
                <w:sz w:val="14"/>
              </w:rPr>
              <w:t xml:space="preserve">公安</w:t>
            </w:r>
          </w:p>
        </w:tc>
        <w:tc>
          <w:tcPr>
            <w:tcW w:w="1060" w:type="dxa"/>
            <w:tcBorders/>
            <w:vAlign w:val="center"/>
          </w:tcPr>
          <w:p>
            <w:pPr>
              <w:jc w:val="right"/>
            </w:pPr>
            <w:r>
              <w:rPr>
                <w:rFonts w:ascii="宋体" w:eastAsia="宋体" w:hAnsi="宋体" w:cs="宋体"/>
                <w:b w:val="0"/>
                <w:i w:val="0"/>
                <w:color w:val="000000"/>
                <w:sz w:val="14"/>
              </w:rPr>
              <w:t xml:space="preserve">465.54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465.54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2040202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452.94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452.94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2040220</w:t>
            </w:r>
          </w:p>
        </w:tc>
        <w:tc>
          <w:tcPr>
            <w:tcW w:w="3440" w:type="dxa"/>
            <w:tcBorders/>
            <w:vAlign w:val="center"/>
          </w:tcPr>
          <w:p>
            <w:pPr>
              <w:jc w:val="left"/>
            </w:pPr>
            <w:r>
              <w:rPr>
                <w:rFonts w:ascii="宋体" w:eastAsia="宋体" w:hAnsi="宋体" w:cs="宋体"/>
                <w:b w:val="0"/>
                <w:i w:val="0"/>
                <w:color w:val="000000"/>
                <w:sz w:val="14"/>
              </w:rPr>
              <w:t xml:space="preserve">执法办案</w:t>
            </w:r>
          </w:p>
        </w:tc>
        <w:tc>
          <w:tcPr>
            <w:tcW w:w="1060" w:type="dxa"/>
            <w:tcBorders/>
            <w:vAlign w:val="center"/>
          </w:tcPr>
          <w:p>
            <w:pPr>
              <w:jc w:val="right"/>
            </w:pPr>
            <w:r>
              <w:rPr>
                <w:rFonts w:ascii="宋体" w:eastAsia="宋体" w:hAnsi="宋体" w:cs="宋体"/>
                <w:b w:val="0"/>
                <w:i w:val="0"/>
                <w:color w:val="000000"/>
                <w:sz w:val="14"/>
              </w:rPr>
              <w:t xml:space="preserve">12.60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12.60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单位：辽宁省沈阳市公安局交通警察支队浑南交警大队</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495.54</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30.00</w:t>
            </w:r>
          </w:p>
        </w:tc>
        <w:tc>
          <w:tcPr>
            <w:tcW w:w="1100" w:type="dxa"/>
            <w:tcBorders/>
            <w:vAlign w:val="center"/>
          </w:tcPr>
          <w:p>
            <w:pPr>
              <w:jc w:val="right"/>
            </w:pPr>
            <w:r>
              <w:rPr>
                <w:rFonts w:ascii="宋体" w:eastAsia="宋体" w:hAnsi="宋体" w:cs="宋体"/>
                <w:b w:val="0"/>
                <w:i w:val="0"/>
                <w:color w:val="000000"/>
                <w:sz w:val="14"/>
              </w:rPr>
              <w:t xml:space="preserve">30.00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jc w:val="right"/>
            </w:pPr>
            <w:r>
              <w:rPr>
                <w:rFonts w:ascii="宋体" w:eastAsia="宋体" w:hAnsi="宋体" w:cs="宋体"/>
                <w:b w:val="0"/>
                <w:i w:val="0"/>
                <w:color w:val="000000"/>
                <w:sz w:val="14"/>
              </w:rPr>
              <w:t xml:space="preserve">465.54</w:t>
            </w:r>
          </w:p>
        </w:tc>
        <w:tc>
          <w:tcPr>
            <w:tcW w:w="1100" w:type="dxa"/>
            <w:tcBorders/>
            <w:vAlign w:val="center"/>
          </w:tcPr>
          <w:p>
            <w:pPr>
              <w:jc w:val="right"/>
            </w:pPr>
            <w:r>
              <w:rPr>
                <w:rFonts w:ascii="宋体" w:eastAsia="宋体" w:hAnsi="宋体" w:cs="宋体"/>
                <w:b w:val="0"/>
                <w:i w:val="0"/>
                <w:color w:val="000000"/>
                <w:sz w:val="14"/>
              </w:rPr>
              <w:t xml:space="preserve">465.54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495.54</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495.54</w:t>
            </w:r>
          </w:p>
        </w:tc>
        <w:tc>
          <w:tcPr>
            <w:tcW w:w="1100" w:type="dxa"/>
            <w:tcBorders/>
            <w:vAlign w:val="center"/>
          </w:tcPr>
          <w:p>
            <w:pPr>
              <w:jc w:val="right"/>
            </w:pPr>
            <w:r>
              <w:rPr>
                <w:rFonts w:ascii="宋体" w:eastAsia="宋体" w:hAnsi="宋体" w:cs="宋体"/>
                <w:b w:val="0"/>
                <w:i w:val="0"/>
                <w:color w:val="000000"/>
                <w:sz w:val="14"/>
              </w:rPr>
              <w:t xml:space="preserve">495.54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495.54</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495.54</w:t>
            </w:r>
          </w:p>
        </w:tc>
        <w:tc>
          <w:tcPr>
            <w:tcW w:w="1100" w:type="dxa"/>
            <w:tcBorders/>
            <w:vAlign w:val="center"/>
          </w:tcPr>
          <w:p>
            <w:pPr>
              <w:jc w:val="right"/>
            </w:pPr>
            <w:r>
              <w:rPr>
                <w:rFonts w:ascii="宋体" w:eastAsia="宋体" w:hAnsi="宋体" w:cs="宋体"/>
                <w:b w:val="0"/>
                <w:i w:val="0"/>
                <w:color w:val="000000"/>
                <w:sz w:val="14"/>
              </w:rPr>
              <w:t xml:space="preserve">495.54</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单位：辽宁省沈阳市公安局交通警察支队浑南交警大队</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495.54</w:t>
            </w:r>
          </w:p>
        </w:tc>
        <w:tc>
          <w:tcPr>
            <w:tcW w:w="1780" w:type="dxa"/>
            <w:tcBorders/>
            <w:vAlign w:val="center"/>
          </w:tcPr>
          <w:p>
            <w:pPr>
              <w:jc w:val="right"/>
            </w:pPr>
            <w:r>
              <w:rPr>
                <w:rFonts w:ascii="宋体" w:eastAsia="宋体" w:hAnsi="宋体" w:cs="宋体"/>
                <w:b/>
                <w:i w:val="0"/>
                <w:color w:val="000000"/>
                <w:sz w:val="18"/>
              </w:rPr>
              <w:t xml:space="preserve">0.00</w:t>
            </w:r>
          </w:p>
        </w:tc>
        <w:tc>
          <w:tcPr>
            <w:tcW w:w="1772" w:type="dxa"/>
            <w:tcBorders/>
            <w:vAlign w:val="center"/>
          </w:tcPr>
          <w:p>
            <w:pPr>
              <w:jc w:val="right"/>
            </w:pPr>
            <w:r>
              <w:rPr>
                <w:rFonts w:ascii="宋体" w:eastAsia="宋体" w:hAnsi="宋体" w:cs="宋体"/>
                <w:b/>
                <w:i w:val="0"/>
                <w:color w:val="000000"/>
                <w:sz w:val="18"/>
              </w:rPr>
              <w:t xml:space="preserve">495.54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30.00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w:t>
            </w:r>
          </w:p>
        </w:tc>
        <w:tc>
          <w:tcPr>
            <w:tcW w:w="4300" w:type="dxa"/>
            <w:tcBorders/>
            <w:vAlign w:val="center"/>
          </w:tcPr>
          <w:p>
            <w:pPr>
              <w:jc w:val="left"/>
            </w:pPr>
            <w:r>
              <w:rPr>
                <w:rFonts w:ascii="宋体" w:eastAsia="宋体" w:hAnsi="宋体" w:cs="宋体"/>
                <w:b w:val="0"/>
                <w:i w:val="0"/>
                <w:color w:val="000000"/>
                <w:sz w:val="18"/>
              </w:rPr>
              <w:t xml:space="preserve">信访事务</w:t>
            </w:r>
          </w:p>
        </w:tc>
        <w:tc>
          <w:tcPr>
            <w:tcW w:w="1780" w:type="dxa"/>
            <w:tcBorders/>
            <w:vAlign w:val="center"/>
          </w:tcPr>
          <w:p>
            <w:pPr>
              <w:jc w:val="right"/>
            </w:pPr>
            <w:r>
              <w:rPr>
                <w:rFonts w:ascii="宋体" w:eastAsia="宋体" w:hAnsi="宋体" w:cs="宋体"/>
                <w:b w:val="0"/>
                <w:i w:val="0"/>
                <w:color w:val="000000"/>
                <w:sz w:val="18"/>
              </w:rPr>
              <w:t xml:space="preserve">30.00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2014004</w:t>
            </w:r>
          </w:p>
        </w:tc>
        <w:tc>
          <w:tcPr>
            <w:tcW w:w="4300" w:type="dxa"/>
            <w:tcBorders/>
            <w:vAlign w:val="center"/>
          </w:tcPr>
          <w:p>
            <w:pPr>
              <w:jc w:val="left"/>
            </w:pPr>
            <w:r>
              <w:rPr>
                <w:rFonts w:ascii="宋体" w:eastAsia="宋体" w:hAnsi="宋体" w:cs="宋体"/>
                <w:b w:val="0"/>
                <w:i w:val="0"/>
                <w:color w:val="000000"/>
                <w:sz w:val="18"/>
              </w:rPr>
              <w:t xml:space="preserve">信访业务</w:t>
            </w:r>
          </w:p>
        </w:tc>
        <w:tc>
          <w:tcPr>
            <w:tcW w:w="1780" w:type="dxa"/>
            <w:tcBorders/>
            <w:vAlign w:val="center"/>
          </w:tcPr>
          <w:p>
            <w:pPr>
              <w:jc w:val="right"/>
            </w:pPr>
            <w:r>
              <w:rPr>
                <w:rFonts w:ascii="宋体" w:eastAsia="宋体" w:hAnsi="宋体" w:cs="宋体"/>
                <w:b w:val="0"/>
                <w:i w:val="0"/>
                <w:color w:val="000000"/>
                <w:sz w:val="18"/>
              </w:rPr>
              <w:t xml:space="preserve">30.00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204</w:t>
            </w:r>
          </w:p>
        </w:tc>
        <w:tc>
          <w:tcPr>
            <w:tcW w:w="4300" w:type="dxa"/>
            <w:tcBorders/>
            <w:vAlign w:val="center"/>
          </w:tcPr>
          <w:p>
            <w:pPr>
              <w:jc w:val="left"/>
            </w:pPr>
            <w:r>
              <w:rPr>
                <w:rFonts w:ascii="宋体" w:eastAsia="宋体" w:hAnsi="宋体" w:cs="宋体"/>
                <w:b w:val="0"/>
                <w:i w:val="0"/>
                <w:color w:val="000000"/>
                <w:sz w:val="18"/>
              </w:rPr>
              <w:t xml:space="preserve">公共安全支出</w:t>
            </w:r>
          </w:p>
        </w:tc>
        <w:tc>
          <w:tcPr>
            <w:tcW w:w="1780" w:type="dxa"/>
            <w:tcBorders/>
            <w:vAlign w:val="center"/>
          </w:tcPr>
          <w:p>
            <w:pPr>
              <w:jc w:val="right"/>
            </w:pPr>
            <w:r>
              <w:rPr>
                <w:rFonts w:ascii="宋体" w:eastAsia="宋体" w:hAnsi="宋体" w:cs="宋体"/>
                <w:b w:val="0"/>
                <w:i w:val="0"/>
                <w:color w:val="000000"/>
                <w:sz w:val="18"/>
              </w:rPr>
              <w:t xml:space="preserve">465.54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465.54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20402</w:t>
            </w:r>
          </w:p>
        </w:tc>
        <w:tc>
          <w:tcPr>
            <w:tcW w:w="4300" w:type="dxa"/>
            <w:tcBorders/>
            <w:vAlign w:val="center"/>
          </w:tcPr>
          <w:p>
            <w:pPr>
              <w:jc w:val="left"/>
            </w:pPr>
            <w:r>
              <w:rPr>
                <w:rFonts w:ascii="宋体" w:eastAsia="宋体" w:hAnsi="宋体" w:cs="宋体"/>
                <w:b w:val="0"/>
                <w:i w:val="0"/>
                <w:color w:val="000000"/>
                <w:sz w:val="18"/>
              </w:rPr>
              <w:t xml:space="preserve">公安</w:t>
            </w:r>
          </w:p>
        </w:tc>
        <w:tc>
          <w:tcPr>
            <w:tcW w:w="1780" w:type="dxa"/>
            <w:tcBorders/>
            <w:vAlign w:val="center"/>
          </w:tcPr>
          <w:p>
            <w:pPr>
              <w:jc w:val="right"/>
            </w:pPr>
            <w:r>
              <w:rPr>
                <w:rFonts w:ascii="宋体" w:eastAsia="宋体" w:hAnsi="宋体" w:cs="宋体"/>
                <w:b w:val="0"/>
                <w:i w:val="0"/>
                <w:color w:val="000000"/>
                <w:sz w:val="18"/>
              </w:rPr>
              <w:t xml:space="preserve">465.54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465.54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2040202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452.94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452.94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2040220</w:t>
            </w:r>
          </w:p>
        </w:tc>
        <w:tc>
          <w:tcPr>
            <w:tcW w:w="4300" w:type="dxa"/>
            <w:tcBorders/>
            <w:vAlign w:val="center"/>
          </w:tcPr>
          <w:p>
            <w:pPr>
              <w:jc w:val="left"/>
            </w:pPr>
            <w:r>
              <w:rPr>
                <w:rFonts w:ascii="宋体" w:eastAsia="宋体" w:hAnsi="宋体" w:cs="宋体"/>
                <w:b w:val="0"/>
                <w:i w:val="0"/>
                <w:color w:val="000000"/>
                <w:sz w:val="18"/>
              </w:rPr>
              <w:t xml:space="preserve">执法办案</w:t>
            </w:r>
          </w:p>
        </w:tc>
        <w:tc>
          <w:tcPr>
            <w:tcW w:w="1780" w:type="dxa"/>
            <w:tcBorders/>
            <w:vAlign w:val="center"/>
          </w:tcPr>
          <w:p>
            <w:pPr>
              <w:jc w:val="right"/>
            </w:pPr>
            <w:r>
              <w:rPr>
                <w:rFonts w:ascii="宋体" w:eastAsia="宋体" w:hAnsi="宋体" w:cs="宋体"/>
                <w:b w:val="0"/>
                <w:i w:val="0"/>
                <w:color w:val="000000"/>
                <w:sz w:val="18"/>
              </w:rPr>
              <w:t xml:space="preserve">12.60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12.60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单位：辽宁省沈阳市公安局交通警察支队浑南交警大队</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单位：辽宁省沈阳市公安局交通警察支队浑南交警大队</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jc w:val="right"/>
            </w:pPr>
            <w:r>
              <w:rPr>
                <w:rFonts w:ascii="宋体" w:eastAsia="宋体" w:hAnsi="宋体" w:cs="宋体"/>
                <w:b w:val="0"/>
                <w:i w:val="0"/>
                <w:color w:val="000000"/>
                <w:sz w:val="23"/>
              </w:rPr>
              <w:t xml:space="preserve">30.00</w:t>
            </w:r>
          </w:p>
        </w:tc>
        <w:tc>
          <w:tcPr>
            <w:tcW w:w="3092" w:type="dxa"/>
            <w:vAlign w:val="center"/>
          </w:tcPr>
          <w:p>
            <w:pPr>
              <w:jc w:val="right"/>
            </w:pPr>
            <w:r>
              <w:rPr>
                <w:rFonts w:ascii="宋体" w:eastAsia="宋体" w:hAnsi="宋体" w:cs="宋体"/>
                <w:b w:val="0"/>
                <w:i w:val="0"/>
                <w:color w:val="000000"/>
                <w:sz w:val="23"/>
              </w:rPr>
              <w:t xml:space="preserve">24.97</w:t>
            </w: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jc w:val="right"/>
            </w:pPr>
            <w:r>
              <w:rPr>
                <w:rFonts w:ascii="宋体" w:eastAsia="宋体" w:hAnsi="宋体" w:cs="宋体"/>
                <w:b w:val="0"/>
                <w:i w:val="0"/>
                <w:color w:val="000000"/>
                <w:sz w:val="23"/>
              </w:rPr>
              <w:t xml:space="preserve">30.00</w:t>
            </w:r>
          </w:p>
        </w:tc>
        <w:tc>
          <w:tcPr>
            <w:tcW w:w="3092" w:type="dxa"/>
            <w:tcBorders/>
            <w:vAlign w:val="center"/>
          </w:tcPr>
          <w:p>
            <w:pPr>
              <w:jc w:val="right"/>
            </w:pPr>
            <w:r>
              <w:rPr>
                <w:rFonts w:ascii="宋体" w:eastAsia="宋体" w:hAnsi="宋体" w:cs="宋体"/>
                <w:b w:val="0"/>
                <w:i w:val="0"/>
                <w:color w:val="000000"/>
                <w:sz w:val="23"/>
              </w:rPr>
              <w:t xml:space="preserve">24.97</w:t>
            </w: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jc w:val="right"/>
            </w:pPr>
            <w:r>
              <w:rPr>
                <w:rFonts w:ascii="宋体" w:eastAsia="宋体" w:hAnsi="宋体" w:cs="宋体"/>
                <w:b w:val="0"/>
                <w:i w:val="0"/>
                <w:color w:val="000000"/>
                <w:sz w:val="23"/>
              </w:rPr>
              <w:t xml:space="preserve">30.00</w:t>
            </w:r>
          </w:p>
        </w:tc>
        <w:tc>
          <w:tcPr>
            <w:tcW w:w="3092" w:type="dxa"/>
            <w:tcBorders/>
            <w:vAlign w:val="center"/>
          </w:tcPr>
          <w:p>
            <w:pPr>
              <w:jc w:val="right"/>
            </w:pPr>
            <w:r>
              <w:rPr>
                <w:rFonts w:ascii="宋体" w:eastAsia="宋体" w:hAnsi="宋体" w:cs="宋体"/>
                <w:b w:val="0"/>
                <w:i w:val="0"/>
                <w:color w:val="000000"/>
                <w:sz w:val="23"/>
              </w:rPr>
              <w:t xml:space="preserve">24.97</w:t>
            </w: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单位：辽宁省沈阳市公安局交通警察支队浑南交警大队</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单位：辽宁省沈阳市公安局交通警察支队浑南交警大队</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办公楼维修维护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沈阳市公安局交通警察支队浑南交警大队-</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合理安排办公区域，优化现有办公资源，提供安全办公环境。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正常保障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开展交通安全主题宣传活动的场数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发布交通安全提示、警示信息项数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发布交通安全提示、警示信息项数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开展交通安全主题宣传活动的场数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超载车辆有效监控率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超载车辆有效查处率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超载车辆有效查处率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超载车辆有效监控率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交通事故死亡人数下降率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交通事故下降率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交通事故死亡人数下降率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交通事故下降率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31.23912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车辆处置交易费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沈阳市公安局交通警察支队浑南交警大队-</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保障全区事故车辆能正常被拖移，违法犯罪人员车辆有位置停放。</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正常保障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发布交通安全提示、警示信息项数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开展交通安全主题宣传活动的场数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开展交通安全主题宣传活动的场数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发布交通安全提示、警示信息项数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超载车辆有效查处率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超载车辆有效查处率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超载车辆有效监控率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超载车辆有效监控率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交通事故死亡人数下降率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交通事故下降率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交通事故下降率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交通事故死亡人数下降率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车辆维修及消耗费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沈阳市公安局交通警察支队浑南交警大队-</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24.97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83.24%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保障单位40辆公务车加49辆警用摩托正常运转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开展交通安全主题宣传活动的场数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发布交通安全提示、警示信息项数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开展交通安全主题宣传活动的场数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发布交通安全提示、警示信息项数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超载车辆有效查处率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车辆保养率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超载车辆有效查处率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车辆保养率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交通事故下降率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交通事故死亡人数下降率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交通事故下降率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交通事故死亡人数下降率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98.32</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法律宣传及普法专项经费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沈阳市公安局交通警察支队浑南交警大队-</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为保障2023年大队顺利完成交通安全工作及上级机关相关要求，需制作安全宣传栏约15万元；宣传用品约14万元；其他临时性宣传活动月1万元。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正常保障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开展交通安全主题宣传活动的场数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发布交通安全提示、警示信息项数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开展交通安全主题宣传活动的场数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发布交通安全提示、警示信息项数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超载车辆有效监控率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超载车辆有效查处率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超载车辆有效查处率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超载车辆有效监控率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交通事故死亡人数下降率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交通事故下降率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交通事故下降率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交通事故死亡人数下降率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33.5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机关办公楼租赁费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沈阳市公安局交通警察支队浑南交警大队-</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保障我到单位外住中队正常运转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正常保障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开展交通安全主题宣传活动的场数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发布交通安全提示、警示信息项数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开展交通安全主题宣传活动的场数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发布交通安全提示、警示信息项数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超载车辆有效监控率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超载车辆有效查处率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超载车辆有效监控率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超载车辆有效查处率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降低交通事故发生率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交通事故下降率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交通事故下降率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降低交通事故发生率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勤务备勤伙食费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沈阳市公安局交通警察支队浑南交警大队-</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49.67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51.21%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因我大队为24小时工作制。保障大队每日备勤人员的用餐。全年共计约55万元。我单位全年大型勤务伙食费补助费42万元。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正常保障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开展交通安全主题宣传活动的场数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发布交通安全提示、警示信息项数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开展交通安全主题宣传活动的场数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发布交通安全提示、警示信息项数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超载车辆有效监控率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超载车辆有效查处率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超载车辆有效查处率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超载车辆有效监控率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交通事故下降率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交通事故死亡人数下降率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交通事故下降率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交通事故死亡人数下降率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5.12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26.12053206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三中队采暖费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沈阳市公安局交通警察支队浑南交警大队-</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确保三种队按规定时间供暖。</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正常保障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开展交通安全主题宣传活动的场数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发布交通安全提示、警示信息项数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开展交通安全主题宣传活动的场数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发布交通安全提示、警示信息项数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超载车辆有效监控率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超载车辆有效查处率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超载车辆有效查处率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超载车辆有效监控率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交通事故死亡人数下降率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交通事故下降率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交通事故死亡人数下降率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交通事故下降率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委托检测费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沈阳市公安局交通警察支队浑南交警大队-</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保障2024年全区交通事故能够正常处理，涉案驾驶员与车辆能够正常检测。</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正常保障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发布交通安全提示、警示信息项数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开展交通安全主题宣传活动的场数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发布交通安全提示、警示信息项数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开展交通安全主题宣传活动的场数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超载车辆有效监控率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超载车辆有效查处率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超载车辆有效查处率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超载车辆有效监控率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交通事故下降率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交通事故死亡人数下降率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交通事故死亡人数下降率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交通事故下降率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31.84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物业管理费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沈阳市公安局交通警察支队浑南交警大队-</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确保三中队日常工作与生活能正常运转。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正常保障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开展交通安全主题宣传活动的场数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发布交通安全提示、警示信息项数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开展交通安全主题宣传活动的场数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发布交通安全提示、警示信息项数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超载车辆有效监控率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超载车辆有效查处率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超载车辆有效查处率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超载车辆有效监控率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交通事故死亡人数下降率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交通事故下降率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交通事故下降率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交通事故死亡人数下降率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信访稳定备用金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沈阳市公安局交通警察支队浑南交警大队-</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关于解决信访人张红东救助资金的问题。</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正常保障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受理办理网上信访事项数量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万件次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实地督办信访事项数量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信访举报办结率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交通违法事件查处率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交通管理投诉下降率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交通事故下降率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执法协勤人员经费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沈阳市公安局交通警察支队浑南交警大队-</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365.1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82.04%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保障在职58人工资正常发放。</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正常保障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开展交通安全主题宣传活动的场数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发布交通安全提示、警示信息项数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超载车辆有效查处率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交通违法事件查处率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交通事故下降率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降低交通事故发生率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98.2</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