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辽宁省沈阳市棋盘山生态环境分局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辽宁省沈阳市棋盘山生态环境分局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辽宁省沈阳市棋盘山生态环境分局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辽宁省沈阳市棋盘山生态环境分局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辽宁省沈阳市棋盘山生态环境分局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辽宁省沈阳市棋盘山生态环境分局概况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（一）贯彻执行国家、省关于环境保护的政策、规划、法律、法规；起草区环境保护相关法规草案；组织编制区环境功能区划；组织拟订并监督实施区重点区域、流域污染防治规划和饮用水水源地环境保护规划。</w:t>
        <w:br/>
        <w:t xml:space="preserve">    （二）牵头协调本区重特大环境污染事故和生态破坏事件的调查处理；指导企业协调区内、 对重特大突发环境事件的应急、预警工作；负责统筹、协调、监督本区重点区域、流域污染防治工作。</w:t>
        <w:br/>
        <w:t xml:space="preserve">    （三）组织制定本区主要污染物排放总量控制制度，贯彻落实国家、省排污许可证发放相关制度，负责监督全区污染物减排任务完成情况；组织实施本区环境保护目标责任制和污染物总量减排考核。</w:t>
        <w:br/>
        <w:t xml:space="preserve">    （四）负责提出本区环境保护领域地方财政专项资金安排意见或建议，并配合有关部门做好组织实施和监督工作；参与指导和推动本区循环经济和环境保护产业发展。</w:t>
        <w:br/>
        <w:t xml:space="preserve">    （五）承担从源头上预防、控制环境污染和环境破坏的责任。受市环保局委托对重大经济和技术政策、发展规划以及重大经济开发计划提出环境保护意见，对涉及环境保护的法律、法规草案提出有关环境影响方面的意见；按相关规定审批开发建设区域、项目环境影响评价文件。</w:t>
        <w:br/>
        <w:t xml:space="preserve">    （六）拟定全区水体、大气、土壤、噪声、光、恶臭、固体废物、化学品、机动车等的污染防治管理制度并组织实施；会同有关部门监督管理饮用水水源地环境保护工作；组织指导本区城镇和农村的环境综合整治工作。</w:t>
        <w:br/>
        <w:t xml:space="preserve">    （七）拟定全区生态保护规划，组织评估生态环境质量状况，监督对生态环境有影响的自然资源开发利用活动、重要生态环境建设和生态破坏恢复工作；指导、协调、监督各类自然保护区、风景名胜区、森林公园的环境保护工作；协调和监督本区野生动植物保护、湿地环境保护、荒漠化防治工作；协调指导农村生态环境保护；监督生物技术环境安全；牵头生物物种（含遗传资源）工作，组织协调生物多样性保护工作。</w:t>
        <w:br/>
        <w:t xml:space="preserve">    （八）拟订全区有关核安全和辐射安全监督管理的政策、法规、规划和标准，参与核事故应急处理，负责协调区级职责范围内的辐射环境事故应急处理；监督管理核设施安全、放射源安全；监督管理核设施、核技术应用、电磁辐射、伴有放射性矿产资源开发利用中的污染防治；对核材料的管制和民用核安全设备的设计、制造、安装和无损检验活动实施监督管理。</w:t>
        <w:br/>
        <w:t xml:space="preserve">    （九）贯彻落实国家、省环境监测制度和规范，组织实施环境质量监测和污染源监督性监测。组织对全区环境质量状况进行调查评估、预测预警；组织建设和管理本区环境监测网和环境信息网，建立和实行环境质量公告制度，发布全区环境综合性报告和重大环境信息。负责对全区污水处理运营的监督管理。</w:t>
        <w:br/>
        <w:t xml:space="preserve">    （十）组织全区环境保护宣传教育工作；组织开展生态文明建设和环境友好型社会建设的有关宣传教育工作；推动社会公众和社会组织参与环境保护。</w:t>
        <w:br/>
        <w:t xml:space="preserve">    （十一）承办区政府、市生态局交办的其他事项。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辽宁省沈阳市棋盘山生态环境分局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沈阳市棋盘山生态环境分局（棋盘山生态环境保护综合行政执法队）本级，本单位无下设机构。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331.47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203.70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61.45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203.70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127.78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38.55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主要是征收项目暂未结算完毕形成的结余等。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减少242.87万元，降低42.29%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缩减项目经费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203.70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203.70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主要包括节能环保、城乡社区、债务还本等业务支出。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减少242.87万元，降低54.39%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缩减项目经费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127.78</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主要是征收项目暂未结算完毕等原因形成的结余。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本年度该项目无进展</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203.70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203.70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减少242.87万元，降低54.39%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缩减项目经费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759.78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759.78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2024年度一般公共预算财政拨款支出203.70万元。按支出功能分类科目分，包括：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1.节能环保支出152.22万元，具体包括：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环境保护管理事务（款）一般行政管理事务（项）6.50万元,主要是食堂运营费、雇员经费等支出，完成年初预算的24.2%，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节能环保支出（类）污染防治（款）其他污染防治支出（项）145.72万元,主要是偿还拖欠企业工程账款等支出，完成年初预算的100%，决算数与年初预算数存在差异的主要原因是完全按照预算安排，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2.城乡社区支出51.48万元，具体包括：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51.48万元,主要是一体化污水处理设备采购及安装工程款等支出，完成年初预算的100%，决算数与年初预算数存在差异的主要原因是完全按照预算安排，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两个年度都无此业务发生</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两个年度都无此业务发生</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本年度无此业务发生</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两个年度都无此业务发生</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两个年度都无此业务发生</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我部门本年度不涉及整体绩效评价。</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个；得分在60分以下、等级为“差”的项目有3个。各项目自评发现，部分项目存在资金发放率低的问题，如：食堂运行费、设备维修费及杂费项目资金紧缺，造成预算执行进度慢，时效指标及经济效益指标未能达成</w:t>
        <w:br/>
        <w:t xml:space="preserve">    3.部门重点评价情况及结果。</w:t>
        <w:br/>
        <w:t xml:space="preserve">    我部门本年度不涉及特定项目类绩效评价。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203.70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152.22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51.48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203.70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203.70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127.78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127.78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331.47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331.47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203.70</w:t>
            </w:r>
          </w:p>
        </w:tc>
        <w:tc>
          <w:tcPr>
            <w:tcW w:w="960" w:type="dxa"/>
            <w:tcBorders/>
            <w:vAlign w:val="center"/>
          </w:tcPr>
          <w:p>
            <w:pPr>
              <w:jc w:val="right"/>
            </w:pPr>
            <w:r>
              <w:rPr>
                <w:rFonts w:ascii="宋体" w:eastAsia="宋体" w:hAnsi="宋体" w:cs="宋体"/>
                <w:b/>
                <w:i w:val="0"/>
                <w:color w:val="000000"/>
                <w:sz w:val="13"/>
              </w:rPr>
              <w:t xml:space="preserve">203.70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152.22</w:t>
            </w:r>
          </w:p>
        </w:tc>
        <w:tc>
          <w:tcPr>
            <w:tcW w:w="960" w:type="dxa"/>
            <w:tcBorders/>
            <w:vAlign w:val="center"/>
          </w:tcPr>
          <w:p>
            <w:pPr>
              <w:jc w:val="right"/>
            </w:pPr>
            <w:r>
              <w:rPr>
                <w:rFonts w:ascii="宋体" w:eastAsia="宋体" w:hAnsi="宋体" w:cs="宋体"/>
                <w:b w:val="0"/>
                <w:i w:val="0"/>
                <w:color w:val="000000"/>
                <w:sz w:val="13"/>
              </w:rPr>
              <w:t xml:space="preserve">152.22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21101</w:t>
            </w:r>
          </w:p>
        </w:tc>
        <w:tc>
          <w:tcPr>
            <w:tcW w:w="3200" w:type="dxa"/>
            <w:tcBorders/>
            <w:vAlign w:val="center"/>
          </w:tcPr>
          <w:p>
            <w:pPr>
              <w:jc w:val="left"/>
            </w:pPr>
            <w:r>
              <w:rPr>
                <w:rFonts w:ascii="宋体" w:eastAsia="宋体" w:hAnsi="宋体" w:cs="宋体"/>
                <w:b w:val="0"/>
                <w:i w:val="0"/>
                <w:color w:val="000000"/>
                <w:sz w:val="13"/>
              </w:rPr>
              <w:t xml:space="preserve">环境保护管理事务</w:t>
            </w:r>
          </w:p>
        </w:tc>
        <w:tc>
          <w:tcPr>
            <w:tcW w:w="960" w:type="dxa"/>
            <w:tcBorders/>
            <w:vAlign w:val="center"/>
          </w:tcPr>
          <w:p>
            <w:pPr>
              <w:jc w:val="right"/>
            </w:pPr>
            <w:r>
              <w:rPr>
                <w:rFonts w:ascii="宋体" w:eastAsia="宋体" w:hAnsi="宋体" w:cs="宋体"/>
                <w:b w:val="0"/>
                <w:i w:val="0"/>
                <w:color w:val="000000"/>
                <w:sz w:val="13"/>
              </w:rPr>
              <w:t xml:space="preserve">6.50</w:t>
            </w:r>
          </w:p>
        </w:tc>
        <w:tc>
          <w:tcPr>
            <w:tcW w:w="960" w:type="dxa"/>
            <w:tcBorders/>
            <w:vAlign w:val="center"/>
          </w:tcPr>
          <w:p>
            <w:pPr>
              <w:jc w:val="right"/>
            </w:pPr>
            <w:r>
              <w:rPr>
                <w:rFonts w:ascii="宋体" w:eastAsia="宋体" w:hAnsi="宋体" w:cs="宋体"/>
                <w:b w:val="0"/>
                <w:i w:val="0"/>
                <w:color w:val="000000"/>
                <w:sz w:val="13"/>
              </w:rPr>
              <w:t xml:space="preserve">6.50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6.50</w:t>
            </w:r>
          </w:p>
        </w:tc>
        <w:tc>
          <w:tcPr>
            <w:tcW w:w="960" w:type="dxa"/>
            <w:tcBorders/>
            <w:vAlign w:val="center"/>
          </w:tcPr>
          <w:p>
            <w:pPr>
              <w:jc w:val="right"/>
            </w:pPr>
            <w:r>
              <w:rPr>
                <w:rFonts w:ascii="宋体" w:eastAsia="宋体" w:hAnsi="宋体" w:cs="宋体"/>
                <w:b w:val="0"/>
                <w:i w:val="0"/>
                <w:color w:val="000000"/>
                <w:sz w:val="13"/>
              </w:rPr>
              <w:t xml:space="preserve">6.50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145.72</w:t>
            </w:r>
          </w:p>
        </w:tc>
        <w:tc>
          <w:tcPr>
            <w:tcW w:w="960" w:type="dxa"/>
            <w:tcBorders/>
            <w:vAlign w:val="center"/>
          </w:tcPr>
          <w:p>
            <w:pPr>
              <w:jc w:val="right"/>
            </w:pPr>
            <w:r>
              <w:rPr>
                <w:rFonts w:ascii="宋体" w:eastAsia="宋体" w:hAnsi="宋体" w:cs="宋体"/>
                <w:b w:val="0"/>
                <w:i w:val="0"/>
                <w:color w:val="000000"/>
                <w:sz w:val="13"/>
              </w:rPr>
              <w:t xml:space="preserve">145.72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2110399</w:t>
            </w:r>
          </w:p>
        </w:tc>
        <w:tc>
          <w:tcPr>
            <w:tcW w:w="3200" w:type="dxa"/>
            <w:tcBorders/>
            <w:vAlign w:val="center"/>
          </w:tcPr>
          <w:p>
            <w:pPr>
              <w:jc w:val="left"/>
            </w:pPr>
            <w:r>
              <w:rPr>
                <w:rFonts w:ascii="宋体" w:eastAsia="宋体" w:hAnsi="宋体" w:cs="宋体"/>
                <w:b w:val="0"/>
                <w:i w:val="0"/>
                <w:color w:val="000000"/>
                <w:sz w:val="13"/>
              </w:rPr>
              <w:t xml:space="preserve">其他污染防治支出</w:t>
            </w:r>
          </w:p>
        </w:tc>
        <w:tc>
          <w:tcPr>
            <w:tcW w:w="960" w:type="dxa"/>
            <w:tcBorders/>
            <w:vAlign w:val="center"/>
          </w:tcPr>
          <w:p>
            <w:pPr>
              <w:jc w:val="right"/>
            </w:pPr>
            <w:r>
              <w:rPr>
                <w:rFonts w:ascii="宋体" w:eastAsia="宋体" w:hAnsi="宋体" w:cs="宋体"/>
                <w:b w:val="0"/>
                <w:i w:val="0"/>
                <w:color w:val="000000"/>
                <w:sz w:val="13"/>
              </w:rPr>
              <w:t xml:space="preserve">145.72</w:t>
            </w:r>
          </w:p>
        </w:tc>
        <w:tc>
          <w:tcPr>
            <w:tcW w:w="960" w:type="dxa"/>
            <w:tcBorders/>
            <w:vAlign w:val="center"/>
          </w:tcPr>
          <w:p>
            <w:pPr>
              <w:jc w:val="right"/>
            </w:pPr>
            <w:r>
              <w:rPr>
                <w:rFonts w:ascii="宋体" w:eastAsia="宋体" w:hAnsi="宋体" w:cs="宋体"/>
                <w:b w:val="0"/>
                <w:i w:val="0"/>
                <w:color w:val="000000"/>
                <w:sz w:val="13"/>
              </w:rPr>
              <w:t xml:space="preserve">145.72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203.70</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203.70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152.22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152.22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21101</w:t>
            </w:r>
          </w:p>
        </w:tc>
        <w:tc>
          <w:tcPr>
            <w:tcW w:w="3440" w:type="dxa"/>
            <w:tcBorders/>
            <w:vAlign w:val="center"/>
          </w:tcPr>
          <w:p>
            <w:pPr>
              <w:jc w:val="left"/>
            </w:pPr>
            <w:r>
              <w:rPr>
                <w:rFonts w:ascii="宋体" w:eastAsia="宋体" w:hAnsi="宋体" w:cs="宋体"/>
                <w:b w:val="0"/>
                <w:i w:val="0"/>
                <w:color w:val="000000"/>
                <w:sz w:val="14"/>
              </w:rPr>
              <w:t xml:space="preserve">环境保护管理事务</w:t>
            </w:r>
          </w:p>
        </w:tc>
        <w:tc>
          <w:tcPr>
            <w:tcW w:w="1060" w:type="dxa"/>
            <w:tcBorders/>
            <w:vAlign w:val="center"/>
          </w:tcPr>
          <w:p>
            <w:pPr>
              <w:jc w:val="right"/>
            </w:pPr>
            <w:r>
              <w:rPr>
                <w:rFonts w:ascii="宋体" w:eastAsia="宋体" w:hAnsi="宋体" w:cs="宋体"/>
                <w:b w:val="0"/>
                <w:i w:val="0"/>
                <w:color w:val="000000"/>
                <w:sz w:val="14"/>
              </w:rPr>
              <w:t xml:space="preserve">6.50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145.72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2110399</w:t>
            </w:r>
          </w:p>
        </w:tc>
        <w:tc>
          <w:tcPr>
            <w:tcW w:w="3440" w:type="dxa"/>
            <w:tcBorders/>
            <w:vAlign w:val="center"/>
          </w:tcPr>
          <w:p>
            <w:pPr>
              <w:jc w:val="left"/>
            </w:pPr>
            <w:r>
              <w:rPr>
                <w:rFonts w:ascii="宋体" w:eastAsia="宋体" w:hAnsi="宋体" w:cs="宋体"/>
                <w:b w:val="0"/>
                <w:i w:val="0"/>
                <w:color w:val="000000"/>
                <w:sz w:val="14"/>
              </w:rPr>
              <w:t xml:space="preserve">其他污染防治支出</w:t>
            </w:r>
          </w:p>
        </w:tc>
        <w:tc>
          <w:tcPr>
            <w:tcW w:w="1060" w:type="dxa"/>
            <w:tcBorders/>
            <w:vAlign w:val="center"/>
          </w:tcPr>
          <w:p>
            <w:pPr>
              <w:jc w:val="right"/>
            </w:pPr>
            <w:r>
              <w:rPr>
                <w:rFonts w:ascii="宋体" w:eastAsia="宋体" w:hAnsi="宋体" w:cs="宋体"/>
                <w:b w:val="0"/>
                <w:i w:val="0"/>
                <w:color w:val="000000"/>
                <w:sz w:val="14"/>
              </w:rPr>
              <w:t xml:space="preserve">145.72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152.22</w:t>
            </w:r>
          </w:p>
        </w:tc>
        <w:tc>
          <w:tcPr>
            <w:tcW w:w="1100" w:type="dxa"/>
            <w:tcBorders/>
            <w:vAlign w:val="center"/>
          </w:tcPr>
          <w:p>
            <w:pPr>
              <w:jc w:val="right"/>
            </w:pPr>
            <w:r>
              <w:rPr>
                <w:rFonts w:ascii="宋体" w:eastAsia="宋体" w:hAnsi="宋体" w:cs="宋体"/>
                <w:b w:val="0"/>
                <w:i w:val="0"/>
                <w:color w:val="000000"/>
                <w:sz w:val="14"/>
              </w:rPr>
              <w:t xml:space="preserve">152.22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51.48</w:t>
            </w:r>
          </w:p>
        </w:tc>
        <w:tc>
          <w:tcPr>
            <w:tcW w:w="1100" w:type="dxa"/>
            <w:tcBorders/>
            <w:vAlign w:val="center"/>
          </w:tcPr>
          <w:p>
            <w:pPr>
              <w:jc w:val="right"/>
            </w:pPr>
            <w:r>
              <w:rPr>
                <w:rFonts w:ascii="宋体" w:eastAsia="宋体" w:hAnsi="宋体" w:cs="宋体"/>
                <w:b w:val="0"/>
                <w:i w:val="0"/>
                <w:color w:val="000000"/>
                <w:sz w:val="14"/>
              </w:rPr>
              <w:t xml:space="preserve">51.48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1100" w:type="dxa"/>
            <w:tcBorders/>
            <w:vAlign w:val="center"/>
          </w:tcPr>
          <w:p>
            <w:pPr>
              <w:jc w:val="right"/>
            </w:pPr>
            <w:r>
              <w:rPr>
                <w:rFonts w:ascii="宋体" w:eastAsia="宋体" w:hAnsi="宋体" w:cs="宋体"/>
                <w:b w:val="0"/>
                <w:i w:val="0"/>
                <w:color w:val="000000"/>
                <w:sz w:val="14"/>
              </w:rPr>
              <w:t xml:space="preserve">203.70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203.70</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203.70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152.22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152.22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21101</w:t>
            </w:r>
          </w:p>
        </w:tc>
        <w:tc>
          <w:tcPr>
            <w:tcW w:w="4300" w:type="dxa"/>
            <w:tcBorders/>
            <w:vAlign w:val="center"/>
          </w:tcPr>
          <w:p>
            <w:pPr>
              <w:jc w:val="left"/>
            </w:pPr>
            <w:r>
              <w:rPr>
                <w:rFonts w:ascii="宋体" w:eastAsia="宋体" w:hAnsi="宋体" w:cs="宋体"/>
                <w:b w:val="0"/>
                <w:i w:val="0"/>
                <w:color w:val="000000"/>
                <w:sz w:val="18"/>
              </w:rPr>
              <w:t xml:space="preserve">环境保护管理事务</w:t>
            </w:r>
          </w:p>
        </w:tc>
        <w:tc>
          <w:tcPr>
            <w:tcW w:w="1780" w:type="dxa"/>
            <w:tcBorders/>
            <w:vAlign w:val="center"/>
          </w:tcPr>
          <w:p>
            <w:pPr>
              <w:jc w:val="right"/>
            </w:pPr>
            <w:r>
              <w:rPr>
                <w:rFonts w:ascii="宋体" w:eastAsia="宋体" w:hAnsi="宋体" w:cs="宋体"/>
                <w:b w:val="0"/>
                <w:i w:val="0"/>
                <w:color w:val="000000"/>
                <w:sz w:val="18"/>
              </w:rPr>
              <w:t xml:space="preserve">6.50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145.72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2110399</w:t>
            </w:r>
          </w:p>
        </w:tc>
        <w:tc>
          <w:tcPr>
            <w:tcW w:w="4300" w:type="dxa"/>
            <w:tcBorders/>
            <w:vAlign w:val="center"/>
          </w:tcPr>
          <w:p>
            <w:pPr>
              <w:jc w:val="left"/>
            </w:pPr>
            <w:r>
              <w:rPr>
                <w:rFonts w:ascii="宋体" w:eastAsia="宋体" w:hAnsi="宋体" w:cs="宋体"/>
                <w:b w:val="0"/>
                <w:i w:val="0"/>
                <w:color w:val="000000"/>
                <w:sz w:val="18"/>
              </w:rPr>
              <w:t xml:space="preserve">其他污染防治支出</w:t>
            </w:r>
          </w:p>
        </w:tc>
        <w:tc>
          <w:tcPr>
            <w:tcW w:w="1780" w:type="dxa"/>
            <w:tcBorders/>
            <w:vAlign w:val="center"/>
          </w:tcPr>
          <w:p>
            <w:pPr>
              <w:jc w:val="right"/>
            </w:pPr>
            <w:r>
              <w:rPr>
                <w:rFonts w:ascii="宋体" w:eastAsia="宋体" w:hAnsi="宋体" w:cs="宋体"/>
                <w:b w:val="0"/>
                <w:i w:val="0"/>
                <w:color w:val="000000"/>
                <w:sz w:val="18"/>
              </w:rPr>
              <w:t xml:space="preserve">145.72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51.48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51.48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51.48</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单位：辽宁省沈阳市棋盘山生态环境分局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19.38%</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有效保障生态环境保护工作运转。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2024年生态环境保护工作正常运转。</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对口支援驻点工作人员数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经费保障:由于财政资金紧缺，财政加强对各项资金使用的紧迫度等进行平衡，财政缩减我局雇员经费中办公经费，伙食费暂缓发放。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生活补贴经费比例</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1.518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经费保障:由于财政资金紧缺，财政加强对各项资金使用的紧迫度等进行平衡，财政缩减我局雇员经费中办公经费，伙食费暂缓发放。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实现毕业生稳定就业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22.38946831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生态环境第三方队伍</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协助管理机构开展对辖区内的生态环境事物服务工作，保障生态环境管理工作高效运行。</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该项目实施过程中，其协助管理机构开展对辖区内的生态环境事物服务工作，保障生态环境管理工作高效运行。</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年度服务时长</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编制机动车环境管理年报数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环境信访工作人员人数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聘请第三方开展建设项目竣工环境保护验收效果评估合格率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企业环境信用评价完成率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生态环境保护规划年度考核评估完成率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处置环境污染问题的及时率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36.48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36.48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环境信访工作的保障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生态环境督察执法能力</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加强督察</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环境公共服务程度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完善服务</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对周边环境的改善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监督评估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加强监督</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优化营商环境，服务企业持续发展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服务增强</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省级“两山”实践创新基地创建项目技术服务费尾款16.22万元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偿还以前年度欠款，有效化解矛盾，利于浑南区营商环境建设。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本次付款后，该项目全部欠款已经还清。</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大气环境管理现场调研工作完成率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生态环境执法相关规章制（修）订数量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开展环保督察工作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生态环境项目预算绩效管理</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生态环境保护规划年度考核评估完成率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方案评估覆盖率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数据库及应用环境建设完成进度及时率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数据处理与报告编制成本</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万元/套</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环境保护专项资金成果对促进污染减排和生态保护有明显成效</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有效推进评估（考核）目实现预期效益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生态环境督察执法能力</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环境保护执法人员满意度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食堂运行费、设备维修费及杂费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保障机关单位正常运转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2024年机关后勤管理工作正常运转。</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经费保障:由于财政资金紧缺，财政加强对各项资金使用的紧迫度等进行平衡，我局本年度预算伙食费未足额发放。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经费保障:浑南区政府、区财政局及相关职能部门，积极寻求增加政府收益的项目，大力发展经济，大力开展开源节流举措。</w:t>
            </w:r>
          </w:p>
          <w:p>
            <w:pPr>
              <w:pBdr/>
              <w:shd w:val="clear" w:color="auto" w:fill="auto"/>
              <w:snapToGrid w:val="0"/>
              <w:spacing w:before="0" w:beforeAutospacing="0" w:after="0" w:afterAutospacing="0" w:line="240" w:lineRule="auto"/>
              <w:jc w:val="left"/>
              <w:rP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按期发放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经费保障:由于财政资金紧缺，财政加强对各项资金使用的紧迫度等进行平衡，我局本年度预算伙食费未足额发放。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提升基本公共服务水平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后勤保障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78.91</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21.91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为加大执法力度，为生态环境保护及执法提供有效技术支撑.</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环境检测数据有效，为环境保护及执法工作提供了有效的技术支撑，该项目为跨自然年项目，按照进度进行。</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经费保障:由于财政资金紧缺，财政加强对各项资金使用的紧迫度等进行平衡，我局本年度预算委托检测费费未发放。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经费保障:由于财政资金紧缺，财政加强对各项资金使用的紧迫度等进行平衡，我局本年度预算委托检测费未发放。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249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其他:截止到2024年末，该项目按进度按实际需求进行，已委托检测费用26.8万元，占合同总额的33.5%。</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其他:该项目为跨自然年项目，合同时限为2024年5月至2025年5月，我单位依据实际需求，继续做好委托检测服务工作。</w:t>
            </w:r>
          </w:p>
          <w:p>
            <w:pPr>
              <w:pBdr/>
              <w:shd w:val="clear" w:color="auto" w:fill="auto"/>
              <w:snapToGrid w:val="0"/>
              <w:spacing w:before="0" w:beforeAutospacing="0" w:after="0" w:afterAutospacing="0" w:line="240" w:lineRule="auto"/>
              <w:jc w:val="left"/>
              <w:rPr/>
            </w:pPr>
          </w:p>
        </w:tc>
      </w:tr>
      <w:tr>
        <w:trPr>
          <w:trHeight w:hRule="exact" w:val="249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1.147</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其他:截止到2024年末，该项目按进度按实际需求进行，已委托检测费用26.8万元，占合同总额的33.5%。</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其他:该项目为跨自然年项目，合同时限为2024年5月至2025年5月，我单位依据实际需求，继续做好委托检测服务工作。</w:t>
            </w:r>
          </w:p>
          <w:p>
            <w:pPr>
              <w:pBdr/>
              <w:shd w:val="clear" w:color="auto" w:fill="auto"/>
              <w:snapToGrid w:val="0"/>
              <w:spacing w:before="0" w:beforeAutospacing="0" w:after="0" w:afterAutospacing="0" w:line="240" w:lineRule="auto"/>
              <w:jc w:val="left"/>
              <w:rP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检测样品合格率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经费保障:由于财政资金紧缺，财政加强对各项资金使用的紧迫度等进行平衡，我局本年度预算委托检测费未发放。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检测样品合格率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经费保障:由于财政资金紧缺，财政加强对各项资金使用的紧迫度等进行平衡，我局本年度预算委托检测费未发放。</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经费保障:浑南区政府、浑南区财政局及相关职能部门，大力需求增加经济来源的项目，开展开源节流等举措。</w:t>
            </w:r>
          </w:p>
          <w:p>
            <w:pPr>
              <w:pBdr/>
              <w:shd w:val="clear" w:color="auto" w:fill="auto"/>
              <w:snapToGrid w:val="0"/>
              <w:spacing w:before="0" w:beforeAutospacing="0" w:after="0" w:afterAutospacing="0" w:line="240" w:lineRule="auto"/>
              <w:jc w:val="left"/>
              <w:rP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保护总成本金额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保护总成本金额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检验检测服务能力提升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检验检测服务能力提升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是否出现重大生态污染等情况</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是否出现重大生态污染等情况</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生态环境持续恢复情况</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生态环境持续恢复情况</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测算</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73.69</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14.694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预算申请审核分级审理，预算申请依据、预算申请程序全过程审核，预算支付按”三重一大”制度程序执行，预算支付及时。</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预算申请审核分级审理，预算申请依据、预算申请程序全过程审核，预算拨付及时、预算资金额度到位。</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2021年度棋盘山全域环境质量评估工作服务费124.5万元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沈阳市棋盘山生态环境分局-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偿还以前年度欠款，有效化解矛盾，利于浑南区营商环境建设。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大气环境管理现场调研工作完成率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生态环境执法相关规章制（修）订数量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开展环保督察工作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生态环境项目预算绩效管理</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工作完成率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生态环境保护规划年度考核评估完成率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方案评估覆盖率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数据库及应用环境建设完成进度及时率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数据处理与报告编制成本</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万元/套</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环境保护专项资金成果对促进污染减排和生态保护有明显成效</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有效推进评估（考核）目实现预期效益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生态环境督察执法能力</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生态系统保护能力</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是否出现重大生态污染等情况</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数据支撑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环境保护执法人员满意度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