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辽宁省沈阳市自然资源局浑南分局</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辽宁省沈阳市自然资源局浑南分局</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辽宁省沈阳市自然资源局浑南分局</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辽宁省沈阳市自然资源局浑南分局</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辽宁省沈阳市自然资源局浑南分局</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辽宁省沈阳市自然资源局浑南分局概况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根据《中共辽宁省委办公厅 辽宁省人民政府办公厅关于印发〈沈阳市机构改革方案〉的通知》（厅秘发〔2018〕244号）精神，设立沈阳市自然资源局，沈阳市自然资源局是市政府工作部门，为副厅级，加挂沈阳市规划局、沈阳市林业局和草原局牌子。</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辽宁省沈阳市自然资源局浑南分局</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沈阳市自然资源局浑南分局为沈阳市自然资源局派驻浑南区机构，负责浑南区内自然资源管理工作。</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22907.74</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22747.54</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99.30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18359.29</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4388.25</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160.20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0.70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主要是规划编制费等。</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增加18210.37万元，增长387.67%</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土地开发业务增加</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22747.54</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22747.54</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100.00</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主要包括土地开发支出、征地补偿费等业务支出。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增加18210.37万元，增长401.36%</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土地开发支出增加</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160.20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cs="仿宋_GB2312" w:hint="eastAsia"/>
          <w:sz w:val="32"/>
          <w:szCs w:val="32"/>
        </w:rPr>
        <w:t xml:space="preserve">主要是规划编制费等原因形成的结余。</w:t>
      </w: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此项目尚未支出</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22747.54</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22747.54</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增加18400.61万元，增长423.30%</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征地补偿费用增加</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67220.86</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67220.86</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2024年度一般公共预算财政拨款支出18359.29万元。按支出功能分类科目分，包括：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1.科学技术支出14900.00万元，具体包括：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科学技术支出（类）其他科学技术支出（款）其他科学技术支出（项）14900.00万元,主要是土地开发支出等支出，完成年初预算的100%，决算数与年初预算数存在差异的主要原因是完全按照预算执行，决算数与预算数实际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2.文化旅游体育与传媒支出3126.58万元，具体包括：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文化旅游体育与传媒支出（类）体育（款）其他体育支出（项）3126.58万元,主要是土地开发支出、征地补偿费等支出，完成年初预算的100%，决算数与年初预算数存在差异的主要原因是完全按照预算执行，决算数与预算数实际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3.城乡社区支出0.00万元，具体包括：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城乡社区支出（类）城乡社区公共设施（款）其他城乡社区公共设施支出（项）0.00万元,主要是征地补偿费用增加等支出，完成年初预算的100%，决算数与年初预算数存在差异的主要原因是完全按照预算执行，决算数与预算数实际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4.自然资源海洋气象等支出332.71万元，具体包括：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自然资源海洋气象等支出（类）自然资源事务（款）一般行政管理事务（项）17.36万元,主要是征地补偿费用、土地开发支出等支出，完成年初预算的100%，决算数与年初预算数存在差异的主要原因是完全按照预算执行，决算数与预算数实际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自然资源海洋气象等支出（类）自然资源事务（款）其他自然资源事务支出（项）315.35万元,主要是征地补偿费用、土地开发支出等支出，完成年初预算的100%，决算数与年初预算数存在差异的主要原因是完全按照预算执行，决算数与预算数实际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2024年度政府性基金预算财政拨款支出4388.25万元。按支出功能分类科目分，包括：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1.城乡社区支出4388.25万元，具体包括：</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1）城乡社区支出（类）国有土地使用权出让收入安排的支出（款）征地和拆迁补偿支出（项）1165.61万元,主要是征地补偿费用、土地开发支出等支出，完成年初预算的100%，决算数与年初预算数存在差异的主要原因是完全按照预算执行，决算数与预算数实际无任何差异。</w:t>
      </w:r>
    </w:p>
    <w:p>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 xml:space="preserve">（2）城乡社区支出（类）国有土地使用权出让收入安排的支出（款）土地开发支出（项）3222.64万元,主要是征地补偿费用、土地开发支出等支出，完成年初预算的100%，决算数与年初预算数存在差异的主要原因是完全按照预算执行，决算数与预算数实际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无此任务</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我局为市局派出机构，相关经费由市财政承担</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具体而言，本年度我部门共组织对4个项目实施了绩效评价。从预算资金来源看，涉及一般公共预算的项目0个，涉及政府性基金预算的项目4个，涉及国有资本经营预算的项目0个。</w:t>
        <w:br/>
        <w:t xml:space="preserve">    上述评价工作共涉及财政资金3405.43万元。其中，一般公共预算资金0万元，占资金总额的0%；政府性基金预算资金3405.43万元，占100%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1个；得分在80分（含）至90分、等级为“良”的项目有0个；得分在60分（含）至80分、等级为“中”的项目有0；得分在60分以下、等级为“差”的项目有3个。各项目自评发现，部分项目存在预算执行差问题，如：预算执行进度偏慢、个别效益指标未能完全达成等，已要求相关项目单位分析原因并制定改进措施。</w:t>
        <w:br/>
        <w:t xml:space="preserve">    3.部门重点评价情况及结果。</w:t>
        <w:br/>
        <w:t xml:space="preserve">    在全面自评的基础上，本部门选取了4个资金量大、社会关注度高、具有代表性的重点项目实施了部门重点评价。评价工作通过现场核查、数据采集分析方式进行，确保了评价结果的客观性和公正性。</w:t>
        <w:br/>
        <w:t xml:space="preserve">    我部门组织对4个项目重点评价，结果显示，被评价项目整体绩效情况良好。其中：第一个重点项目为土地出让规划类费用，涉及资金900万元，评价平均分为100分，评级情况为优；第二个重点项目为雇员经费，涉及资17.36万元，评价平均分为89分，评级情况为优。同时，评价也发现政府专项土地开发、专家评审费用项目存在问题，如：绩效指标设置不够细化、资金使用效益有待进一步提升等。针对评价发现的问题，我们已督促项目单位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br/>
        <w:t xml:space="preserve">    （2）公开情况：本部门将按照政务公开要求，适时将通过审核的绩效评价结果（尤其是部门评价和财政评价结果）向社会公开，主动接受社会监督。</w:t>
        <w:b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18,359.29</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jc w:val="right"/>
            </w:pPr>
            <w:r>
              <w:rPr>
                <w:rFonts w:ascii="宋体" w:eastAsia="宋体" w:hAnsi="宋体" w:cs="宋体"/>
                <w:b w:val="0"/>
                <w:i w:val="0"/>
                <w:color w:val="000000"/>
                <w:sz w:val="16"/>
              </w:rPr>
              <w:t xml:space="preserve">4,388.25</w:t>
            </w: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jc w:val="right"/>
            </w:pPr>
            <w:r>
              <w:rPr>
                <w:rFonts w:ascii="宋体" w:eastAsia="宋体" w:hAnsi="宋体" w:cs="宋体"/>
                <w:b w:val="0"/>
                <w:i w:val="0"/>
                <w:color w:val="000000"/>
                <w:sz w:val="16"/>
              </w:rPr>
              <w:t xml:space="preserve">14,900.00</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jc w:val="right"/>
            </w:pPr>
            <w:r>
              <w:rPr>
                <w:rFonts w:ascii="宋体" w:eastAsia="宋体" w:hAnsi="宋体" w:cs="宋体"/>
                <w:b w:val="0"/>
                <w:i w:val="0"/>
                <w:color w:val="000000"/>
                <w:sz w:val="16"/>
              </w:rPr>
              <w:t xml:space="preserve">3,126.58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jc w:val="right"/>
            </w:pPr>
            <w:r>
              <w:rPr>
                <w:rFonts w:ascii="宋体" w:eastAsia="宋体" w:hAnsi="宋体" w:cs="宋体"/>
                <w:b w:val="0"/>
                <w:i w:val="0"/>
                <w:color w:val="000000"/>
                <w:sz w:val="16"/>
              </w:rPr>
              <w:t xml:space="preserve">4,388.25</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jc w:val="right"/>
            </w:pPr>
            <w:r>
              <w:rPr>
                <w:rFonts w:ascii="宋体" w:eastAsia="宋体" w:hAnsi="宋体" w:cs="宋体"/>
                <w:b w:val="0"/>
                <w:i w:val="0"/>
                <w:color w:val="000000"/>
                <w:sz w:val="16"/>
              </w:rPr>
              <w:t xml:space="preserve">332.70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22,747.54</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22,747.54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jc w:val="right"/>
            </w:pPr>
            <w:r>
              <w:rPr>
                <w:rFonts w:ascii="宋体" w:eastAsia="宋体" w:hAnsi="宋体" w:cs="宋体"/>
                <w:b w:val="0"/>
                <w:i w:val="0"/>
                <w:color w:val="000000"/>
                <w:sz w:val="16"/>
              </w:rPr>
              <w:t xml:space="preserve">160.20</w:t>
            </w: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jc w:val="right"/>
            </w:pPr>
            <w:r>
              <w:rPr>
                <w:rFonts w:ascii="宋体" w:eastAsia="宋体" w:hAnsi="宋体" w:cs="宋体"/>
                <w:b w:val="0"/>
                <w:i w:val="0"/>
                <w:color w:val="000000"/>
                <w:sz w:val="16"/>
              </w:rPr>
              <w:t xml:space="preserve">160.20</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22,907.74</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22,907.74</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22,747.54</w:t>
            </w:r>
          </w:p>
        </w:tc>
        <w:tc>
          <w:tcPr>
            <w:tcW w:w="960" w:type="dxa"/>
            <w:tcBorders/>
            <w:vAlign w:val="center"/>
          </w:tcPr>
          <w:p>
            <w:pPr>
              <w:jc w:val="right"/>
            </w:pPr>
            <w:r>
              <w:rPr>
                <w:rFonts w:ascii="宋体" w:eastAsia="宋体" w:hAnsi="宋体" w:cs="宋体"/>
                <w:b/>
                <w:i w:val="0"/>
                <w:color w:val="000000"/>
                <w:sz w:val="13"/>
              </w:rPr>
              <w:t xml:space="preserve">22,747.54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w:t>
            </w:r>
          </w:p>
        </w:tc>
        <w:tc>
          <w:tcPr>
            <w:tcW w:w="3200" w:type="dxa"/>
            <w:tcBorders/>
            <w:vAlign w:val="center"/>
          </w:tcPr>
          <w:p>
            <w:pPr>
              <w:jc w:val="left"/>
            </w:pPr>
            <w:r>
              <w:rPr>
                <w:rFonts w:ascii="宋体" w:eastAsia="宋体" w:hAnsi="宋体" w:cs="宋体"/>
                <w:b w:val="0"/>
                <w:i w:val="0"/>
                <w:color w:val="000000"/>
                <w:sz w:val="13"/>
              </w:rPr>
              <w:t xml:space="preserve">科学技术支出</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2069999</w:t>
            </w:r>
          </w:p>
        </w:tc>
        <w:tc>
          <w:tcPr>
            <w:tcW w:w="3200" w:type="dxa"/>
            <w:tcBorders/>
            <w:vAlign w:val="center"/>
          </w:tcPr>
          <w:p>
            <w:pPr>
              <w:jc w:val="left"/>
            </w:pPr>
            <w:r>
              <w:rPr>
                <w:rFonts w:ascii="宋体" w:eastAsia="宋体" w:hAnsi="宋体" w:cs="宋体"/>
                <w:b w:val="0"/>
                <w:i w:val="0"/>
                <w:color w:val="000000"/>
                <w:sz w:val="13"/>
              </w:rPr>
              <w:t xml:space="preserve">其他科学技术支出</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jc w:val="right"/>
            </w:pPr>
            <w:r>
              <w:rPr>
                <w:rFonts w:ascii="宋体" w:eastAsia="宋体" w:hAnsi="宋体" w:cs="宋体"/>
                <w:b w:val="0"/>
                <w:i w:val="0"/>
                <w:color w:val="000000"/>
                <w:sz w:val="13"/>
              </w:rPr>
              <w:t xml:space="preserve">14,900.00</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w:t>
            </w:r>
          </w:p>
        </w:tc>
        <w:tc>
          <w:tcPr>
            <w:tcW w:w="3200" w:type="dxa"/>
            <w:tcBorders/>
            <w:vAlign w:val="center"/>
          </w:tcPr>
          <w:p>
            <w:pPr>
              <w:jc w:val="left"/>
            </w:pPr>
            <w:r>
              <w:rPr>
                <w:rFonts w:ascii="宋体" w:eastAsia="宋体" w:hAnsi="宋体" w:cs="宋体"/>
                <w:b w:val="0"/>
                <w:i w:val="0"/>
                <w:color w:val="000000"/>
                <w:sz w:val="13"/>
              </w:rPr>
              <w:t xml:space="preserve">文化旅游体育与传媒支出</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w:t>
            </w:r>
          </w:p>
        </w:tc>
        <w:tc>
          <w:tcPr>
            <w:tcW w:w="3200" w:type="dxa"/>
            <w:tcBorders/>
            <w:vAlign w:val="center"/>
          </w:tcPr>
          <w:p>
            <w:pPr>
              <w:jc w:val="left"/>
            </w:pPr>
            <w:r>
              <w:rPr>
                <w:rFonts w:ascii="宋体" w:eastAsia="宋体" w:hAnsi="宋体" w:cs="宋体"/>
                <w:b w:val="0"/>
                <w:i w:val="0"/>
                <w:color w:val="000000"/>
                <w:sz w:val="13"/>
              </w:rPr>
              <w:t xml:space="preserve">体育</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2070399</w:t>
            </w:r>
          </w:p>
        </w:tc>
        <w:tc>
          <w:tcPr>
            <w:tcW w:w="3200" w:type="dxa"/>
            <w:tcBorders/>
            <w:vAlign w:val="center"/>
          </w:tcPr>
          <w:p>
            <w:pPr>
              <w:jc w:val="left"/>
            </w:pPr>
            <w:r>
              <w:rPr>
                <w:rFonts w:ascii="宋体" w:eastAsia="宋体" w:hAnsi="宋体" w:cs="宋体"/>
                <w:b w:val="0"/>
                <w:i w:val="0"/>
                <w:color w:val="000000"/>
                <w:sz w:val="13"/>
              </w:rPr>
              <w:t xml:space="preserve">其他体育支出</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jc w:val="right"/>
            </w:pPr>
            <w:r>
              <w:rPr>
                <w:rFonts w:ascii="宋体" w:eastAsia="宋体" w:hAnsi="宋体" w:cs="宋体"/>
                <w:b w:val="0"/>
                <w:i w:val="0"/>
                <w:color w:val="000000"/>
                <w:sz w:val="13"/>
              </w:rPr>
              <w:t xml:space="preserve">3,126.58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w:t>
            </w:r>
          </w:p>
        </w:tc>
        <w:tc>
          <w:tcPr>
            <w:tcW w:w="3200" w:type="dxa"/>
            <w:tcBorders/>
            <w:vAlign w:val="center"/>
          </w:tcPr>
          <w:p>
            <w:pPr>
              <w:jc w:val="left"/>
            </w:pPr>
            <w:r>
              <w:rPr>
                <w:rFonts w:ascii="宋体" w:eastAsia="宋体" w:hAnsi="宋体" w:cs="宋体"/>
                <w:b w:val="0"/>
                <w:i w:val="0"/>
                <w:color w:val="000000"/>
                <w:sz w:val="13"/>
              </w:rPr>
              <w:t xml:space="preserve">城乡社区支出</w:t>
            </w:r>
          </w:p>
        </w:tc>
        <w:tc>
          <w:tcPr>
            <w:tcW w:w="960" w:type="dxa"/>
            <w:tcBorders/>
            <w:vAlign w:val="center"/>
          </w:tcPr>
          <w:p>
            <w:pPr>
              <w:jc w:val="right"/>
            </w:pPr>
            <w:r>
              <w:rPr>
                <w:rFonts w:ascii="宋体" w:eastAsia="宋体" w:hAnsi="宋体" w:cs="宋体"/>
                <w:b w:val="0"/>
                <w:i w:val="0"/>
                <w:color w:val="000000"/>
                <w:sz w:val="13"/>
              </w:rPr>
              <w:t xml:space="preserve">4,388.25</w:t>
            </w:r>
          </w:p>
        </w:tc>
        <w:tc>
          <w:tcPr>
            <w:tcW w:w="960" w:type="dxa"/>
            <w:tcBorders/>
            <w:vAlign w:val="center"/>
          </w:tcPr>
          <w:p>
            <w:pPr>
              <w:jc w:val="right"/>
            </w:pPr>
            <w:r>
              <w:rPr>
                <w:rFonts w:ascii="宋体" w:eastAsia="宋体" w:hAnsi="宋体" w:cs="宋体"/>
                <w:b w:val="0"/>
                <w:i w:val="0"/>
                <w:color w:val="000000"/>
                <w:sz w:val="13"/>
              </w:rPr>
              <w:t xml:space="preserve">4,388.25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w:t>
            </w:r>
          </w:p>
        </w:tc>
        <w:tc>
          <w:tcPr>
            <w:tcW w:w="3200" w:type="dxa"/>
            <w:tcBorders/>
            <w:vAlign w:val="center"/>
          </w:tcPr>
          <w:p>
            <w:pPr>
              <w:jc w:val="left"/>
            </w:pPr>
            <w:r>
              <w:rPr>
                <w:rFonts w:ascii="宋体" w:eastAsia="宋体" w:hAnsi="宋体" w:cs="宋体"/>
                <w:b w:val="0"/>
                <w:i w:val="0"/>
                <w:color w:val="000000"/>
                <w:sz w:val="13"/>
              </w:rPr>
              <w:t xml:space="preserve">国有土地使用权出让收入安排的支出</w:t>
            </w:r>
          </w:p>
        </w:tc>
        <w:tc>
          <w:tcPr>
            <w:tcW w:w="960" w:type="dxa"/>
            <w:tcBorders/>
            <w:vAlign w:val="center"/>
          </w:tcPr>
          <w:p>
            <w:pPr>
              <w:jc w:val="right"/>
            </w:pPr>
            <w:r>
              <w:rPr>
                <w:rFonts w:ascii="宋体" w:eastAsia="宋体" w:hAnsi="宋体" w:cs="宋体"/>
                <w:b w:val="0"/>
                <w:i w:val="0"/>
                <w:color w:val="000000"/>
                <w:sz w:val="13"/>
              </w:rPr>
              <w:t xml:space="preserve">4,388.25</w:t>
            </w:r>
          </w:p>
        </w:tc>
        <w:tc>
          <w:tcPr>
            <w:tcW w:w="960" w:type="dxa"/>
            <w:tcBorders/>
            <w:vAlign w:val="center"/>
          </w:tcPr>
          <w:p>
            <w:pPr>
              <w:jc w:val="right"/>
            </w:pPr>
            <w:r>
              <w:rPr>
                <w:rFonts w:ascii="宋体" w:eastAsia="宋体" w:hAnsi="宋体" w:cs="宋体"/>
                <w:b w:val="0"/>
                <w:i w:val="0"/>
                <w:color w:val="000000"/>
                <w:sz w:val="13"/>
              </w:rPr>
              <w:t xml:space="preserve">4,388.25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2120801</w:t>
            </w:r>
          </w:p>
        </w:tc>
        <w:tc>
          <w:tcPr>
            <w:tcW w:w="3200" w:type="dxa"/>
            <w:tcBorders/>
            <w:vAlign w:val="center"/>
          </w:tcPr>
          <w:p>
            <w:pPr>
              <w:jc w:val="left"/>
            </w:pPr>
            <w:r>
              <w:rPr>
                <w:rFonts w:ascii="宋体" w:eastAsia="宋体" w:hAnsi="宋体" w:cs="宋体"/>
                <w:b w:val="0"/>
                <w:i w:val="0"/>
                <w:color w:val="000000"/>
                <w:sz w:val="13"/>
              </w:rPr>
              <w:t xml:space="preserve">征地和拆迁补偿支出</w:t>
            </w:r>
          </w:p>
        </w:tc>
        <w:tc>
          <w:tcPr>
            <w:tcW w:w="960" w:type="dxa"/>
            <w:tcBorders/>
            <w:vAlign w:val="center"/>
          </w:tcPr>
          <w:p>
            <w:pPr>
              <w:jc w:val="right"/>
            </w:pPr>
            <w:r>
              <w:rPr>
                <w:rFonts w:ascii="宋体" w:eastAsia="宋体" w:hAnsi="宋体" w:cs="宋体"/>
                <w:b w:val="0"/>
                <w:i w:val="0"/>
                <w:color w:val="000000"/>
                <w:sz w:val="13"/>
              </w:rPr>
              <w:t xml:space="preserve">1,165.61</w:t>
            </w:r>
          </w:p>
        </w:tc>
        <w:tc>
          <w:tcPr>
            <w:tcW w:w="960" w:type="dxa"/>
            <w:tcBorders/>
            <w:vAlign w:val="center"/>
          </w:tcPr>
          <w:p>
            <w:pPr>
              <w:jc w:val="right"/>
            </w:pPr>
            <w:r>
              <w:rPr>
                <w:rFonts w:ascii="宋体" w:eastAsia="宋体" w:hAnsi="宋体" w:cs="宋体"/>
                <w:b w:val="0"/>
                <w:i w:val="0"/>
                <w:color w:val="000000"/>
                <w:sz w:val="13"/>
              </w:rPr>
              <w:t xml:space="preserve">1,165.61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2120802</w:t>
            </w:r>
          </w:p>
        </w:tc>
        <w:tc>
          <w:tcPr>
            <w:tcW w:w="3200" w:type="dxa"/>
            <w:tcBorders/>
            <w:vAlign w:val="center"/>
          </w:tcPr>
          <w:p>
            <w:pPr>
              <w:jc w:val="left"/>
            </w:pPr>
            <w:r>
              <w:rPr>
                <w:rFonts w:ascii="宋体" w:eastAsia="宋体" w:hAnsi="宋体" w:cs="宋体"/>
                <w:b w:val="0"/>
                <w:i w:val="0"/>
                <w:color w:val="000000"/>
                <w:sz w:val="13"/>
              </w:rPr>
              <w:t xml:space="preserve">土地开发支出</w:t>
            </w:r>
          </w:p>
        </w:tc>
        <w:tc>
          <w:tcPr>
            <w:tcW w:w="960" w:type="dxa"/>
            <w:tcBorders/>
            <w:vAlign w:val="center"/>
          </w:tcPr>
          <w:p>
            <w:pPr>
              <w:jc w:val="right"/>
            </w:pPr>
            <w:r>
              <w:rPr>
                <w:rFonts w:ascii="宋体" w:eastAsia="宋体" w:hAnsi="宋体" w:cs="宋体"/>
                <w:b w:val="0"/>
                <w:i w:val="0"/>
                <w:color w:val="000000"/>
                <w:sz w:val="13"/>
              </w:rPr>
              <w:t xml:space="preserve">3,222.64</w:t>
            </w:r>
          </w:p>
        </w:tc>
        <w:tc>
          <w:tcPr>
            <w:tcW w:w="960" w:type="dxa"/>
            <w:tcBorders/>
            <w:vAlign w:val="center"/>
          </w:tcPr>
          <w:p>
            <w:pPr>
              <w:jc w:val="right"/>
            </w:pPr>
            <w:r>
              <w:rPr>
                <w:rFonts w:ascii="宋体" w:eastAsia="宋体" w:hAnsi="宋体" w:cs="宋体"/>
                <w:b w:val="0"/>
                <w:i w:val="0"/>
                <w:color w:val="000000"/>
                <w:sz w:val="13"/>
              </w:rPr>
              <w:t xml:space="preserve">3,222.64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w:t>
            </w:r>
          </w:p>
        </w:tc>
        <w:tc>
          <w:tcPr>
            <w:tcW w:w="3200" w:type="dxa"/>
            <w:tcBorders/>
            <w:vAlign w:val="center"/>
          </w:tcPr>
          <w:p>
            <w:pPr>
              <w:jc w:val="left"/>
            </w:pPr>
            <w:r>
              <w:rPr>
                <w:rFonts w:ascii="宋体" w:eastAsia="宋体" w:hAnsi="宋体" w:cs="宋体"/>
                <w:b w:val="0"/>
                <w:i w:val="0"/>
                <w:color w:val="000000"/>
                <w:sz w:val="13"/>
              </w:rPr>
              <w:t xml:space="preserve">自然资源海洋气象等支出</w:t>
            </w:r>
          </w:p>
        </w:tc>
        <w:tc>
          <w:tcPr>
            <w:tcW w:w="960" w:type="dxa"/>
            <w:tcBorders/>
            <w:vAlign w:val="center"/>
          </w:tcPr>
          <w:p>
            <w:pPr>
              <w:jc w:val="right"/>
            </w:pPr>
            <w:r>
              <w:rPr>
                <w:rFonts w:ascii="宋体" w:eastAsia="宋体" w:hAnsi="宋体" w:cs="宋体"/>
                <w:b w:val="0"/>
                <w:i w:val="0"/>
                <w:color w:val="000000"/>
                <w:sz w:val="13"/>
              </w:rPr>
              <w:t xml:space="preserve">332.71</w:t>
            </w:r>
          </w:p>
        </w:tc>
        <w:tc>
          <w:tcPr>
            <w:tcW w:w="960" w:type="dxa"/>
            <w:tcBorders/>
            <w:vAlign w:val="center"/>
          </w:tcPr>
          <w:p>
            <w:pPr>
              <w:jc w:val="right"/>
            </w:pPr>
            <w:r>
              <w:rPr>
                <w:rFonts w:ascii="宋体" w:eastAsia="宋体" w:hAnsi="宋体" w:cs="宋体"/>
                <w:b w:val="0"/>
                <w:i w:val="0"/>
                <w:color w:val="000000"/>
                <w:sz w:val="13"/>
              </w:rPr>
              <w:t xml:space="preserve">332.71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w:t>
            </w:r>
          </w:p>
        </w:tc>
        <w:tc>
          <w:tcPr>
            <w:tcW w:w="3200" w:type="dxa"/>
            <w:tcBorders/>
            <w:vAlign w:val="center"/>
          </w:tcPr>
          <w:p>
            <w:pPr>
              <w:jc w:val="left"/>
            </w:pPr>
            <w:r>
              <w:rPr>
                <w:rFonts w:ascii="宋体" w:eastAsia="宋体" w:hAnsi="宋体" w:cs="宋体"/>
                <w:b w:val="0"/>
                <w:i w:val="0"/>
                <w:color w:val="000000"/>
                <w:sz w:val="13"/>
              </w:rPr>
              <w:t xml:space="preserve">自然资源事务</w:t>
            </w:r>
          </w:p>
        </w:tc>
        <w:tc>
          <w:tcPr>
            <w:tcW w:w="960" w:type="dxa"/>
            <w:tcBorders/>
            <w:vAlign w:val="center"/>
          </w:tcPr>
          <w:p>
            <w:pPr>
              <w:jc w:val="right"/>
            </w:pPr>
            <w:r>
              <w:rPr>
                <w:rFonts w:ascii="宋体" w:eastAsia="宋体" w:hAnsi="宋体" w:cs="宋体"/>
                <w:b w:val="0"/>
                <w:i w:val="0"/>
                <w:color w:val="000000"/>
                <w:sz w:val="13"/>
              </w:rPr>
              <w:t xml:space="preserve">332.71</w:t>
            </w:r>
          </w:p>
        </w:tc>
        <w:tc>
          <w:tcPr>
            <w:tcW w:w="960" w:type="dxa"/>
            <w:tcBorders/>
            <w:vAlign w:val="center"/>
          </w:tcPr>
          <w:p>
            <w:pPr>
              <w:jc w:val="right"/>
            </w:pPr>
            <w:r>
              <w:rPr>
                <w:rFonts w:ascii="宋体" w:eastAsia="宋体" w:hAnsi="宋体" w:cs="宋体"/>
                <w:b w:val="0"/>
                <w:i w:val="0"/>
                <w:color w:val="000000"/>
                <w:sz w:val="13"/>
              </w:rPr>
              <w:t xml:space="preserve">332.71</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2200102</w:t>
            </w:r>
          </w:p>
        </w:tc>
        <w:tc>
          <w:tcPr>
            <w:tcW w:w="3200" w:type="dxa"/>
            <w:tcBorders/>
            <w:vAlign w:val="center"/>
          </w:tcPr>
          <w:p>
            <w:pPr>
              <w:jc w:val="left"/>
            </w:pPr>
            <w:r>
              <w:rPr>
                <w:rFonts w:ascii="宋体" w:eastAsia="宋体" w:hAnsi="宋体" w:cs="宋体"/>
                <w:b w:val="0"/>
                <w:i w:val="0"/>
                <w:color w:val="000000"/>
                <w:sz w:val="13"/>
              </w:rPr>
              <w:t xml:space="preserve">一般行政管理事务</w:t>
            </w:r>
          </w:p>
        </w:tc>
        <w:tc>
          <w:tcPr>
            <w:tcW w:w="960" w:type="dxa"/>
            <w:tcBorders/>
            <w:vAlign w:val="center"/>
          </w:tcPr>
          <w:p>
            <w:pPr>
              <w:jc w:val="right"/>
            </w:pPr>
            <w:r>
              <w:rPr>
                <w:rFonts w:ascii="宋体" w:eastAsia="宋体" w:hAnsi="宋体" w:cs="宋体"/>
                <w:b w:val="0"/>
                <w:i w:val="0"/>
                <w:color w:val="000000"/>
                <w:sz w:val="13"/>
              </w:rPr>
              <w:t xml:space="preserve">17.36</w:t>
            </w:r>
          </w:p>
        </w:tc>
        <w:tc>
          <w:tcPr>
            <w:tcW w:w="960" w:type="dxa"/>
            <w:tcBorders/>
            <w:vAlign w:val="center"/>
          </w:tcPr>
          <w:p>
            <w:pPr>
              <w:jc w:val="right"/>
            </w:pPr>
            <w:r>
              <w:rPr>
                <w:rFonts w:ascii="宋体" w:eastAsia="宋体" w:hAnsi="宋体" w:cs="宋体"/>
                <w:b w:val="0"/>
                <w:i w:val="0"/>
                <w:color w:val="000000"/>
                <w:sz w:val="13"/>
              </w:rPr>
              <w:t xml:space="preserve">17.36</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2200199</w:t>
            </w:r>
          </w:p>
        </w:tc>
        <w:tc>
          <w:tcPr>
            <w:tcW w:w="3200" w:type="dxa"/>
            <w:tcBorders/>
            <w:vAlign w:val="center"/>
          </w:tcPr>
          <w:p>
            <w:pPr>
              <w:jc w:val="left"/>
            </w:pPr>
            <w:r>
              <w:rPr>
                <w:rFonts w:ascii="宋体" w:eastAsia="宋体" w:hAnsi="宋体" w:cs="宋体"/>
                <w:b w:val="0"/>
                <w:i w:val="0"/>
                <w:color w:val="000000"/>
                <w:sz w:val="13"/>
              </w:rPr>
              <w:t xml:space="preserve">其他自然资源事务支出</w:t>
            </w:r>
          </w:p>
        </w:tc>
        <w:tc>
          <w:tcPr>
            <w:tcW w:w="960" w:type="dxa"/>
            <w:tcBorders/>
            <w:vAlign w:val="center"/>
          </w:tcPr>
          <w:p>
            <w:pPr>
              <w:jc w:val="right"/>
            </w:pPr>
            <w:r>
              <w:rPr>
                <w:rFonts w:ascii="宋体" w:eastAsia="宋体" w:hAnsi="宋体" w:cs="宋体"/>
                <w:b w:val="0"/>
                <w:i w:val="0"/>
                <w:color w:val="000000"/>
                <w:sz w:val="13"/>
              </w:rPr>
              <w:t xml:space="preserve">315.35</w:t>
            </w:r>
          </w:p>
        </w:tc>
        <w:tc>
          <w:tcPr>
            <w:tcW w:w="960" w:type="dxa"/>
            <w:tcBorders/>
            <w:vAlign w:val="center"/>
          </w:tcPr>
          <w:p>
            <w:pPr>
              <w:jc w:val="right"/>
            </w:pPr>
            <w:r>
              <w:rPr>
                <w:rFonts w:ascii="宋体" w:eastAsia="宋体" w:hAnsi="宋体" w:cs="宋体"/>
                <w:b w:val="0"/>
                <w:i w:val="0"/>
                <w:color w:val="000000"/>
                <w:sz w:val="13"/>
              </w:rPr>
              <w:t xml:space="preserve">315.35</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22,747.54</w:t>
            </w:r>
          </w:p>
        </w:tc>
        <w:tc>
          <w:tcPr>
            <w:tcW w:w="1060" w:type="dxa"/>
            <w:tcBorders/>
            <w:vAlign w:val="center"/>
          </w:tcPr>
          <w:p>
            <w:pPr/>
          </w:p>
        </w:tc>
        <w:tc>
          <w:tcPr>
            <w:tcW w:w="1060" w:type="dxa"/>
            <w:tcBorders/>
            <w:vAlign w:val="center"/>
          </w:tcPr>
          <w:p>
            <w:pPr>
              <w:jc w:val="right"/>
            </w:pPr>
            <w:r>
              <w:rPr>
                <w:rFonts w:ascii="宋体" w:eastAsia="宋体" w:hAnsi="宋体" w:cs="宋体"/>
                <w:b/>
                <w:i w:val="0"/>
                <w:color w:val="000000"/>
                <w:sz w:val="14"/>
              </w:rPr>
              <w:t xml:space="preserve">22,747.54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w:t>
            </w:r>
          </w:p>
        </w:tc>
        <w:tc>
          <w:tcPr>
            <w:tcW w:w="3440" w:type="dxa"/>
            <w:tcBorders/>
            <w:vAlign w:val="center"/>
          </w:tcPr>
          <w:p>
            <w:pPr>
              <w:jc w:val="left"/>
            </w:pPr>
            <w:r>
              <w:rPr>
                <w:rFonts w:ascii="宋体" w:eastAsia="宋体" w:hAnsi="宋体" w:cs="宋体"/>
                <w:b w:val="0"/>
                <w:i w:val="0"/>
                <w:color w:val="000000"/>
                <w:sz w:val="14"/>
              </w:rPr>
              <w:t xml:space="preserve">科学技术支出</w:t>
            </w: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2069999</w:t>
            </w:r>
          </w:p>
        </w:tc>
        <w:tc>
          <w:tcPr>
            <w:tcW w:w="3440" w:type="dxa"/>
            <w:tcBorders/>
            <w:vAlign w:val="center"/>
          </w:tcPr>
          <w:p>
            <w:pPr>
              <w:jc w:val="left"/>
            </w:pPr>
            <w:r>
              <w:rPr>
                <w:rFonts w:ascii="宋体" w:eastAsia="宋体" w:hAnsi="宋体" w:cs="宋体"/>
                <w:b w:val="0"/>
                <w:i w:val="0"/>
                <w:color w:val="000000"/>
                <w:sz w:val="14"/>
              </w:rPr>
              <w:t xml:space="preserve">其他科学技术支出</w:t>
            </w: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14,900.00</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w:t>
            </w:r>
          </w:p>
        </w:tc>
        <w:tc>
          <w:tcPr>
            <w:tcW w:w="3440" w:type="dxa"/>
            <w:tcBorders/>
            <w:vAlign w:val="center"/>
          </w:tcPr>
          <w:p>
            <w:pPr>
              <w:jc w:val="left"/>
            </w:pPr>
            <w:r>
              <w:rPr>
                <w:rFonts w:ascii="宋体" w:eastAsia="宋体" w:hAnsi="宋体" w:cs="宋体"/>
                <w:b w:val="0"/>
                <w:i w:val="0"/>
                <w:color w:val="000000"/>
                <w:sz w:val="14"/>
              </w:rPr>
              <w:t xml:space="preserve">文化旅游体育与传媒支出</w:t>
            </w: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w:t>
            </w:r>
          </w:p>
        </w:tc>
        <w:tc>
          <w:tcPr>
            <w:tcW w:w="3440" w:type="dxa"/>
            <w:tcBorders/>
            <w:vAlign w:val="center"/>
          </w:tcPr>
          <w:p>
            <w:pPr>
              <w:jc w:val="left"/>
            </w:pPr>
            <w:r>
              <w:rPr>
                <w:rFonts w:ascii="宋体" w:eastAsia="宋体" w:hAnsi="宋体" w:cs="宋体"/>
                <w:b w:val="0"/>
                <w:i w:val="0"/>
                <w:color w:val="000000"/>
                <w:sz w:val="14"/>
              </w:rPr>
              <w:t xml:space="preserve">体育</w:t>
            </w: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2070399</w:t>
            </w:r>
          </w:p>
        </w:tc>
        <w:tc>
          <w:tcPr>
            <w:tcW w:w="3440" w:type="dxa"/>
            <w:tcBorders/>
            <w:vAlign w:val="center"/>
          </w:tcPr>
          <w:p>
            <w:pPr>
              <w:jc w:val="left"/>
            </w:pPr>
            <w:r>
              <w:rPr>
                <w:rFonts w:ascii="宋体" w:eastAsia="宋体" w:hAnsi="宋体" w:cs="宋体"/>
                <w:b w:val="0"/>
                <w:i w:val="0"/>
                <w:color w:val="000000"/>
                <w:sz w:val="14"/>
              </w:rPr>
              <w:t xml:space="preserve">其他体育支出</w:t>
            </w: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3,126.58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w:t>
            </w:r>
          </w:p>
        </w:tc>
        <w:tc>
          <w:tcPr>
            <w:tcW w:w="3440" w:type="dxa"/>
            <w:tcBorders/>
            <w:vAlign w:val="center"/>
          </w:tcPr>
          <w:p>
            <w:pPr>
              <w:jc w:val="left"/>
            </w:pPr>
            <w:r>
              <w:rPr>
                <w:rFonts w:ascii="宋体" w:eastAsia="宋体" w:hAnsi="宋体" w:cs="宋体"/>
                <w:b w:val="0"/>
                <w:i w:val="0"/>
                <w:color w:val="000000"/>
                <w:sz w:val="14"/>
              </w:rPr>
              <w:t xml:space="preserve">城乡社区支出</w:t>
            </w:r>
          </w:p>
        </w:tc>
        <w:tc>
          <w:tcPr>
            <w:tcW w:w="1060" w:type="dxa"/>
            <w:tcBorders/>
            <w:vAlign w:val="center"/>
          </w:tcPr>
          <w:p>
            <w:pPr>
              <w:jc w:val="right"/>
            </w:pPr>
            <w:r>
              <w:rPr>
                <w:rFonts w:ascii="宋体" w:eastAsia="宋体" w:hAnsi="宋体" w:cs="宋体"/>
                <w:b w:val="0"/>
                <w:i w:val="0"/>
                <w:color w:val="000000"/>
                <w:sz w:val="14"/>
              </w:rPr>
              <w:t xml:space="preserve">4,388.25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4,388.25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w:t>
            </w:r>
          </w:p>
        </w:tc>
        <w:tc>
          <w:tcPr>
            <w:tcW w:w="3440" w:type="dxa"/>
            <w:tcBorders/>
            <w:vAlign w:val="center"/>
          </w:tcPr>
          <w:p>
            <w:pPr>
              <w:jc w:val="left"/>
            </w:pPr>
            <w:r>
              <w:rPr>
                <w:rFonts w:ascii="宋体" w:eastAsia="宋体" w:hAnsi="宋体" w:cs="宋体"/>
                <w:b w:val="0"/>
                <w:i w:val="0"/>
                <w:color w:val="000000"/>
                <w:sz w:val="14"/>
              </w:rPr>
              <w:t xml:space="preserve">国有土地使用权出让收入安排的支出</w:t>
            </w:r>
          </w:p>
        </w:tc>
        <w:tc>
          <w:tcPr>
            <w:tcW w:w="1060" w:type="dxa"/>
            <w:tcBorders/>
            <w:vAlign w:val="center"/>
          </w:tcPr>
          <w:p>
            <w:pPr>
              <w:jc w:val="right"/>
            </w:pPr>
            <w:r>
              <w:rPr>
                <w:rFonts w:ascii="宋体" w:eastAsia="宋体" w:hAnsi="宋体" w:cs="宋体"/>
                <w:b w:val="0"/>
                <w:i w:val="0"/>
                <w:color w:val="000000"/>
                <w:sz w:val="14"/>
              </w:rPr>
              <w:t xml:space="preserve">4,388.25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4,388.25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2120801</w:t>
            </w:r>
          </w:p>
        </w:tc>
        <w:tc>
          <w:tcPr>
            <w:tcW w:w="3440" w:type="dxa"/>
            <w:tcBorders/>
            <w:vAlign w:val="center"/>
          </w:tcPr>
          <w:p>
            <w:pPr>
              <w:jc w:val="left"/>
            </w:pPr>
            <w:r>
              <w:rPr>
                <w:rFonts w:ascii="宋体" w:eastAsia="宋体" w:hAnsi="宋体" w:cs="宋体"/>
                <w:b w:val="0"/>
                <w:i w:val="0"/>
                <w:color w:val="000000"/>
                <w:sz w:val="14"/>
              </w:rPr>
              <w:t xml:space="preserve">征地和拆迁补偿支出</w:t>
            </w:r>
          </w:p>
        </w:tc>
        <w:tc>
          <w:tcPr>
            <w:tcW w:w="1060" w:type="dxa"/>
            <w:tcBorders/>
            <w:vAlign w:val="center"/>
          </w:tcPr>
          <w:p>
            <w:pPr>
              <w:jc w:val="right"/>
            </w:pPr>
            <w:r>
              <w:rPr>
                <w:rFonts w:ascii="宋体" w:eastAsia="宋体" w:hAnsi="宋体" w:cs="宋体"/>
                <w:b w:val="0"/>
                <w:i w:val="0"/>
                <w:color w:val="000000"/>
                <w:sz w:val="14"/>
              </w:rPr>
              <w:t xml:space="preserve">1,165.61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1,165.61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2120802</w:t>
            </w:r>
          </w:p>
        </w:tc>
        <w:tc>
          <w:tcPr>
            <w:tcW w:w="3440" w:type="dxa"/>
            <w:tcBorders/>
            <w:vAlign w:val="center"/>
          </w:tcPr>
          <w:p>
            <w:pPr>
              <w:jc w:val="left"/>
            </w:pPr>
            <w:r>
              <w:rPr>
                <w:rFonts w:ascii="宋体" w:eastAsia="宋体" w:hAnsi="宋体" w:cs="宋体"/>
                <w:b w:val="0"/>
                <w:i w:val="0"/>
                <w:color w:val="000000"/>
                <w:sz w:val="14"/>
              </w:rPr>
              <w:t xml:space="preserve">土地开发支出</w:t>
            </w:r>
          </w:p>
        </w:tc>
        <w:tc>
          <w:tcPr>
            <w:tcW w:w="1060" w:type="dxa"/>
            <w:tcBorders/>
            <w:vAlign w:val="center"/>
          </w:tcPr>
          <w:p>
            <w:pPr>
              <w:jc w:val="right"/>
            </w:pPr>
            <w:r>
              <w:rPr>
                <w:rFonts w:ascii="宋体" w:eastAsia="宋体" w:hAnsi="宋体" w:cs="宋体"/>
                <w:b w:val="0"/>
                <w:i w:val="0"/>
                <w:color w:val="000000"/>
                <w:sz w:val="14"/>
              </w:rPr>
              <w:t xml:space="preserve">3,222.64</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3,222.64</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w:t>
            </w:r>
          </w:p>
        </w:tc>
        <w:tc>
          <w:tcPr>
            <w:tcW w:w="3440" w:type="dxa"/>
            <w:tcBorders/>
            <w:vAlign w:val="center"/>
          </w:tcPr>
          <w:p>
            <w:pPr>
              <w:jc w:val="left"/>
            </w:pPr>
            <w:r>
              <w:rPr>
                <w:rFonts w:ascii="宋体" w:eastAsia="宋体" w:hAnsi="宋体" w:cs="宋体"/>
                <w:b w:val="0"/>
                <w:i w:val="0"/>
                <w:color w:val="000000"/>
                <w:sz w:val="14"/>
              </w:rPr>
              <w:t xml:space="preserve">自然资源海洋气象等支出</w:t>
            </w:r>
          </w:p>
        </w:tc>
        <w:tc>
          <w:tcPr>
            <w:tcW w:w="1060" w:type="dxa"/>
            <w:tcBorders/>
            <w:vAlign w:val="center"/>
          </w:tcPr>
          <w:p>
            <w:pPr>
              <w:jc w:val="right"/>
            </w:pPr>
            <w:r>
              <w:rPr>
                <w:rFonts w:ascii="宋体" w:eastAsia="宋体" w:hAnsi="宋体" w:cs="宋体"/>
                <w:b w:val="0"/>
                <w:i w:val="0"/>
                <w:color w:val="000000"/>
                <w:sz w:val="14"/>
              </w:rPr>
              <w:t xml:space="preserve">332.71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w:t>
            </w:r>
          </w:p>
        </w:tc>
        <w:tc>
          <w:tcPr>
            <w:tcW w:w="3440" w:type="dxa"/>
            <w:tcBorders/>
            <w:vAlign w:val="center"/>
          </w:tcPr>
          <w:p>
            <w:pPr>
              <w:jc w:val="left"/>
            </w:pPr>
            <w:r>
              <w:rPr>
                <w:rFonts w:ascii="宋体" w:eastAsia="宋体" w:hAnsi="宋体" w:cs="宋体"/>
                <w:b w:val="0"/>
                <w:i w:val="0"/>
                <w:color w:val="000000"/>
                <w:sz w:val="14"/>
              </w:rPr>
              <w:t xml:space="preserve">自然资源事务</w:t>
            </w:r>
          </w:p>
        </w:tc>
        <w:tc>
          <w:tcPr>
            <w:tcW w:w="1060" w:type="dxa"/>
            <w:tcBorders/>
            <w:vAlign w:val="center"/>
          </w:tcPr>
          <w:p>
            <w:pPr>
              <w:jc w:val="right"/>
            </w:pPr>
            <w:r>
              <w:rPr>
                <w:rFonts w:ascii="宋体" w:eastAsia="宋体" w:hAnsi="宋体" w:cs="宋体"/>
                <w:b w:val="0"/>
                <w:i w:val="0"/>
                <w:color w:val="000000"/>
                <w:sz w:val="14"/>
              </w:rPr>
              <w:t xml:space="preserve">332.71</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332.71</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2200102</w:t>
            </w:r>
          </w:p>
        </w:tc>
        <w:tc>
          <w:tcPr>
            <w:tcW w:w="3440" w:type="dxa"/>
            <w:tcBorders/>
            <w:vAlign w:val="center"/>
          </w:tcPr>
          <w:p>
            <w:pPr>
              <w:jc w:val="left"/>
            </w:pPr>
            <w:r>
              <w:rPr>
                <w:rFonts w:ascii="宋体" w:eastAsia="宋体" w:hAnsi="宋体" w:cs="宋体"/>
                <w:b w:val="0"/>
                <w:i w:val="0"/>
                <w:color w:val="000000"/>
                <w:sz w:val="14"/>
              </w:rPr>
              <w:t xml:space="preserve">一般行政管理事务</w:t>
            </w:r>
          </w:p>
        </w:tc>
        <w:tc>
          <w:tcPr>
            <w:tcW w:w="1060" w:type="dxa"/>
            <w:tcBorders/>
            <w:vAlign w:val="center"/>
          </w:tcPr>
          <w:p>
            <w:pPr>
              <w:jc w:val="right"/>
            </w:pPr>
            <w:r>
              <w:rPr>
                <w:rFonts w:ascii="宋体" w:eastAsia="宋体" w:hAnsi="宋体" w:cs="宋体"/>
                <w:b w:val="0"/>
                <w:i w:val="0"/>
                <w:color w:val="000000"/>
                <w:sz w:val="14"/>
              </w:rPr>
              <w:t xml:space="preserve">17.36</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17.36</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2200199</w:t>
            </w:r>
          </w:p>
        </w:tc>
        <w:tc>
          <w:tcPr>
            <w:tcW w:w="3440" w:type="dxa"/>
            <w:tcBorders/>
            <w:vAlign w:val="center"/>
          </w:tcPr>
          <w:p>
            <w:pPr>
              <w:jc w:val="left"/>
            </w:pPr>
            <w:r>
              <w:rPr>
                <w:rFonts w:ascii="宋体" w:eastAsia="宋体" w:hAnsi="宋体" w:cs="宋体"/>
                <w:b w:val="0"/>
                <w:i w:val="0"/>
                <w:color w:val="000000"/>
                <w:sz w:val="14"/>
              </w:rPr>
              <w:t xml:space="preserve">其他自然资源事务支出</w:t>
            </w:r>
          </w:p>
        </w:tc>
        <w:tc>
          <w:tcPr>
            <w:tcW w:w="1060" w:type="dxa"/>
            <w:tcBorders/>
            <w:vAlign w:val="center"/>
          </w:tcPr>
          <w:p>
            <w:pPr>
              <w:jc w:val="right"/>
            </w:pPr>
            <w:r>
              <w:rPr>
                <w:rFonts w:ascii="宋体" w:eastAsia="宋体" w:hAnsi="宋体" w:cs="宋体"/>
                <w:b w:val="0"/>
                <w:i w:val="0"/>
                <w:color w:val="000000"/>
                <w:sz w:val="14"/>
              </w:rPr>
              <w:t xml:space="preserve">315.35</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315.35</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18,359.29</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right"/>
            </w:pPr>
            <w:r>
              <w:rPr>
                <w:rFonts w:ascii="宋体" w:eastAsia="宋体" w:hAnsi="宋体" w:cs="宋体"/>
                <w:b w:val="0"/>
                <w:i w:val="0"/>
                <w:color w:val="000000"/>
                <w:sz w:val="14"/>
              </w:rPr>
              <w:t xml:space="preserve">4,388.25</w:t>
            </w: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jc w:val="right"/>
            </w:pPr>
            <w:r>
              <w:rPr>
                <w:rFonts w:ascii="宋体" w:eastAsia="宋体" w:hAnsi="宋体" w:cs="宋体"/>
                <w:b w:val="0"/>
                <w:i w:val="0"/>
                <w:color w:val="000000"/>
                <w:sz w:val="14"/>
              </w:rPr>
              <w:t xml:space="preserve">14,900.00</w:t>
            </w:r>
          </w:p>
        </w:tc>
        <w:tc>
          <w:tcPr>
            <w:tcW w:w="1100" w:type="dxa"/>
            <w:tcBorders/>
            <w:vAlign w:val="center"/>
          </w:tcPr>
          <w:p>
            <w:pPr>
              <w:jc w:val="right"/>
            </w:pPr>
            <w:r>
              <w:rPr>
                <w:rFonts w:ascii="宋体" w:eastAsia="宋体" w:hAnsi="宋体" w:cs="宋体"/>
                <w:b w:val="0"/>
                <w:i w:val="0"/>
                <w:color w:val="000000"/>
                <w:sz w:val="14"/>
              </w:rPr>
              <w:t xml:space="preserve">14,900.00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jc w:val="right"/>
            </w:pPr>
            <w:r>
              <w:rPr>
                <w:rFonts w:ascii="宋体" w:eastAsia="宋体" w:hAnsi="宋体" w:cs="宋体"/>
                <w:b w:val="0"/>
                <w:i w:val="0"/>
                <w:color w:val="000000"/>
                <w:sz w:val="14"/>
              </w:rPr>
              <w:t xml:space="preserve">3,126.58</w:t>
            </w:r>
          </w:p>
        </w:tc>
        <w:tc>
          <w:tcPr>
            <w:tcW w:w="1100" w:type="dxa"/>
            <w:tcBorders/>
            <w:vAlign w:val="center"/>
          </w:tcPr>
          <w:p>
            <w:pPr>
              <w:jc w:val="right"/>
            </w:pPr>
            <w:r>
              <w:rPr>
                <w:rFonts w:ascii="宋体" w:eastAsia="宋体" w:hAnsi="宋体" w:cs="宋体"/>
                <w:b w:val="0"/>
                <w:i w:val="0"/>
                <w:color w:val="000000"/>
                <w:sz w:val="14"/>
              </w:rPr>
              <w:t xml:space="preserve">3,126.58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jc w:val="right"/>
            </w:pPr>
            <w:r>
              <w:rPr>
                <w:rFonts w:ascii="宋体" w:eastAsia="宋体" w:hAnsi="宋体" w:cs="宋体"/>
                <w:b w:val="0"/>
                <w:i w:val="0"/>
                <w:color w:val="000000"/>
                <w:sz w:val="14"/>
              </w:rPr>
              <w:t xml:space="preserve">4,388.25</w:t>
            </w:r>
          </w:p>
        </w:tc>
        <w:tc>
          <w:tcPr>
            <w:tcW w:w="1100" w:type="dxa"/>
            <w:tcBorders/>
            <w:vAlign w:val="center"/>
          </w:tcPr>
          <w:p>
            <w:pPr/>
          </w:p>
        </w:tc>
        <w:tc>
          <w:tcPr>
            <w:tcW w:w="1100" w:type="dxa"/>
            <w:tcBorders/>
            <w:vAlign w:val="center"/>
          </w:tcPr>
          <w:p>
            <w:pPr>
              <w:jc w:val="right"/>
            </w:pPr>
            <w:r>
              <w:rPr>
                <w:rFonts w:ascii="宋体" w:eastAsia="宋体" w:hAnsi="宋体" w:cs="宋体"/>
                <w:b w:val="0"/>
                <w:i w:val="0"/>
                <w:color w:val="000000"/>
                <w:sz w:val="14"/>
              </w:rPr>
              <w:t xml:space="preserve">4,388.25</w:t>
            </w: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jc w:val="right"/>
            </w:pPr>
            <w:r>
              <w:rPr>
                <w:rFonts w:ascii="宋体" w:eastAsia="宋体" w:hAnsi="宋体" w:cs="宋体"/>
                <w:b w:val="0"/>
                <w:i w:val="0"/>
                <w:color w:val="000000"/>
                <w:sz w:val="14"/>
              </w:rPr>
              <w:t xml:space="preserve">332.70</w:t>
            </w:r>
          </w:p>
        </w:tc>
        <w:tc>
          <w:tcPr>
            <w:tcW w:w="1100" w:type="dxa"/>
            <w:tcBorders/>
            <w:vAlign w:val="center"/>
          </w:tcPr>
          <w:p>
            <w:pPr>
              <w:jc w:val="right"/>
            </w:pPr>
            <w:r>
              <w:rPr>
                <w:rFonts w:ascii="宋体" w:eastAsia="宋体" w:hAnsi="宋体" w:cs="宋体"/>
                <w:b w:val="0"/>
                <w:i w:val="0"/>
                <w:color w:val="000000"/>
                <w:sz w:val="14"/>
              </w:rPr>
              <w:t xml:space="preserve">332.70</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22,747.54</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22,747.54</w:t>
            </w:r>
          </w:p>
        </w:tc>
        <w:tc>
          <w:tcPr>
            <w:tcW w:w="1100" w:type="dxa"/>
            <w:tcBorders/>
            <w:vAlign w:val="center"/>
          </w:tcPr>
          <w:p>
            <w:pPr>
              <w:jc w:val="right"/>
            </w:pPr>
            <w:r>
              <w:rPr>
                <w:rFonts w:ascii="宋体" w:eastAsia="宋体" w:hAnsi="宋体" w:cs="宋体"/>
                <w:b w:val="0"/>
                <w:i w:val="0"/>
                <w:color w:val="000000"/>
                <w:sz w:val="14"/>
              </w:rPr>
              <w:t xml:space="preserve">18,359.29</w:t>
            </w:r>
          </w:p>
        </w:tc>
        <w:tc>
          <w:tcPr>
            <w:tcW w:w="1100" w:type="dxa"/>
            <w:tcBorders/>
            <w:vAlign w:val="center"/>
          </w:tcPr>
          <w:p>
            <w:pPr>
              <w:jc w:val="right"/>
            </w:pPr>
            <w:r>
              <w:rPr>
                <w:rFonts w:ascii="宋体" w:eastAsia="宋体" w:hAnsi="宋体" w:cs="宋体"/>
                <w:b w:val="0"/>
                <w:i w:val="0"/>
                <w:color w:val="000000"/>
                <w:sz w:val="14"/>
              </w:rPr>
              <w:t xml:space="preserve">4,388.25</w:t>
            </w: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22,747.54</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22,747.54</w:t>
            </w:r>
          </w:p>
        </w:tc>
        <w:tc>
          <w:tcPr>
            <w:tcW w:w="1100" w:type="dxa"/>
            <w:tcBorders/>
            <w:vAlign w:val="center"/>
          </w:tcPr>
          <w:p>
            <w:pPr>
              <w:jc w:val="right"/>
            </w:pPr>
            <w:r>
              <w:rPr>
                <w:rFonts w:ascii="宋体" w:eastAsia="宋体" w:hAnsi="宋体" w:cs="宋体"/>
                <w:b w:val="0"/>
                <w:i w:val="0"/>
                <w:color w:val="000000"/>
                <w:sz w:val="14"/>
              </w:rPr>
              <w:t xml:space="preserve">18,359.29</w:t>
            </w:r>
          </w:p>
        </w:tc>
        <w:tc>
          <w:tcPr>
            <w:tcW w:w="1100" w:type="dxa"/>
            <w:tcBorders/>
            <w:vAlign w:val="center"/>
          </w:tcPr>
          <w:p>
            <w:pPr>
              <w:jc w:val="right"/>
            </w:pPr>
            <w:r>
              <w:rPr>
                <w:rFonts w:ascii="宋体" w:eastAsia="宋体" w:hAnsi="宋体" w:cs="宋体"/>
                <w:b w:val="0"/>
                <w:i w:val="0"/>
                <w:color w:val="000000"/>
                <w:sz w:val="14"/>
              </w:rPr>
              <w:t xml:space="preserve">4,388.25</w:t>
            </w: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18,359.29</w:t>
            </w:r>
          </w:p>
        </w:tc>
        <w:tc>
          <w:tcPr>
            <w:tcW w:w="1780" w:type="dxa"/>
            <w:tcBorders/>
            <w:vAlign w:val="center"/>
          </w:tcPr>
          <w:p>
            <w:pPr>
              <w:jc w:val="right"/>
            </w:pPr>
            <w:r>
              <w:rPr>
                <w:rFonts w:ascii="宋体" w:eastAsia="宋体" w:hAnsi="宋体" w:cs="宋体"/>
                <w:b/>
                <w:i w:val="0"/>
                <w:color w:val="000000"/>
                <w:sz w:val="18"/>
              </w:rPr>
              <w:t xml:space="preserve">0.00</w:t>
            </w:r>
          </w:p>
        </w:tc>
        <w:tc>
          <w:tcPr>
            <w:tcW w:w="1772" w:type="dxa"/>
            <w:tcBorders/>
            <w:vAlign w:val="center"/>
          </w:tcPr>
          <w:p>
            <w:pPr>
              <w:jc w:val="right"/>
            </w:pPr>
            <w:r>
              <w:rPr>
                <w:rFonts w:ascii="宋体" w:eastAsia="宋体" w:hAnsi="宋体" w:cs="宋体"/>
                <w:b/>
                <w:i w:val="0"/>
                <w:color w:val="000000"/>
                <w:sz w:val="18"/>
              </w:rPr>
              <w:t xml:space="preserve">18,359.29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w:t>
            </w:r>
          </w:p>
        </w:tc>
        <w:tc>
          <w:tcPr>
            <w:tcW w:w="4300" w:type="dxa"/>
            <w:tcBorders/>
            <w:vAlign w:val="center"/>
          </w:tcPr>
          <w:p>
            <w:pPr>
              <w:jc w:val="left"/>
            </w:pPr>
            <w:r>
              <w:rPr>
                <w:rFonts w:ascii="宋体" w:eastAsia="宋体" w:hAnsi="宋体" w:cs="宋体"/>
                <w:b w:val="0"/>
                <w:i w:val="0"/>
                <w:color w:val="000000"/>
                <w:sz w:val="18"/>
              </w:rPr>
              <w:t xml:space="preserve">科学技术支出</w:t>
            </w:r>
          </w:p>
        </w:tc>
        <w:tc>
          <w:tcPr>
            <w:tcW w:w="1780" w:type="dxa"/>
            <w:tcBorders/>
            <w:vAlign w:val="center"/>
          </w:tcPr>
          <w:p>
            <w:pPr>
              <w:jc w:val="right"/>
            </w:pPr>
            <w:r>
              <w:rPr>
                <w:rFonts w:ascii="宋体" w:eastAsia="宋体" w:hAnsi="宋体" w:cs="宋体"/>
                <w:b w:val="0"/>
                <w:i w:val="0"/>
                <w:color w:val="000000"/>
                <w:sz w:val="18"/>
              </w:rPr>
              <w:t xml:space="preserve">14,900.00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14,900.00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2069999</w:t>
            </w:r>
          </w:p>
        </w:tc>
        <w:tc>
          <w:tcPr>
            <w:tcW w:w="4300" w:type="dxa"/>
            <w:tcBorders/>
            <w:vAlign w:val="center"/>
          </w:tcPr>
          <w:p>
            <w:pPr>
              <w:jc w:val="left"/>
            </w:pPr>
            <w:r>
              <w:rPr>
                <w:rFonts w:ascii="宋体" w:eastAsia="宋体" w:hAnsi="宋体" w:cs="宋体"/>
                <w:b w:val="0"/>
                <w:i w:val="0"/>
                <w:color w:val="000000"/>
                <w:sz w:val="18"/>
              </w:rPr>
              <w:t xml:space="preserve">其他科学技术支出</w:t>
            </w:r>
          </w:p>
        </w:tc>
        <w:tc>
          <w:tcPr>
            <w:tcW w:w="1780" w:type="dxa"/>
            <w:tcBorders/>
            <w:vAlign w:val="center"/>
          </w:tcPr>
          <w:p>
            <w:pPr>
              <w:jc w:val="right"/>
            </w:pPr>
            <w:r>
              <w:rPr>
                <w:rFonts w:ascii="宋体" w:eastAsia="宋体" w:hAnsi="宋体" w:cs="宋体"/>
                <w:b w:val="0"/>
                <w:i w:val="0"/>
                <w:color w:val="000000"/>
                <w:sz w:val="18"/>
              </w:rPr>
              <w:t xml:space="preserve">14,900.00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14,900.00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w:t>
            </w:r>
          </w:p>
        </w:tc>
        <w:tc>
          <w:tcPr>
            <w:tcW w:w="4300" w:type="dxa"/>
            <w:tcBorders/>
            <w:vAlign w:val="center"/>
          </w:tcPr>
          <w:p>
            <w:pPr>
              <w:jc w:val="left"/>
            </w:pPr>
            <w:r>
              <w:rPr>
                <w:rFonts w:ascii="宋体" w:eastAsia="宋体" w:hAnsi="宋体" w:cs="宋体"/>
                <w:b w:val="0"/>
                <w:i w:val="0"/>
                <w:color w:val="000000"/>
                <w:sz w:val="18"/>
              </w:rPr>
              <w:t xml:space="preserve">文化旅游体育与传媒支出</w:t>
            </w:r>
          </w:p>
        </w:tc>
        <w:tc>
          <w:tcPr>
            <w:tcW w:w="1780" w:type="dxa"/>
            <w:tcBorders/>
            <w:vAlign w:val="center"/>
          </w:tcPr>
          <w:p>
            <w:pPr>
              <w:jc w:val="right"/>
            </w:pPr>
            <w:r>
              <w:rPr>
                <w:rFonts w:ascii="宋体" w:eastAsia="宋体" w:hAnsi="宋体" w:cs="宋体"/>
                <w:b w:val="0"/>
                <w:i w:val="0"/>
                <w:color w:val="000000"/>
                <w:sz w:val="18"/>
              </w:rPr>
              <w:t xml:space="preserve">3,126.58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3,126.58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w:t>
            </w:r>
          </w:p>
        </w:tc>
        <w:tc>
          <w:tcPr>
            <w:tcW w:w="4300" w:type="dxa"/>
            <w:tcBorders/>
            <w:vAlign w:val="center"/>
          </w:tcPr>
          <w:p>
            <w:pPr>
              <w:jc w:val="left"/>
            </w:pPr>
            <w:r>
              <w:rPr>
                <w:rFonts w:ascii="宋体" w:eastAsia="宋体" w:hAnsi="宋体" w:cs="宋体"/>
                <w:b w:val="0"/>
                <w:i w:val="0"/>
                <w:color w:val="000000"/>
                <w:sz w:val="18"/>
              </w:rPr>
              <w:t xml:space="preserve">体育</w:t>
            </w:r>
          </w:p>
        </w:tc>
        <w:tc>
          <w:tcPr>
            <w:tcW w:w="1780" w:type="dxa"/>
            <w:tcBorders/>
            <w:vAlign w:val="center"/>
          </w:tcPr>
          <w:p>
            <w:pPr>
              <w:jc w:val="right"/>
            </w:pPr>
            <w:r>
              <w:rPr>
                <w:rFonts w:ascii="宋体" w:eastAsia="宋体" w:hAnsi="宋体" w:cs="宋体"/>
                <w:b w:val="0"/>
                <w:i w:val="0"/>
                <w:color w:val="000000"/>
                <w:sz w:val="18"/>
              </w:rPr>
              <w:t xml:space="preserve">3,126.58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3,126.58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2070399</w:t>
            </w:r>
          </w:p>
        </w:tc>
        <w:tc>
          <w:tcPr>
            <w:tcW w:w="4300" w:type="dxa"/>
            <w:tcBorders/>
            <w:vAlign w:val="center"/>
          </w:tcPr>
          <w:p>
            <w:pPr>
              <w:jc w:val="left"/>
            </w:pPr>
            <w:r>
              <w:rPr>
                <w:rFonts w:ascii="宋体" w:eastAsia="宋体" w:hAnsi="宋体" w:cs="宋体"/>
                <w:b w:val="0"/>
                <w:i w:val="0"/>
                <w:color w:val="000000"/>
                <w:sz w:val="18"/>
              </w:rPr>
              <w:t xml:space="preserve">其他体育支出</w:t>
            </w:r>
          </w:p>
        </w:tc>
        <w:tc>
          <w:tcPr>
            <w:tcW w:w="1780" w:type="dxa"/>
            <w:tcBorders/>
            <w:vAlign w:val="center"/>
          </w:tcPr>
          <w:p>
            <w:pPr>
              <w:jc w:val="right"/>
            </w:pPr>
            <w:r>
              <w:rPr>
                <w:rFonts w:ascii="宋体" w:eastAsia="宋体" w:hAnsi="宋体" w:cs="宋体"/>
                <w:b w:val="0"/>
                <w:i w:val="0"/>
                <w:color w:val="000000"/>
                <w:sz w:val="18"/>
              </w:rPr>
              <w:t xml:space="preserve">3,126.58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3,126.58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w:t>
            </w:r>
          </w:p>
        </w:tc>
        <w:tc>
          <w:tcPr>
            <w:tcW w:w="4300" w:type="dxa"/>
            <w:tcBorders/>
            <w:vAlign w:val="center"/>
          </w:tcPr>
          <w:p>
            <w:pPr>
              <w:jc w:val="left"/>
            </w:pPr>
            <w:r>
              <w:rPr>
                <w:rFonts w:ascii="宋体" w:eastAsia="宋体" w:hAnsi="宋体" w:cs="宋体"/>
                <w:b w:val="0"/>
                <w:i w:val="0"/>
                <w:color w:val="000000"/>
                <w:sz w:val="18"/>
              </w:rPr>
              <w:t xml:space="preserve">城乡社区支出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w:t>
            </w:r>
          </w:p>
        </w:tc>
        <w:tc>
          <w:tcPr>
            <w:tcW w:w="4300" w:type="dxa"/>
            <w:tcBorders/>
            <w:vAlign w:val="center"/>
          </w:tcPr>
          <w:p>
            <w:pPr>
              <w:jc w:val="left"/>
            </w:pPr>
            <w:r>
              <w:rPr>
                <w:rFonts w:ascii="宋体" w:eastAsia="宋体" w:hAnsi="宋体" w:cs="宋体"/>
                <w:b w:val="0"/>
                <w:i w:val="0"/>
                <w:color w:val="000000"/>
                <w:sz w:val="18"/>
              </w:rPr>
              <w:t xml:space="preserve">城乡社区公共设施</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2120399</w:t>
            </w:r>
          </w:p>
        </w:tc>
        <w:tc>
          <w:tcPr>
            <w:tcW w:w="4300" w:type="dxa"/>
            <w:tcBorders/>
            <w:vAlign w:val="center"/>
          </w:tcPr>
          <w:p>
            <w:pPr>
              <w:jc w:val="left"/>
            </w:pPr>
            <w:r>
              <w:rPr>
                <w:rFonts w:ascii="宋体" w:eastAsia="宋体" w:hAnsi="宋体" w:cs="宋体"/>
                <w:b w:val="0"/>
                <w:i w:val="0"/>
                <w:color w:val="000000"/>
                <w:sz w:val="18"/>
              </w:rPr>
              <w:t xml:space="preserve">其他城乡社区公共设施支出</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w:t>
            </w:r>
          </w:p>
        </w:tc>
        <w:tc>
          <w:tcPr>
            <w:tcW w:w="4300" w:type="dxa"/>
            <w:tcBorders/>
            <w:vAlign w:val="center"/>
          </w:tcPr>
          <w:p>
            <w:pPr>
              <w:jc w:val="left"/>
            </w:pPr>
            <w:r>
              <w:rPr>
                <w:rFonts w:ascii="宋体" w:eastAsia="宋体" w:hAnsi="宋体" w:cs="宋体"/>
                <w:b w:val="0"/>
                <w:i w:val="0"/>
                <w:color w:val="000000"/>
                <w:sz w:val="18"/>
              </w:rPr>
              <w:t xml:space="preserve">自然资源海洋气象等支出</w:t>
            </w:r>
          </w:p>
        </w:tc>
        <w:tc>
          <w:tcPr>
            <w:tcW w:w="1780" w:type="dxa"/>
            <w:tcBorders/>
            <w:vAlign w:val="center"/>
          </w:tcPr>
          <w:p>
            <w:pPr>
              <w:jc w:val="right"/>
            </w:pPr>
            <w:r>
              <w:rPr>
                <w:rFonts w:ascii="宋体" w:eastAsia="宋体" w:hAnsi="宋体" w:cs="宋体"/>
                <w:b w:val="0"/>
                <w:i w:val="0"/>
                <w:color w:val="000000"/>
                <w:sz w:val="18"/>
              </w:rPr>
              <w:t xml:space="preserve">332.71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w:t>
            </w:r>
          </w:p>
        </w:tc>
        <w:tc>
          <w:tcPr>
            <w:tcW w:w="4300" w:type="dxa"/>
            <w:tcBorders/>
            <w:vAlign w:val="center"/>
          </w:tcPr>
          <w:p>
            <w:pPr>
              <w:jc w:val="left"/>
            </w:pPr>
            <w:r>
              <w:rPr>
                <w:rFonts w:ascii="宋体" w:eastAsia="宋体" w:hAnsi="宋体" w:cs="宋体"/>
                <w:b w:val="0"/>
                <w:i w:val="0"/>
                <w:color w:val="000000"/>
                <w:sz w:val="18"/>
              </w:rPr>
              <w:t xml:space="preserve">自然资源事务</w:t>
            </w:r>
          </w:p>
        </w:tc>
        <w:tc>
          <w:tcPr>
            <w:tcW w:w="1780" w:type="dxa"/>
            <w:tcBorders/>
            <w:vAlign w:val="center"/>
          </w:tcPr>
          <w:p>
            <w:pPr>
              <w:jc w:val="right"/>
            </w:pPr>
            <w:r>
              <w:rPr>
                <w:rFonts w:ascii="宋体" w:eastAsia="宋体" w:hAnsi="宋体" w:cs="宋体"/>
                <w:b w:val="0"/>
                <w:i w:val="0"/>
                <w:color w:val="000000"/>
                <w:sz w:val="18"/>
              </w:rPr>
              <w:t xml:space="preserve">332.71</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332.71</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2200102</w:t>
            </w:r>
          </w:p>
        </w:tc>
        <w:tc>
          <w:tcPr>
            <w:tcW w:w="4300" w:type="dxa"/>
            <w:tcBorders/>
            <w:vAlign w:val="center"/>
          </w:tcPr>
          <w:p>
            <w:pPr>
              <w:jc w:val="left"/>
            </w:pPr>
            <w:r>
              <w:rPr>
                <w:rFonts w:ascii="宋体" w:eastAsia="宋体" w:hAnsi="宋体" w:cs="宋体"/>
                <w:b w:val="0"/>
                <w:i w:val="0"/>
                <w:color w:val="000000"/>
                <w:sz w:val="18"/>
              </w:rPr>
              <w:t xml:space="preserve">一般行政管理事务</w:t>
            </w:r>
          </w:p>
        </w:tc>
        <w:tc>
          <w:tcPr>
            <w:tcW w:w="1780" w:type="dxa"/>
            <w:tcBorders/>
            <w:vAlign w:val="center"/>
          </w:tcPr>
          <w:p>
            <w:pPr>
              <w:jc w:val="right"/>
            </w:pPr>
            <w:r>
              <w:rPr>
                <w:rFonts w:ascii="宋体" w:eastAsia="宋体" w:hAnsi="宋体" w:cs="宋体"/>
                <w:b w:val="0"/>
                <w:i w:val="0"/>
                <w:color w:val="000000"/>
                <w:sz w:val="18"/>
              </w:rPr>
              <w:t xml:space="preserve">17.36</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17.36</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2200199</w:t>
            </w:r>
          </w:p>
        </w:tc>
        <w:tc>
          <w:tcPr>
            <w:tcW w:w="4300" w:type="dxa"/>
            <w:tcBorders/>
            <w:vAlign w:val="center"/>
          </w:tcPr>
          <w:p>
            <w:pPr>
              <w:jc w:val="left"/>
            </w:pPr>
            <w:r>
              <w:rPr>
                <w:rFonts w:ascii="宋体" w:eastAsia="宋体" w:hAnsi="宋体" w:cs="宋体"/>
                <w:b w:val="0"/>
                <w:i w:val="0"/>
                <w:color w:val="000000"/>
                <w:sz w:val="18"/>
              </w:rPr>
              <w:t xml:space="preserve">其他自然资源事务支出</w:t>
            </w:r>
          </w:p>
        </w:tc>
        <w:tc>
          <w:tcPr>
            <w:tcW w:w="1780" w:type="dxa"/>
            <w:tcBorders/>
            <w:vAlign w:val="center"/>
          </w:tcPr>
          <w:p>
            <w:pPr>
              <w:jc w:val="right"/>
            </w:pPr>
            <w:r>
              <w:rPr>
                <w:rFonts w:ascii="宋体" w:eastAsia="宋体" w:hAnsi="宋体" w:cs="宋体"/>
                <w:b w:val="0"/>
                <w:i w:val="0"/>
                <w:color w:val="000000"/>
                <w:sz w:val="18"/>
              </w:rPr>
              <w:t xml:space="preserve">315.35</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315.35</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4,388.25</w:t>
            </w:r>
          </w:p>
        </w:tc>
        <w:tc>
          <w:tcPr>
            <w:tcW w:w="1040" w:type="dxa"/>
            <w:tcBorders/>
            <w:vAlign w:val="center"/>
          </w:tcPr>
          <w:p>
            <w:pPr>
              <w:jc w:val="right"/>
            </w:pPr>
            <w:r>
              <w:rPr>
                <w:rFonts w:ascii="宋体" w:eastAsia="宋体" w:hAnsi="宋体" w:cs="宋体"/>
                <w:b/>
                <w:i w:val="0"/>
                <w:color w:val="000000"/>
                <w:sz w:val="15"/>
              </w:rPr>
              <w:t xml:space="preserve">4,388.25</w:t>
            </w:r>
          </w:p>
        </w:tc>
        <w:tc>
          <w:tcPr>
            <w:tcW w:w="1040" w:type="dxa"/>
            <w:tcBorders/>
            <w:vAlign w:val="center"/>
          </w:tcPr>
          <w:p>
            <w:pPr/>
          </w:p>
        </w:tc>
        <w:tc>
          <w:tcPr>
            <w:tcW w:w="1040" w:type="dxa"/>
            <w:tcBorders/>
            <w:vAlign w:val="center"/>
          </w:tcPr>
          <w:p>
            <w:pPr>
              <w:jc w:val="right"/>
            </w:pPr>
            <w:r>
              <w:rPr>
                <w:rFonts w:ascii="宋体" w:eastAsia="宋体" w:hAnsi="宋体" w:cs="宋体"/>
                <w:b/>
                <w:i w:val="0"/>
                <w:color w:val="000000"/>
                <w:sz w:val="15"/>
              </w:rPr>
              <w:t xml:space="preserve">4,388.25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w:t>
            </w:r>
          </w:p>
        </w:tc>
        <w:tc>
          <w:tcPr>
            <w:tcW w:w="3540" w:type="dxa"/>
            <w:tcBorders/>
            <w:vAlign w:val="center"/>
          </w:tcPr>
          <w:p>
            <w:pPr>
              <w:jc w:val="left"/>
            </w:pPr>
            <w:r>
              <w:rPr>
                <w:rFonts w:ascii="宋体" w:eastAsia="宋体" w:hAnsi="宋体" w:cs="宋体"/>
                <w:b w:val="0"/>
                <w:i w:val="0"/>
                <w:color w:val="000000"/>
                <w:sz w:val="15"/>
              </w:rPr>
              <w:t xml:space="preserve">城乡社区支出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w:t>
            </w:r>
          </w:p>
        </w:tc>
        <w:tc>
          <w:tcPr>
            <w:tcW w:w="3540" w:type="dxa"/>
            <w:tcBorders/>
            <w:vAlign w:val="center"/>
          </w:tcPr>
          <w:p>
            <w:pPr>
              <w:jc w:val="left"/>
            </w:pPr>
            <w:r>
              <w:rPr>
                <w:rFonts w:ascii="宋体" w:eastAsia="宋体" w:hAnsi="宋体" w:cs="宋体"/>
                <w:b w:val="0"/>
                <w:i w:val="0"/>
                <w:color w:val="000000"/>
                <w:sz w:val="15"/>
              </w:rPr>
              <w:t xml:space="preserve">国有土地使用权出让收入安排的支出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4,388.25</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2120801</w:t>
            </w:r>
          </w:p>
        </w:tc>
        <w:tc>
          <w:tcPr>
            <w:tcW w:w="3540" w:type="dxa"/>
            <w:tcBorders/>
            <w:vAlign w:val="center"/>
          </w:tcPr>
          <w:p>
            <w:pPr>
              <w:jc w:val="left"/>
            </w:pPr>
            <w:r>
              <w:rPr>
                <w:rFonts w:ascii="宋体" w:eastAsia="宋体" w:hAnsi="宋体" w:cs="宋体"/>
                <w:b w:val="0"/>
                <w:i w:val="0"/>
                <w:color w:val="000000"/>
                <w:sz w:val="15"/>
              </w:rPr>
              <w:t xml:space="preserve">征地和拆迁补偿支出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1,165.61</w:t>
            </w:r>
          </w:p>
        </w:tc>
        <w:tc>
          <w:tcPr>
            <w:tcW w:w="1040" w:type="dxa"/>
            <w:tcBorders/>
            <w:vAlign w:val="center"/>
          </w:tcPr>
          <w:p>
            <w:pPr>
              <w:jc w:val="right"/>
            </w:pPr>
            <w:r>
              <w:rPr>
                <w:rFonts w:ascii="宋体" w:eastAsia="宋体" w:hAnsi="宋体" w:cs="宋体"/>
                <w:b w:val="0"/>
                <w:i w:val="0"/>
                <w:color w:val="000000"/>
                <w:sz w:val="15"/>
              </w:rPr>
              <w:t xml:space="preserve">1,165.61</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1,165.61</w:t>
            </w:r>
          </w:p>
        </w:tc>
        <w:tc>
          <w:tcPr>
            <w:tcW w:w="1072" w:type="dxa"/>
            <w:tcBorders/>
            <w:vAlign w:val="center"/>
          </w:tcPr>
          <w:p>
            <w:pPr/>
          </w:p>
        </w:tc>
      </w:tr>
      <w:tr>
        <w:trPr>
          <w:trHeight w:hRule="exact" w:val="409"/>
          <w:jc w:val="center"/>
        </w:trPr>
        <w:tc>
          <w:tcPr>
            <w:tcW w:w="960" w:type="dxa"/>
            <w:tcBorders/>
            <w:vAlign w:val="center"/>
          </w:tcPr>
          <w:p>
            <w:pPr>
              <w:jc w:val="left"/>
            </w:pPr>
            <w:r>
              <w:rPr>
                <w:rFonts w:ascii="宋体" w:eastAsia="宋体" w:hAnsi="宋体" w:cs="宋体"/>
                <w:b w:val="0"/>
                <w:i w:val="0"/>
                <w:color w:val="000000"/>
                <w:sz w:val="15"/>
              </w:rPr>
              <w:t xml:space="preserve">2120802</w:t>
            </w:r>
          </w:p>
        </w:tc>
        <w:tc>
          <w:tcPr>
            <w:tcW w:w="3540" w:type="dxa"/>
            <w:tcBorders/>
            <w:vAlign w:val="center"/>
          </w:tcPr>
          <w:p>
            <w:pPr>
              <w:jc w:val="left"/>
            </w:pPr>
            <w:r>
              <w:rPr>
                <w:rFonts w:ascii="宋体" w:eastAsia="宋体" w:hAnsi="宋体" w:cs="宋体"/>
                <w:b w:val="0"/>
                <w:i w:val="0"/>
                <w:color w:val="000000"/>
                <w:sz w:val="15"/>
              </w:rPr>
              <w:t xml:space="preserve">土地开发支出</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3,222.64</w:t>
            </w:r>
          </w:p>
        </w:tc>
        <w:tc>
          <w:tcPr>
            <w:tcW w:w="1040" w:type="dxa"/>
            <w:tcBorders/>
            <w:vAlign w:val="center"/>
          </w:tcPr>
          <w:p>
            <w:pPr>
              <w:jc w:val="right"/>
            </w:pPr>
            <w:r>
              <w:rPr>
                <w:rFonts w:ascii="宋体" w:eastAsia="宋体" w:hAnsi="宋体" w:cs="宋体"/>
                <w:b w:val="0"/>
                <w:i w:val="0"/>
                <w:color w:val="000000"/>
                <w:sz w:val="15"/>
              </w:rPr>
              <w:t xml:space="preserve">3,222.64</w:t>
            </w:r>
          </w:p>
        </w:tc>
        <w:tc>
          <w:tcPr>
            <w:tcW w:w="1040" w:type="dxa"/>
            <w:tcBorders/>
            <w:vAlign w:val="center"/>
          </w:tcPr>
          <w:p>
            <w:pPr/>
          </w:p>
        </w:tc>
        <w:tc>
          <w:tcPr>
            <w:tcW w:w="1040" w:type="dxa"/>
            <w:tcBorders/>
            <w:vAlign w:val="center"/>
          </w:tcPr>
          <w:p>
            <w:pPr>
              <w:jc w:val="right"/>
            </w:pPr>
            <w:r>
              <w:rPr>
                <w:rFonts w:ascii="宋体" w:eastAsia="宋体" w:hAnsi="宋体" w:cs="宋体"/>
                <w:b w:val="0"/>
                <w:i w:val="0"/>
                <w:color w:val="000000"/>
                <w:sz w:val="15"/>
              </w:rPr>
              <w:t xml:space="preserve">3,222.64</w:t>
            </w: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单位：辽宁省沈阳市自然资源局浑南分局</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沈阳市自然资源局浑南分局-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23.84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17.36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556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未达成预期指标且效果较差60%-0%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经费下达不足经费下达不足经费下达不足经费下达不足经费下达不足经费下达不足经费下达不足经费下达不足经费下达不足经费下达不足经费下达不足经费下达不足经费下达不足经费下达不足经费下达不足经费下达不足</w:t>
            </w:r>
          </w:p>
          <w:p>
            <w:pPr>
              <w:pBdr/>
              <w:shd w:val="clear" w:color="auto" w:fill="auto"/>
              <w:snapToGrid w:val="0"/>
              <w:spacing w:before="0" w:beforeAutospacing="0" w:after="0" w:afterAutospacing="0" w:line="240" w:lineRule="auto"/>
              <w:jc w:val="left"/>
              <w:rPr/>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经费保障:加大经费下达加大经费下达加大经费下达加大经费下达加大经费下达加大经费下达加大经费下达加大经费下达加大经费下达加大经费下达</w:t>
            </w:r>
          </w:p>
          <w:p>
            <w:pPr>
              <w:pBdr/>
              <w:shd w:val="clear" w:color="auto" w:fill="auto"/>
              <w:snapToGrid w:val="0"/>
              <w:spacing w:before="0" w:beforeAutospacing="0" w:after="0" w:afterAutospacing="0" w:line="240" w:lineRule="auto"/>
              <w:jc w:val="left"/>
              <w:rPr/>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7.28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4.95022232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土地出让规划类费用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沈阳市自然资源局浑南分局-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规划的编制，可以较好的完成区委区政府制定的关于加快一区十二园的规划建设目标，可以提升该地区的土地价值，经过审批后，可以开展该地区的土地出让，可以持续的增加土地出让金及引导企业落户。该规划的编制，可以较好的完成区委区政府制定的关于加快一区十二园的规划建设目标，可以提升该地区的土地价值，经过审批后，可以开展该地区的土地出让，可以持续的增加土地出让金及引导企业落户。该规划的编制，可以较好的完成区委区政府制定的关于加快一区十二园的规划建设目标，可以提升该地区的土地价值，经过审批后，可以开展该地区的土地出让，可以持续的增加土地出让金及引导企业落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该规划的编制，可以较好的完成区委区政府制定的关于加快一区十二园的规划建设目标，可以提升该地区的土地价值，经过审批后，可以开展该地区的土地出让，可以持续的增加土地出让金及引导企业落户。该规划的编制，可以较好的完成区委区政府制定的关于加快一区十二园的规划建设目标，可以提升该地区的土地价值，经过审批后，可以开展该地区的土地出让，可以持续的增加土地出让金及引导企业落户。该规划的编制，可以较好的完成区委区政府制定的关于加快一区十二园的规划建设目标，可以提升该地区的土地价值，经过审批后，可以开展该地区的土地出让，可以持续的增加土地出让金及引导企业落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项目总经费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政府专项土地开发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沈阳市自然资源局浑南分局-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20659.67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2488.07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12.04%</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本预算属于其他运转类预算项目，主要目的是按照《土地管理法》及各级政府对于土地征收工作的要求，满足合法、合规用地审批的前置需求。立项依据合法、合规。所有资金全额来自财政预算拨款，由财政下达财力予以保障，预算经费来源单一，筹资渠道合规。该规划的编制，可以较好的完成区委区政府制定的关于加快一区十二园的规划建设目标，可以提升该地区的土地价值，经过审批后，可以开展该地区的土地出让，可以持续的增加土地出让金及引导企业落户。</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属于其他运转类预算项目，主要目的是按照《土地管理法》及各级政府对于土地征收工作的要求，满足合法、合规用地审批的前置需求。立项依据合法、合规。所有资金全额来自财政预算拨款，由财政下达财力予以保障，预算经费来源单一，筹资渠道合规。该规划的编制，可以较好的完成区委区政府制定的关于加快一区十二园的规划建设目标，可以提升该地区的土地价值，经过审批后，可以开展该地区的土地出让，可以持续的增加土地出让金及引导企业落户。</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项目总经费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137270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137270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依法依规</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32.20431258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专家评审费用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其他部门-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沈阳市自然资源局浑南分局-</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规划调整专家论证会与规划调整批前公示听证会有助于规划调整工作科学合理推进，切实做好规划动态调整完善工作，满足区域发展需求，保障重点项目按时落地。</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规划调整专家论证会与规划调整批前公示听证会有助于规划调整工作科学合理推进，切实做好规划动态调整完善工作，满足区域发展需求，保障重点项目按时落地。</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支付准确率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项目完成进度延迟率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50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项目总经费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项目总经费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促进经济发展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促进发展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社会认可度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生态效益指标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项目地区生态环境保护</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保护环境</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政策持续性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依法开展</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项目相关方满意率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项目基层实施人员满意度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