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rPr>
          <w:rFonts w:hint="default" w:ascii="黑体" w:eastAsia="黑体"/>
          <w:sz w:val="32"/>
        </w:rPr>
      </w:pPr>
      <w:r>
        <w:rPr>
          <w:rFonts w:ascii="黑体" w:eastAsia="黑体"/>
          <w:sz w:val="32"/>
        </w:rPr>
        <w:t>附件2</w:t>
      </w:r>
    </w:p>
    <w:p>
      <w:pPr>
        <w:pStyle w:val="9"/>
        <w:rPr>
          <w:rFonts w:hint="default"/>
          <w:b/>
          <w:sz w:val="44"/>
        </w:rPr>
      </w:pPr>
    </w:p>
    <w:p>
      <w:pPr>
        <w:pStyle w:val="9"/>
        <w:rPr>
          <w:rFonts w:hint="default"/>
          <w:b/>
          <w:sz w:val="44"/>
        </w:rPr>
      </w:pPr>
    </w:p>
    <w:p>
      <w:pPr>
        <w:pStyle w:val="9"/>
        <w:rPr>
          <w:rFonts w:hint="default"/>
          <w:b/>
          <w:sz w:val="44"/>
        </w:rPr>
      </w:pPr>
    </w:p>
    <w:p>
      <w:pPr>
        <w:pStyle w:val="9"/>
        <w:rPr>
          <w:rFonts w:hint="default"/>
          <w:b/>
          <w:sz w:val="44"/>
        </w:rPr>
      </w:pPr>
    </w:p>
    <w:p>
      <w:pPr>
        <w:pStyle w:val="9"/>
        <w:rPr>
          <w:rFonts w:hint="default"/>
          <w:b/>
          <w:sz w:val="44"/>
        </w:rPr>
      </w:pPr>
    </w:p>
    <w:p>
      <w:pPr>
        <w:pStyle w:val="9"/>
        <w:rPr>
          <w:rFonts w:hint="default"/>
          <w:b/>
          <w:sz w:val="44"/>
        </w:rPr>
      </w:pPr>
    </w:p>
    <w:p>
      <w:pPr>
        <w:spacing w:line="540" w:lineRule="exact"/>
        <w:jc w:val="center"/>
        <w:rPr>
          <w:rFonts w:hint="default" w:ascii="宋体" w:hAnsi="宋体"/>
          <w:b/>
          <w:color w:val="FF0000"/>
          <w:sz w:val="52"/>
          <w:szCs w:val="52"/>
        </w:rPr>
      </w:pPr>
      <w:r>
        <w:rPr>
          <w:rFonts w:ascii="宋体" w:hAnsi="宋体"/>
          <w:b/>
          <w:sz w:val="52"/>
          <w:szCs w:val="52"/>
        </w:rPr>
        <w:t>沈阳市浑南区消防救援大队2022年度决算说明</w:t>
      </w:r>
    </w:p>
    <w:p>
      <w:pPr>
        <w:pStyle w:val="9"/>
        <w:jc w:val="center"/>
        <w:rPr>
          <w:rFonts w:hint="default" w:ascii="仿宋_GB2312" w:eastAsia="仿宋_GB2312"/>
          <w:b/>
          <w:sz w:val="52"/>
        </w:rPr>
      </w:pPr>
    </w:p>
    <w:p>
      <w:pPr>
        <w:pStyle w:val="9"/>
        <w:jc w:val="center"/>
        <w:rPr>
          <w:rFonts w:hint="default" w:ascii="仿宋_GB2312" w:eastAsia="仿宋_GB2312"/>
          <w:b/>
          <w:sz w:val="52"/>
        </w:rPr>
      </w:pPr>
    </w:p>
    <w:p>
      <w:pPr>
        <w:pStyle w:val="9"/>
        <w:jc w:val="center"/>
        <w:rPr>
          <w:rFonts w:hint="default" w:ascii="Times New Roman" w:eastAsia="Times New Roman"/>
          <w:b/>
          <w:sz w:val="44"/>
          <w:u w:val="single"/>
        </w:rPr>
      </w:pPr>
    </w:p>
    <w:p>
      <w:pPr>
        <w:pStyle w:val="9"/>
        <w:jc w:val="center"/>
        <w:rPr>
          <w:rFonts w:hint="default" w:ascii="Times New Roman" w:eastAsia="Times New Roman"/>
          <w:b/>
          <w:sz w:val="44"/>
          <w:u w:val="single"/>
        </w:rPr>
      </w:pPr>
    </w:p>
    <w:p>
      <w:pPr>
        <w:pStyle w:val="9"/>
        <w:jc w:val="center"/>
        <w:rPr>
          <w:rFonts w:hint="default" w:ascii="Times New Roman" w:eastAsia="Times New Roman"/>
          <w:b/>
          <w:sz w:val="44"/>
          <w:u w:val="single"/>
        </w:rPr>
      </w:pPr>
    </w:p>
    <w:p>
      <w:pPr>
        <w:pStyle w:val="9"/>
        <w:jc w:val="center"/>
        <w:rPr>
          <w:rFonts w:hint="default" w:ascii="Times New Roman" w:eastAsia="Times New Roman"/>
          <w:b/>
          <w:sz w:val="44"/>
          <w:u w:val="single"/>
        </w:rPr>
      </w:pPr>
    </w:p>
    <w:p>
      <w:pPr>
        <w:pStyle w:val="9"/>
        <w:jc w:val="center"/>
        <w:rPr>
          <w:rFonts w:hint="default" w:ascii="Times New Roman" w:eastAsia="Times New Roman"/>
          <w:b/>
          <w:sz w:val="44"/>
          <w:u w:val="single"/>
        </w:rPr>
      </w:pPr>
    </w:p>
    <w:p>
      <w:pPr>
        <w:pStyle w:val="9"/>
        <w:jc w:val="center"/>
        <w:rPr>
          <w:rFonts w:hint="default" w:ascii="Times New Roman" w:eastAsia="Times New Roman"/>
          <w:b/>
          <w:sz w:val="44"/>
          <w:u w:val="single"/>
        </w:rPr>
      </w:pPr>
    </w:p>
    <w:p>
      <w:pPr>
        <w:pStyle w:val="9"/>
        <w:rPr>
          <w:rFonts w:hint="default" w:ascii="Times New Roman" w:eastAsia="Times New Roman"/>
          <w:b/>
          <w:sz w:val="44"/>
          <w:u w:val="single"/>
        </w:rPr>
      </w:pPr>
    </w:p>
    <w:p>
      <w:pPr>
        <w:pStyle w:val="9"/>
        <w:rPr>
          <w:rFonts w:hint="default" w:ascii="Times New Roman" w:eastAsia="Times New Roman"/>
          <w:b/>
          <w:sz w:val="44"/>
          <w:u w:val="single"/>
        </w:rPr>
      </w:pPr>
    </w:p>
    <w:p>
      <w:pPr>
        <w:pStyle w:val="9"/>
        <w:jc w:val="center"/>
        <w:rPr>
          <w:rFonts w:hint="default" w:ascii="Times New Roman" w:eastAsia="Times New Roman"/>
          <w:b/>
          <w:sz w:val="44"/>
          <w:u w:val="single"/>
        </w:rPr>
      </w:pPr>
    </w:p>
    <w:p>
      <w:pPr>
        <w:pStyle w:val="9"/>
        <w:jc w:val="center"/>
        <w:rPr>
          <w:rFonts w:hint="default" w:ascii="Times New Roman" w:eastAsia="Times New Roman"/>
          <w:b/>
          <w:sz w:val="44"/>
          <w:u w:val="single"/>
        </w:rPr>
      </w:pPr>
    </w:p>
    <w:p>
      <w:pPr>
        <w:pStyle w:val="9"/>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9"/>
        <w:spacing w:line="560" w:lineRule="exact"/>
        <w:rPr>
          <w:rFonts w:hint="default" w:ascii="Times New Roman" w:eastAsia="Times New Roman"/>
          <w:b/>
          <w:sz w:val="44"/>
          <w:u w:val="single"/>
        </w:rPr>
      </w:pPr>
    </w:p>
    <w:p>
      <w:pPr>
        <w:pStyle w:val="9"/>
        <w:spacing w:line="560" w:lineRule="exact"/>
        <w:rPr>
          <w:rFonts w:hint="default" w:ascii="黑体" w:eastAsia="黑体"/>
          <w:sz w:val="32"/>
        </w:rPr>
      </w:pPr>
      <w:r>
        <w:rPr>
          <w:rFonts w:ascii="黑体" w:eastAsia="黑体"/>
          <w:sz w:val="32"/>
        </w:rPr>
        <w:t>第一部分    沈阳市浑南区消防救援大队概况</w:t>
      </w:r>
    </w:p>
    <w:p>
      <w:pPr>
        <w:pStyle w:val="9"/>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9"/>
        <w:spacing w:line="560" w:lineRule="exact"/>
        <w:rPr>
          <w:rFonts w:hint="default" w:ascii="仿宋_GB2312" w:eastAsia="仿宋_GB2312"/>
          <w:sz w:val="32"/>
        </w:rPr>
      </w:pPr>
      <w:r>
        <w:rPr>
          <w:rFonts w:ascii="仿宋_GB2312" w:eastAsia="仿宋_GB2312"/>
          <w:sz w:val="32"/>
        </w:rPr>
        <w:t>二、决算单位构成</w:t>
      </w:r>
    </w:p>
    <w:p>
      <w:pPr>
        <w:pStyle w:val="9"/>
        <w:spacing w:line="560" w:lineRule="exact"/>
        <w:rPr>
          <w:rFonts w:hint="default" w:ascii="黑体" w:eastAsia="黑体"/>
          <w:sz w:val="32"/>
        </w:rPr>
      </w:pPr>
      <w:r>
        <w:rPr>
          <w:rFonts w:ascii="黑体" w:eastAsia="黑体"/>
          <w:sz w:val="32"/>
        </w:rPr>
        <w:t>第二部分   沈阳市浑南区消防救援大队2022年部门决算情况说明</w:t>
      </w:r>
    </w:p>
    <w:p>
      <w:pPr>
        <w:pStyle w:val="9"/>
        <w:spacing w:line="560" w:lineRule="exact"/>
        <w:rPr>
          <w:rFonts w:hint="default" w:ascii="仿宋_GB2312" w:eastAsia="仿宋_GB2312"/>
          <w:sz w:val="32"/>
        </w:rPr>
      </w:pPr>
      <w:r>
        <w:rPr>
          <w:rFonts w:ascii="仿宋_GB2312" w:eastAsia="仿宋_GB2312"/>
          <w:sz w:val="32"/>
        </w:rPr>
        <w:t>一、收入支出决算总体情况说明</w:t>
      </w:r>
    </w:p>
    <w:p>
      <w:pPr>
        <w:pStyle w:val="9"/>
        <w:spacing w:line="560" w:lineRule="exact"/>
        <w:rPr>
          <w:rFonts w:hint="default" w:ascii="仿宋_GB2312" w:eastAsia="仿宋_GB2312"/>
          <w:sz w:val="32"/>
        </w:rPr>
      </w:pPr>
      <w:r>
        <w:rPr>
          <w:rFonts w:ascii="仿宋_GB2312" w:eastAsia="仿宋_GB2312"/>
          <w:sz w:val="32"/>
        </w:rPr>
        <w:t>二、财政拨款收入支出决算情况说明</w:t>
      </w:r>
    </w:p>
    <w:p>
      <w:pPr>
        <w:pStyle w:val="9"/>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9"/>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9"/>
        <w:spacing w:line="560" w:lineRule="exact"/>
        <w:rPr>
          <w:rFonts w:hint="default" w:ascii="黑体" w:eastAsia="黑体"/>
          <w:sz w:val="32"/>
        </w:rPr>
      </w:pPr>
      <w:r>
        <w:rPr>
          <w:rFonts w:ascii="仿宋_GB2312" w:eastAsia="仿宋_GB2312"/>
          <w:sz w:val="32"/>
        </w:rPr>
        <w:t>五、其他重要事项的情况说明</w:t>
      </w:r>
    </w:p>
    <w:p>
      <w:pPr>
        <w:pStyle w:val="9"/>
        <w:spacing w:line="560" w:lineRule="exact"/>
        <w:rPr>
          <w:rFonts w:hint="default" w:ascii="黑体" w:eastAsia="黑体"/>
          <w:sz w:val="32"/>
        </w:rPr>
      </w:pPr>
      <w:r>
        <w:rPr>
          <w:rFonts w:ascii="黑体" w:eastAsia="黑体"/>
          <w:sz w:val="32"/>
        </w:rPr>
        <w:t>第三部分    名词解释</w:t>
      </w:r>
    </w:p>
    <w:p>
      <w:pPr>
        <w:spacing w:line="540" w:lineRule="exact"/>
        <w:rPr>
          <w:rFonts w:hint="default" w:ascii="仿宋_GB2312" w:hAnsi="黑体" w:eastAsia="仿宋_GB2312"/>
          <w:sz w:val="32"/>
          <w:szCs w:val="32"/>
        </w:rPr>
      </w:pPr>
      <w:r>
        <w:rPr>
          <w:rFonts w:ascii="黑体" w:eastAsia="黑体"/>
          <w:sz w:val="32"/>
        </w:rPr>
        <w:t>第四部分 沈阳市浑南区消防救援大队2022年决算报表</w:t>
      </w:r>
      <w:r>
        <w:rPr>
          <w:rFonts w:ascii="仿宋_GB2312" w:eastAsia="仿宋_GB2312"/>
          <w:sz w:val="32"/>
          <w:szCs w:val="32"/>
        </w:rPr>
        <w:t>一、</w:t>
      </w:r>
      <w:r>
        <w:rPr>
          <w:rFonts w:ascii="仿宋_GB2312" w:hAnsi="仿宋" w:eastAsia="仿宋_GB2312"/>
          <w:sz w:val="32"/>
          <w:szCs w:val="32"/>
        </w:rPr>
        <w:t>收入支出决算总表</w:t>
      </w:r>
    </w:p>
    <w:p>
      <w:pPr>
        <w:spacing w:line="540" w:lineRule="exact"/>
        <w:rPr>
          <w:rFonts w:hint="default" w:ascii="仿宋_GB2312" w:eastAsia="仿宋_GB2312"/>
          <w:sz w:val="32"/>
          <w:szCs w:val="32"/>
        </w:rPr>
      </w:pPr>
      <w:r>
        <w:rPr>
          <w:rFonts w:ascii="仿宋_GB2312" w:eastAsia="仿宋_GB2312"/>
          <w:sz w:val="32"/>
          <w:szCs w:val="32"/>
        </w:rPr>
        <w:t>二、收入决算表</w:t>
      </w:r>
    </w:p>
    <w:p>
      <w:pPr>
        <w:spacing w:line="540" w:lineRule="exact"/>
        <w:rPr>
          <w:rFonts w:hint="default" w:ascii="仿宋_GB2312" w:eastAsia="仿宋_GB2312"/>
          <w:sz w:val="32"/>
          <w:szCs w:val="32"/>
        </w:rPr>
      </w:pPr>
      <w:r>
        <w:rPr>
          <w:rFonts w:ascii="仿宋_GB2312" w:eastAsia="仿宋_GB2312"/>
          <w:sz w:val="32"/>
          <w:szCs w:val="32"/>
        </w:rPr>
        <w:t>三、支出决算表</w:t>
      </w:r>
    </w:p>
    <w:p>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pPr>
        <w:spacing w:line="540" w:lineRule="exact"/>
        <w:rPr>
          <w:rFonts w:hint="default" w:ascii="黑体" w:hAnsi="黑体" w:eastAsia="黑体"/>
          <w:b/>
          <w:sz w:val="44"/>
          <w:szCs w:val="44"/>
          <w:u w:val="single"/>
        </w:rPr>
      </w:pPr>
      <w:r>
        <w:rPr>
          <w:rFonts w:ascii="黑体" w:hAnsi="黑体" w:eastAsia="黑体"/>
          <w:sz w:val="32"/>
          <w:szCs w:val="32"/>
        </w:rPr>
        <w:t>第五部分    附件</w:t>
      </w:r>
    </w:p>
    <w:p>
      <w:pPr>
        <w:pStyle w:val="9"/>
        <w:spacing w:line="560" w:lineRule="exact"/>
        <w:rPr>
          <w:rFonts w:hint="default"/>
          <w:b/>
          <w:sz w:val="36"/>
        </w:rPr>
      </w:pPr>
    </w:p>
    <w:p>
      <w:pPr>
        <w:pStyle w:val="9"/>
        <w:spacing w:line="560" w:lineRule="exact"/>
        <w:rPr>
          <w:rFonts w:hint="default"/>
          <w:b/>
          <w:sz w:val="36"/>
        </w:rPr>
      </w:pPr>
      <w:r>
        <w:rPr>
          <w:b/>
          <w:sz w:val="36"/>
        </w:rPr>
        <w:t>第一部分</w:t>
      </w:r>
      <w:r>
        <w:rPr>
          <w:rFonts w:ascii="黑体" w:eastAsia="黑体"/>
          <w:sz w:val="32"/>
        </w:rPr>
        <w:t xml:space="preserve">  </w:t>
      </w:r>
      <w:r>
        <w:rPr>
          <w:b/>
          <w:sz w:val="36"/>
        </w:rPr>
        <w:t>沈阳市浑南区消防救援大队概况</w:t>
      </w:r>
    </w:p>
    <w:p>
      <w:pPr>
        <w:pStyle w:val="9"/>
        <w:spacing w:line="560" w:lineRule="exact"/>
        <w:ind w:firstLine="640"/>
        <w:rPr>
          <w:rFonts w:hint="default" w:ascii="黑体" w:eastAsia="黑体"/>
          <w:sz w:val="32"/>
        </w:rPr>
      </w:pPr>
    </w:p>
    <w:p>
      <w:pPr>
        <w:numPr>
          <w:ilvl w:val="0"/>
          <w:numId w:val="1"/>
        </w:numPr>
        <w:shd w:val="clear"/>
        <w:spacing w:line="540" w:lineRule="exact"/>
        <w:ind w:firstLine="640" w:firstLineChars="200"/>
        <w:jc w:val="left"/>
        <w:rPr>
          <w:rFonts w:hint="default" w:ascii="黑体" w:eastAsia="黑体"/>
          <w:sz w:val="32"/>
          <w:szCs w:val="32"/>
        </w:rPr>
      </w:pPr>
      <w:r>
        <w:rPr>
          <w:rFonts w:ascii="黑体" w:eastAsia="黑体"/>
          <w:sz w:val="32"/>
          <w:szCs w:val="32"/>
        </w:rPr>
        <w:t>主要职责</w:t>
      </w:r>
    </w:p>
    <w:p>
      <w:pPr>
        <w:pStyle w:val="4"/>
        <w:widowControl/>
        <w:shd w:val="clear"/>
        <w:spacing w:beforeAutospacing="0" w:afterAutospacing="0"/>
        <w:ind w:firstLine="645"/>
        <w:rPr>
          <w:rFonts w:hint="default" w:ascii="仿宋_GB2312" w:eastAsia="仿宋_GB2312"/>
          <w:color w:val="000000"/>
          <w:kern w:val="2"/>
          <w:sz w:val="32"/>
          <w:szCs w:val="32"/>
        </w:rPr>
      </w:pPr>
      <w:r>
        <w:rPr>
          <w:rFonts w:ascii="仿宋_GB2312" w:eastAsia="仿宋_GB2312"/>
          <w:color w:val="000000"/>
          <w:kern w:val="2"/>
          <w:sz w:val="32"/>
          <w:szCs w:val="32"/>
        </w:rPr>
        <w:t>大队主要负责辖区内机关、团体、企事业单位的防火监督、开业前消防检查、消防知识普及、消防业务培训和对所属消防救援站的管理等业务；所属消防救援站主要担负着辖区内的灭火救援、社会救助等任务。主要职责是：</w:t>
      </w:r>
    </w:p>
    <w:p>
      <w:pPr>
        <w:pStyle w:val="4"/>
        <w:widowControl/>
        <w:shd w:val="clear"/>
        <w:spacing w:beforeAutospacing="0" w:afterAutospacing="0"/>
        <w:ind w:firstLine="420"/>
        <w:rPr>
          <w:rFonts w:hint="default" w:ascii="仿宋_GB2312" w:eastAsia="仿宋_GB2312"/>
          <w:color w:val="000000"/>
          <w:kern w:val="2"/>
          <w:sz w:val="32"/>
          <w:szCs w:val="32"/>
        </w:rPr>
      </w:pPr>
      <w:r>
        <w:rPr>
          <w:rFonts w:ascii="仿宋_GB2312" w:eastAsia="仿宋_GB2312"/>
          <w:color w:val="000000"/>
          <w:kern w:val="2"/>
          <w:sz w:val="32"/>
          <w:szCs w:val="32"/>
        </w:rPr>
        <w:t>（一）参与编制消防规划。城市人民政府在新建、扩建和改建城市时，应当组织规划、消防等有关部门对城市消防安全布局和公共消防设施、消防装备的建设，进行合理规划，正确处理城市建设与消防安全的关系。依照有关法律、法规和消防技术标准的要求、严格把好规划关，将城市消防规划纳入城市总体规划，与城市其它基础设施同步规划、同步建设。</w:t>
      </w:r>
    </w:p>
    <w:p>
      <w:pPr>
        <w:pStyle w:val="4"/>
        <w:widowControl/>
        <w:shd w:val="clear"/>
        <w:spacing w:beforeAutospacing="0" w:afterAutospacing="0"/>
        <w:ind w:firstLine="420"/>
        <w:rPr>
          <w:rFonts w:hint="default" w:ascii="仿宋_GB2312" w:eastAsia="仿宋_GB2312"/>
          <w:color w:val="000000"/>
          <w:kern w:val="2"/>
          <w:sz w:val="32"/>
          <w:szCs w:val="32"/>
        </w:rPr>
      </w:pPr>
      <w:r>
        <w:rPr>
          <w:rFonts w:ascii="仿宋_GB2312" w:eastAsia="仿宋_GB2312"/>
          <w:color w:val="000000"/>
          <w:kern w:val="2"/>
          <w:sz w:val="32"/>
          <w:szCs w:val="32"/>
        </w:rPr>
        <w:t>（二）公共聚集场所在使用或者开业前的消防安全检查。歌舞厅、影剧院、宾馆、饭店、商场、集贸市场等公共聚集的场所在使用或者开业前，应当向当地消防救援机构申报，经消防安全检查合格后，方可使用或者开业。</w:t>
      </w:r>
    </w:p>
    <w:p>
      <w:pPr>
        <w:pStyle w:val="4"/>
        <w:widowControl/>
        <w:shd w:val="clear"/>
        <w:spacing w:beforeAutospacing="0" w:afterAutospacing="0"/>
        <w:ind w:firstLine="420"/>
        <w:rPr>
          <w:rFonts w:hint="default" w:ascii="仿宋_GB2312" w:eastAsia="仿宋_GB2312"/>
          <w:color w:val="000000"/>
          <w:kern w:val="2"/>
          <w:sz w:val="32"/>
          <w:szCs w:val="32"/>
        </w:rPr>
      </w:pPr>
      <w:r>
        <w:rPr>
          <w:rFonts w:ascii="仿宋_GB2312" w:eastAsia="仿宋_GB2312"/>
          <w:color w:val="000000"/>
          <w:kern w:val="2"/>
          <w:sz w:val="32"/>
          <w:szCs w:val="32"/>
        </w:rPr>
        <w:t>（三）确定重点单位。消防安全重点单位要根据发生火灾的危险性以及一旦发生火灾可能产生的危害后果确定，危害后果一般包括：发生火灾后可能造成的人身重大伤亡或财产重大损失。有权确定消防安全重点单位的是县级以上地方各级人民政府消防救援机构。确定的重点单位还应当报本级人民政府备案。</w:t>
      </w:r>
    </w:p>
    <w:p>
      <w:pPr>
        <w:pStyle w:val="4"/>
        <w:widowControl/>
        <w:shd w:val="clear"/>
        <w:spacing w:beforeAutospacing="0" w:afterAutospacing="0"/>
        <w:ind w:firstLine="420"/>
        <w:rPr>
          <w:rFonts w:hint="default" w:ascii="仿宋_GB2312" w:eastAsia="仿宋_GB2312"/>
          <w:color w:val="000000"/>
          <w:kern w:val="2"/>
          <w:sz w:val="32"/>
          <w:szCs w:val="32"/>
        </w:rPr>
      </w:pPr>
      <w:r>
        <w:rPr>
          <w:rFonts w:ascii="仿宋_GB2312" w:eastAsia="仿宋_GB2312"/>
          <w:color w:val="000000"/>
          <w:kern w:val="2"/>
          <w:sz w:val="32"/>
          <w:szCs w:val="32"/>
        </w:rPr>
        <w:t>（四）监督检查。消防监督检查是消防救援对机关、团体、企业、事业单位遵守消防法律、法规的情况依法进行监督的行政执法行为。</w:t>
      </w:r>
    </w:p>
    <w:p>
      <w:pPr>
        <w:pStyle w:val="4"/>
        <w:widowControl/>
        <w:shd w:val="clear"/>
        <w:spacing w:beforeAutospacing="0" w:afterAutospacing="0"/>
        <w:ind w:firstLine="420"/>
        <w:rPr>
          <w:rFonts w:hint="default" w:ascii="仿宋_GB2312" w:eastAsia="仿宋_GB2312"/>
          <w:color w:val="000000"/>
          <w:kern w:val="2"/>
          <w:sz w:val="32"/>
          <w:szCs w:val="32"/>
        </w:rPr>
      </w:pPr>
      <w:r>
        <w:rPr>
          <w:rFonts w:ascii="仿宋_GB2312" w:eastAsia="仿宋_GB2312"/>
          <w:color w:val="000000"/>
          <w:kern w:val="2"/>
          <w:sz w:val="32"/>
          <w:szCs w:val="32"/>
        </w:rPr>
        <w:t>（五）发现火灾隐患，通知有关单位和个人。消防救援机构发现火灾隐患，应当及时通知有关单位或者个人采取措施，限期消除隐患。</w:t>
      </w:r>
    </w:p>
    <w:p>
      <w:pPr>
        <w:pStyle w:val="4"/>
        <w:widowControl/>
        <w:shd w:val="clear"/>
        <w:spacing w:beforeAutospacing="0" w:afterAutospacing="0"/>
        <w:ind w:firstLine="420"/>
        <w:rPr>
          <w:rFonts w:hint="default" w:ascii="仿宋_GB2312" w:eastAsia="仿宋_GB2312"/>
          <w:color w:val="000000"/>
          <w:kern w:val="2"/>
          <w:sz w:val="32"/>
          <w:szCs w:val="32"/>
        </w:rPr>
      </w:pPr>
      <w:r>
        <w:rPr>
          <w:rFonts w:ascii="仿宋_GB2312" w:eastAsia="仿宋_GB2312"/>
          <w:color w:val="000000"/>
          <w:kern w:val="2"/>
          <w:sz w:val="32"/>
          <w:szCs w:val="32"/>
        </w:rPr>
        <w:t>（六）组织、指挥扑救火灾，参加抢险救援、社会救助等工作。</w:t>
      </w:r>
    </w:p>
    <w:p>
      <w:pPr>
        <w:pStyle w:val="4"/>
        <w:widowControl/>
        <w:shd w:val="clear"/>
        <w:spacing w:beforeAutospacing="0" w:afterAutospacing="0"/>
        <w:ind w:firstLine="420"/>
        <w:rPr>
          <w:rFonts w:hint="default" w:ascii="仿宋_GB2312" w:eastAsia="仿宋_GB2312"/>
          <w:color w:val="000000"/>
          <w:kern w:val="2"/>
          <w:sz w:val="32"/>
          <w:szCs w:val="32"/>
        </w:rPr>
      </w:pPr>
      <w:r>
        <w:rPr>
          <w:rFonts w:ascii="仿宋_GB2312" w:eastAsia="仿宋_GB2312"/>
          <w:color w:val="000000"/>
          <w:kern w:val="2"/>
          <w:sz w:val="32"/>
          <w:szCs w:val="32"/>
        </w:rPr>
        <w:t>（七）指导专职消防队和义务消防队、指挥调动专职消防队。消防救援机构应当对专职消防队、义务消防队进行业务指导，并有权指挥调动专职消防队参加火灾扑救工作。</w:t>
      </w:r>
    </w:p>
    <w:p>
      <w:pPr>
        <w:pStyle w:val="4"/>
        <w:widowControl/>
        <w:shd w:val="clear"/>
        <w:spacing w:beforeAutospacing="0" w:afterAutospacing="0"/>
        <w:ind w:firstLine="420"/>
        <w:rPr>
          <w:rFonts w:hint="default" w:ascii="仿宋_GB2312" w:eastAsia="仿宋_GB2312"/>
          <w:color w:val="000000"/>
          <w:kern w:val="2"/>
          <w:sz w:val="32"/>
          <w:szCs w:val="32"/>
        </w:rPr>
      </w:pPr>
      <w:r>
        <w:rPr>
          <w:rFonts w:ascii="仿宋_GB2312" w:eastAsia="仿宋_GB2312"/>
          <w:color w:val="000000"/>
          <w:kern w:val="2"/>
          <w:sz w:val="32"/>
          <w:szCs w:val="32"/>
        </w:rPr>
        <w:t>（八）火灾调查工作。1.根据需要封闭火灾现场；2.负责调查认定火灾原因；3.核定火灾损失；4.查明火灾事故责任。</w:t>
      </w:r>
    </w:p>
    <w:p>
      <w:pPr>
        <w:pStyle w:val="4"/>
        <w:widowControl/>
        <w:shd w:val="clear"/>
        <w:spacing w:beforeAutospacing="0" w:afterAutospacing="0"/>
        <w:ind w:firstLine="420"/>
        <w:rPr>
          <w:rFonts w:hint="default" w:ascii="仿宋_GB2312" w:eastAsia="仿宋_GB2312"/>
          <w:color w:val="000000"/>
          <w:kern w:val="2"/>
          <w:sz w:val="32"/>
          <w:szCs w:val="32"/>
        </w:rPr>
      </w:pPr>
      <w:r>
        <w:rPr>
          <w:rFonts w:ascii="仿宋_GB2312" w:eastAsia="仿宋_GB2312"/>
          <w:color w:val="000000"/>
          <w:kern w:val="2"/>
          <w:sz w:val="32"/>
          <w:szCs w:val="32"/>
        </w:rPr>
        <w:t>（九）依法实施行政处罚权。对违反《消防法》规定行为实施行政处罚。</w:t>
      </w:r>
    </w:p>
    <w:p>
      <w:pPr>
        <w:pStyle w:val="9"/>
        <w:shd w:val="clear"/>
        <w:spacing w:line="560" w:lineRule="exact"/>
        <w:ind w:firstLine="640"/>
        <w:rPr>
          <w:rFonts w:hint="default" w:ascii="黑体" w:eastAsia="黑体"/>
          <w:sz w:val="32"/>
        </w:rPr>
      </w:pPr>
      <w:r>
        <w:rPr>
          <w:rFonts w:ascii="黑体" w:eastAsia="黑体"/>
          <w:sz w:val="32"/>
        </w:rPr>
        <w:t>二、决算单位构成</w:t>
      </w:r>
      <w:r>
        <w:rPr>
          <w:rFonts w:ascii="仿宋_GB2312" w:hAnsi="仿宋_GB2312" w:eastAsia="仿宋_GB2312" w:cs="仿宋_GB2312"/>
          <w:b/>
          <w:sz w:val="32"/>
          <w:szCs w:val="32"/>
        </w:rPr>
        <w:t>纳入本单位2022年决算编制范围的</w:t>
      </w:r>
      <w:r>
        <w:rPr>
          <w:rFonts w:ascii="黑体" w:eastAsia="黑体"/>
          <w:sz w:val="32"/>
        </w:rPr>
        <w:t>是浑南区消防救援大队本级，本单位无下设机构。</w:t>
      </w:r>
    </w:p>
    <w:p>
      <w:pPr>
        <w:pStyle w:val="9"/>
        <w:shd w:val="clear"/>
        <w:spacing w:line="560" w:lineRule="exact"/>
        <w:ind w:firstLine="640"/>
        <w:rPr>
          <w:rFonts w:hint="default" w:ascii="黑体" w:eastAsia="黑体"/>
          <w:sz w:val="32"/>
        </w:rPr>
      </w:pPr>
    </w:p>
    <w:p>
      <w:pPr>
        <w:pStyle w:val="9"/>
        <w:spacing w:line="560" w:lineRule="exact"/>
        <w:rPr>
          <w:rFonts w:hint="default"/>
          <w:b/>
          <w:sz w:val="36"/>
        </w:rPr>
      </w:pPr>
    </w:p>
    <w:p>
      <w:pPr>
        <w:pStyle w:val="9"/>
        <w:spacing w:line="560" w:lineRule="exact"/>
        <w:rPr>
          <w:rFonts w:hint="default"/>
          <w:b/>
          <w:sz w:val="36"/>
        </w:rPr>
      </w:pPr>
    </w:p>
    <w:p>
      <w:pPr>
        <w:pStyle w:val="9"/>
        <w:spacing w:line="560" w:lineRule="exact"/>
        <w:jc w:val="center"/>
        <w:rPr>
          <w:rFonts w:hint="default"/>
          <w:b/>
          <w:sz w:val="36"/>
        </w:rPr>
      </w:pPr>
      <w:r>
        <w:rPr>
          <w:b/>
          <w:sz w:val="36"/>
        </w:rPr>
        <w:t>第二部分 浑南区消防救援大队部门2022年决算情况说明</w:t>
      </w:r>
    </w:p>
    <w:p>
      <w:pPr>
        <w:pStyle w:val="9"/>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（一）收入总计836.68万元</w:t>
      </w:r>
    </w:p>
    <w:p>
      <w:pPr>
        <w:pStyle w:val="9"/>
        <w:spacing w:line="560" w:lineRule="exact"/>
        <w:ind w:firstLine="660"/>
        <w:rPr>
          <w:rFonts w:hint="default" w:ascii="仿宋_GB2312" w:eastAsia="仿宋_GB2312"/>
          <w:sz w:val="32"/>
        </w:rPr>
      </w:pPr>
      <w:r>
        <w:rPr>
          <w:rFonts w:ascii="仿宋_GB2312" w:eastAsia="仿宋_GB2312"/>
          <w:sz w:val="32"/>
        </w:rPr>
        <w:t>1.财政拨款收入836.68万元，占收入总计的100%。其中：一般公共预算财政拨款收入836.68万元，政府性基金收入0万元，国有资本经营预算财政拨款收入0万元。</w:t>
      </w:r>
    </w:p>
    <w:p>
      <w:pPr>
        <w:pStyle w:val="9"/>
        <w:spacing w:line="560" w:lineRule="exact"/>
        <w:ind w:firstLine="660"/>
        <w:rPr>
          <w:rFonts w:hint="default" w:ascii="仿宋_GB2312" w:eastAsia="仿宋_GB2312"/>
          <w:sz w:val="32"/>
        </w:rPr>
      </w:pPr>
      <w:r>
        <w:rPr>
          <w:rFonts w:ascii="仿宋_GB2312" w:eastAsia="仿宋_GB2312"/>
          <w:sz w:val="32"/>
        </w:rPr>
        <w:t>上年结转和结余0万元，占收入总计的0%。</w:t>
      </w:r>
    </w:p>
    <w:p>
      <w:pPr>
        <w:pStyle w:val="9"/>
        <w:numPr>
          <w:ilvl w:val="0"/>
          <w:numId w:val="2"/>
        </w:numPr>
        <w:spacing w:line="560" w:lineRule="exact"/>
        <w:ind w:firstLine="660"/>
        <w:rPr>
          <w:rFonts w:hint="default" w:ascii="楷体_GB2312" w:eastAsia="楷体_GB2312"/>
          <w:b/>
          <w:sz w:val="32"/>
        </w:rPr>
      </w:pPr>
      <w:r>
        <w:rPr>
          <w:rFonts w:ascii="楷体_GB2312" w:eastAsia="楷体_GB2312"/>
          <w:b/>
          <w:sz w:val="32"/>
        </w:rPr>
        <w:t>支出总计836.68万元</w:t>
      </w:r>
    </w:p>
    <w:p>
      <w:pPr>
        <w:pStyle w:val="9"/>
        <w:spacing w:line="560" w:lineRule="exact"/>
        <w:ind w:firstLine="660"/>
        <w:rPr>
          <w:rFonts w:hint="default" w:ascii="仿宋_GB2312" w:eastAsia="仿宋_GB2312"/>
          <w:color w:val="FF0000"/>
          <w:sz w:val="32"/>
        </w:rPr>
      </w:pPr>
      <w:r>
        <w:rPr>
          <w:rFonts w:ascii="仿宋_GB2312" w:eastAsia="仿宋_GB2312"/>
          <w:color w:val="auto"/>
          <w:sz w:val="32"/>
        </w:rPr>
        <w:t>1.</w:t>
      </w:r>
      <w:r>
        <w:rPr>
          <w:rFonts w:hint="eastAsia" w:ascii="仿宋_GB2312" w:eastAsia="仿宋_GB2312"/>
          <w:color w:val="auto"/>
          <w:sz w:val="32"/>
          <w:lang w:eastAsia="zh-CN"/>
        </w:rPr>
        <w:t>本部门未发生基本支出</w:t>
      </w:r>
      <w:r>
        <w:rPr>
          <w:rFonts w:ascii="仿宋_GB2312" w:eastAsia="仿宋_GB2312"/>
          <w:color w:val="auto"/>
          <w:sz w:val="32"/>
        </w:rPr>
        <w:t>。</w:t>
      </w:r>
    </w:p>
    <w:p>
      <w:pPr>
        <w:pStyle w:val="9"/>
        <w:numPr>
          <w:ilvl w:val="0"/>
          <w:numId w:val="0"/>
        </w:numPr>
        <w:spacing w:line="560" w:lineRule="exact"/>
        <w:ind w:firstLine="640" w:firstLineChars="200"/>
        <w:rPr>
          <w:rFonts w:hint="eastAsia" w:ascii="楷体_GB2312" w:eastAsia="仿宋_GB2312"/>
          <w:b/>
          <w:color w:val="FF0000"/>
          <w:sz w:val="32"/>
          <w:lang w:eastAsia="zh-CN"/>
        </w:rPr>
      </w:pPr>
      <w:r>
        <w:rPr>
          <w:rFonts w:ascii="仿宋_GB2312" w:eastAsia="仿宋_GB2312"/>
          <w:color w:val="auto"/>
          <w:sz w:val="32"/>
        </w:rPr>
        <w:t>2.项目支出</w:t>
      </w:r>
      <w:r>
        <w:rPr>
          <w:rFonts w:hint="eastAsia" w:ascii="仿宋_GB2312" w:eastAsia="仿宋_GB2312"/>
          <w:color w:val="auto"/>
          <w:sz w:val="32"/>
          <w:lang w:val="en-US" w:eastAsia="zh-CN"/>
        </w:rPr>
        <w:t>836.68</w:t>
      </w:r>
      <w:r>
        <w:rPr>
          <w:rFonts w:ascii="仿宋_GB2312" w:eastAsia="仿宋_GB2312"/>
          <w:color w:val="auto"/>
          <w:sz w:val="32"/>
        </w:rPr>
        <w:t>万元，占支出总计的</w:t>
      </w:r>
      <w:r>
        <w:rPr>
          <w:rFonts w:hint="eastAsia" w:ascii="仿宋_GB2312" w:eastAsia="仿宋_GB2312"/>
          <w:color w:val="auto"/>
          <w:sz w:val="32"/>
          <w:lang w:val="en-US" w:eastAsia="zh-CN"/>
        </w:rPr>
        <w:t>100</w:t>
      </w:r>
      <w:r>
        <w:rPr>
          <w:rFonts w:ascii="仿宋_GB2312" w:eastAsia="仿宋_GB2312"/>
          <w:color w:val="auto"/>
          <w:sz w:val="32"/>
        </w:rPr>
        <w:t>%。主要包括</w:t>
      </w:r>
      <w:r>
        <w:rPr>
          <w:rFonts w:hint="eastAsia" w:ascii="仿宋_GB2312" w:eastAsia="仿宋_GB2312"/>
          <w:color w:val="auto"/>
          <w:sz w:val="32"/>
        </w:rPr>
        <w:t>灾害防治及应急管理支出</w:t>
      </w:r>
      <w:r>
        <w:rPr>
          <w:rFonts w:ascii="仿宋_GB2312" w:eastAsia="仿宋_GB2312"/>
          <w:color w:val="auto"/>
          <w:sz w:val="32"/>
        </w:rPr>
        <w:t>等业务支出</w:t>
      </w:r>
      <w:r>
        <w:rPr>
          <w:rFonts w:hint="eastAsia" w:ascii="仿宋_GB2312" w:eastAsia="仿宋_GB2312"/>
          <w:color w:val="auto"/>
          <w:sz w:val="32"/>
          <w:lang w:eastAsia="zh-CN"/>
        </w:rPr>
        <w:t>。</w:t>
      </w:r>
    </w:p>
    <w:p>
      <w:pPr>
        <w:pStyle w:val="9"/>
        <w:spacing w:line="560" w:lineRule="exact"/>
        <w:ind w:firstLine="660"/>
        <w:rPr>
          <w:rFonts w:hint="eastAsia" w:ascii="楷体_GB2312" w:eastAsia="楷体_GB2312"/>
          <w:b/>
          <w:sz w:val="32"/>
          <w:lang w:eastAsia="zh-CN"/>
        </w:rPr>
      </w:pPr>
      <w:r>
        <w:rPr>
          <w:rFonts w:ascii="楷体_GB2312" w:eastAsia="楷体_GB2312"/>
          <w:b/>
          <w:sz w:val="32"/>
        </w:rPr>
        <w:t>（三）年末结转和结余0万元</w:t>
      </w:r>
      <w:r>
        <w:rPr>
          <w:rFonts w:hint="eastAsia" w:ascii="楷体_GB2312" w:eastAsia="楷体_GB2312"/>
          <w:b/>
          <w:sz w:val="32"/>
          <w:lang w:eastAsia="zh-CN"/>
        </w:rPr>
        <w:t>。</w:t>
      </w:r>
    </w:p>
    <w:p>
      <w:pPr>
        <w:pStyle w:val="9"/>
        <w:spacing w:line="560" w:lineRule="exact"/>
        <w:ind w:firstLine="660"/>
        <w:rPr>
          <w:rFonts w:hint="eastAsia" w:ascii="楷体_GB2312" w:eastAsia="楷体_GB2312"/>
          <w:b w:val="0"/>
          <w:bCs/>
          <w:sz w:val="32"/>
          <w:lang w:eastAsia="zh-CN"/>
        </w:rPr>
      </w:pPr>
      <w:r>
        <w:rPr>
          <w:rFonts w:hint="eastAsia" w:ascii="楷体_GB2312" w:eastAsia="楷体_GB2312"/>
          <w:b w:val="0"/>
          <w:bCs/>
          <w:sz w:val="32"/>
          <w:lang w:eastAsia="zh-CN"/>
        </w:rPr>
        <w:t>与上年持平。</w:t>
      </w:r>
    </w:p>
    <w:p>
      <w:pPr>
        <w:pStyle w:val="9"/>
        <w:spacing w:line="560" w:lineRule="exact"/>
        <w:ind w:firstLine="660"/>
        <w:rPr>
          <w:rFonts w:hint="default" w:ascii="黑体" w:eastAsia="黑体"/>
          <w:sz w:val="32"/>
        </w:rPr>
      </w:pPr>
      <w:r>
        <w:rPr>
          <w:rFonts w:ascii="黑体" w:eastAsia="黑体"/>
          <w:sz w:val="32"/>
        </w:rPr>
        <w:t>二、财政拨款收入支出决算情况说明</w:t>
      </w:r>
    </w:p>
    <w:p>
      <w:pPr>
        <w:pStyle w:val="9"/>
        <w:spacing w:line="560" w:lineRule="exact"/>
        <w:ind w:firstLine="660"/>
        <w:rPr>
          <w:rFonts w:hint="default" w:ascii="楷体_GB2312" w:eastAsia="楷体_GB2312"/>
          <w:b/>
          <w:sz w:val="32"/>
        </w:rPr>
      </w:pPr>
      <w:r>
        <w:rPr>
          <w:rFonts w:ascii="楷体_GB2312" w:eastAsia="楷体_GB2312"/>
          <w:b/>
          <w:sz w:val="32"/>
        </w:rPr>
        <w:t>（一）总体情况</w:t>
      </w:r>
    </w:p>
    <w:p>
      <w:pPr>
        <w:pStyle w:val="9"/>
        <w:spacing w:line="560" w:lineRule="exact"/>
        <w:ind w:firstLine="660"/>
        <w:rPr>
          <w:rFonts w:hint="default" w:ascii="仿宋_GB2312" w:eastAsia="仿宋_GB2312"/>
          <w:sz w:val="32"/>
        </w:rPr>
      </w:pPr>
      <w:r>
        <w:rPr>
          <w:rFonts w:ascii="仿宋_GB2312" w:eastAsia="仿宋_GB2312"/>
          <w:sz w:val="32"/>
        </w:rPr>
        <w:t>2022年度财政拨款支出836.68万元，项目支出836.68万元。2022年度财政拨款支出完成年初预算的100%，其中：项目支出完成年初预算的100%。</w:t>
      </w:r>
    </w:p>
    <w:p>
      <w:pPr>
        <w:spacing w:line="560" w:lineRule="exact"/>
        <w:ind w:left="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left="660"/>
        <w:rPr>
          <w:rFonts w:hint="default" w:ascii="仿宋_GB2312" w:hAnsi="宋体" w:eastAsia="仿宋_GB2312"/>
          <w:sz w:val="32"/>
          <w:szCs w:val="32"/>
        </w:rPr>
      </w:pPr>
      <w:r>
        <w:rPr>
          <w:rFonts w:ascii="仿宋_GB2312" w:hAnsi="宋体" w:eastAsia="仿宋_GB2312"/>
          <w:sz w:val="32"/>
          <w:szCs w:val="32"/>
        </w:rPr>
        <w:t>2022年度一般公共预算财政拨款支出836.68万元，按支出功能分类科目分，包括：灾害防治及应急管理支出836.68万元，占100%</w:t>
      </w:r>
      <w:r>
        <w:rPr>
          <w:rFonts w:ascii="仿宋_GB2312" w:eastAsia="仿宋_GB2312"/>
          <w:sz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1.灾害防治及应急管理支出836.68万元，具体包括：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（1）灾害防治及应急管理支出（类）</w:t>
      </w:r>
      <w:r>
        <w:rPr>
          <w:rFonts w:hint="eastAsia" w:ascii="仿宋_GB2312" w:hAnsi="宋体" w:eastAsia="仿宋_GB2312"/>
          <w:sz w:val="32"/>
          <w:szCs w:val="32"/>
        </w:rPr>
        <w:t>消防救援事务</w:t>
      </w:r>
      <w:r>
        <w:rPr>
          <w:rFonts w:ascii="仿宋_GB2312" w:hAnsi="宋体" w:eastAsia="仿宋_GB2312"/>
          <w:sz w:val="32"/>
          <w:szCs w:val="32"/>
        </w:rPr>
        <w:t>（款）</w:t>
      </w:r>
      <w:r>
        <w:rPr>
          <w:rFonts w:hint="eastAsia" w:ascii="仿宋_GB2312" w:hAnsi="宋体" w:eastAsia="仿宋_GB2312"/>
          <w:sz w:val="32"/>
          <w:szCs w:val="32"/>
        </w:rPr>
        <w:t>一般行政管理事务</w:t>
      </w:r>
      <w:r>
        <w:rPr>
          <w:rFonts w:ascii="仿宋_GB2312" w:hAnsi="宋体" w:eastAsia="仿宋_GB2312"/>
          <w:sz w:val="32"/>
          <w:szCs w:val="32"/>
        </w:rPr>
        <w:t>（项）</w:t>
      </w:r>
      <w:r>
        <w:rPr>
          <w:rFonts w:hint="eastAsia" w:ascii="仿宋_GB2312" w:hAnsi="宋体" w:eastAsia="仿宋_GB2312"/>
          <w:sz w:val="32"/>
          <w:szCs w:val="32"/>
          <w:lang w:val="en-US" w:eastAsia="zh-CN"/>
        </w:rPr>
        <w:t>244.74</w:t>
      </w:r>
      <w:r>
        <w:rPr>
          <w:rFonts w:ascii="仿宋_GB2312" w:hAnsi="宋体" w:eastAsia="仿宋_GB2312"/>
          <w:sz w:val="32"/>
          <w:szCs w:val="32"/>
        </w:rPr>
        <w:t>万元，主要是</w:t>
      </w:r>
      <w:r>
        <w:rPr>
          <w:rFonts w:hint="eastAsia" w:ascii="仿宋_GB2312" w:hAnsi="宋体" w:eastAsia="仿宋_GB2312"/>
          <w:sz w:val="32"/>
          <w:szCs w:val="32"/>
        </w:rPr>
        <w:t>消防救援事务</w:t>
      </w:r>
      <w:r>
        <w:rPr>
          <w:rFonts w:ascii="仿宋_GB2312" w:hAnsi="宋体" w:eastAsia="仿宋_GB2312"/>
          <w:sz w:val="32"/>
          <w:szCs w:val="32"/>
        </w:rPr>
        <w:t>等支出，</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（2）灾害防治及应急管理支出（类）</w:t>
      </w:r>
      <w:r>
        <w:rPr>
          <w:rFonts w:hint="eastAsia" w:ascii="仿宋_GB2312" w:hAnsi="宋体" w:eastAsia="仿宋_GB2312"/>
          <w:sz w:val="32"/>
          <w:szCs w:val="32"/>
        </w:rPr>
        <w:t>消防救援事务</w:t>
      </w:r>
      <w:r>
        <w:rPr>
          <w:rFonts w:ascii="仿宋_GB2312" w:hAnsi="宋体" w:eastAsia="仿宋_GB2312"/>
          <w:sz w:val="32"/>
          <w:szCs w:val="32"/>
        </w:rPr>
        <w:t>（款）消防应急救援（项）591.94万元，主要是</w:t>
      </w:r>
      <w:r>
        <w:rPr>
          <w:rFonts w:hint="eastAsia" w:ascii="仿宋_GB2312" w:hAnsi="宋体" w:eastAsia="仿宋_GB2312"/>
          <w:sz w:val="32"/>
          <w:szCs w:val="32"/>
        </w:rPr>
        <w:t>消防救援事务</w:t>
      </w:r>
      <w:r>
        <w:rPr>
          <w:rFonts w:ascii="仿宋_GB2312" w:hAnsi="宋体" w:eastAsia="仿宋_GB2312"/>
          <w:sz w:val="32"/>
          <w:szCs w:val="32"/>
        </w:rPr>
        <w:t>等支出，</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（三）政府性基金预算财政拨款支出情况。</w:t>
      </w:r>
    </w:p>
    <w:p>
      <w:pPr>
        <w:spacing w:line="560" w:lineRule="exact"/>
        <w:ind w:firstLine="660"/>
        <w:rPr>
          <w:rFonts w:hint="default" w:ascii="楷体_GB2312" w:hAnsi="宋体" w:eastAsia="楷体_GB2312"/>
          <w:b w:val="0"/>
          <w:bCs/>
          <w:sz w:val="32"/>
          <w:szCs w:val="32"/>
        </w:rPr>
      </w:pPr>
      <w:r>
        <w:rPr>
          <w:rFonts w:ascii="楷体_GB2312" w:hAnsi="宋体" w:eastAsia="楷体_GB2312"/>
          <w:b w:val="0"/>
          <w:bCs/>
          <w:sz w:val="32"/>
          <w:szCs w:val="32"/>
        </w:rPr>
        <w:t>本年未发生此项资金。</w:t>
      </w:r>
    </w:p>
    <w:p>
      <w:pPr>
        <w:numPr>
          <w:ilvl w:val="0"/>
          <w:numId w:val="0"/>
        </w:numPr>
        <w:spacing w:line="560" w:lineRule="exact"/>
        <w:ind w:left="660" w:leftChars="0"/>
        <w:rPr>
          <w:rFonts w:ascii="楷体_GB2312" w:hAnsi="宋体" w:eastAsia="楷体_GB2312"/>
          <w:b/>
          <w:sz w:val="32"/>
          <w:szCs w:val="32"/>
        </w:rPr>
      </w:pPr>
      <w:r>
        <w:rPr>
          <w:rFonts w:hint="eastAsia" w:ascii="楷体_GB2312" w:hAnsi="宋体" w:eastAsia="楷体_GB2312"/>
          <w:b/>
          <w:sz w:val="32"/>
          <w:szCs w:val="32"/>
          <w:lang w:eastAsia="zh-CN"/>
        </w:rPr>
        <w:t>（四）</w:t>
      </w:r>
      <w:r>
        <w:rPr>
          <w:rFonts w:ascii="楷体_GB2312" w:hAnsi="宋体" w:eastAsia="楷体_GB2312"/>
          <w:b/>
          <w:sz w:val="32"/>
          <w:szCs w:val="32"/>
        </w:rPr>
        <w:t>国有资本经营预算财政拨款支出情况。</w:t>
      </w:r>
    </w:p>
    <w:p>
      <w:pPr>
        <w:numPr>
          <w:ilvl w:val="0"/>
          <w:numId w:val="0"/>
        </w:numPr>
        <w:spacing w:line="560" w:lineRule="exact"/>
        <w:ind w:left="660" w:leftChars="0" w:firstLine="320" w:firstLineChars="100"/>
        <w:rPr>
          <w:rFonts w:hint="default" w:ascii="楷体_GB2312" w:hAnsi="宋体" w:eastAsia="楷体_GB2312"/>
          <w:b w:val="0"/>
          <w:bCs/>
          <w:sz w:val="32"/>
          <w:szCs w:val="32"/>
        </w:rPr>
      </w:pPr>
      <w:r>
        <w:rPr>
          <w:rFonts w:ascii="楷体_GB2312" w:hAnsi="宋体" w:eastAsia="楷体_GB2312"/>
          <w:b w:val="0"/>
          <w:bCs/>
          <w:sz w:val="32"/>
          <w:szCs w:val="32"/>
        </w:rPr>
        <w:t>本年未发生此项资金。</w:t>
      </w:r>
    </w:p>
    <w:p>
      <w:pPr>
        <w:pStyle w:val="9"/>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9"/>
        <w:autoSpaceDN w:val="0"/>
        <w:spacing w:line="560" w:lineRule="exact"/>
        <w:ind w:firstLine="645"/>
        <w:rPr>
          <w:rFonts w:hint="default" w:ascii="仿宋_GB2312" w:eastAsia="仿宋_GB2312"/>
          <w:sz w:val="32"/>
        </w:rPr>
      </w:pPr>
      <w:r>
        <w:rPr>
          <w:rFonts w:ascii="仿宋_GB2312" w:eastAsia="仿宋_GB2312"/>
          <w:sz w:val="32"/>
        </w:rPr>
        <w:t>2022年度一般公共预算财政拨款安排的“三公”经费支出188.33万元，完成年初预算的95.6%，其中：公务用车购置及运行维护费188.33万元。</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1.因公出国（境）费0万元，占“三公”经费支出的0%。2022年参加出国（境）团组0个，累计0人次。2022年因公出国（境）费与年初预算数比持平，为0万元，主要是无此业务的原因。</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2.公务接待费0万元，占“三公”经费支出的0%。2022年国内公务接待累计0批次、0人、0万元；其中外事接待累计0批次、0人、0万元。2022年公务接待费与年初预算数比持平，为0万元，主要是无此业务的原因。</w:t>
      </w:r>
    </w:p>
    <w:p>
      <w:pPr>
        <w:pStyle w:val="9"/>
        <w:spacing w:line="560" w:lineRule="exact"/>
        <w:ind w:firstLine="640" w:firstLineChars="200"/>
        <w:rPr>
          <w:rFonts w:hint="default" w:ascii="Times New Roman" w:hAnsi="Times New Roman" w:eastAsia="仿宋_GB2312"/>
          <w:kern w:val="0"/>
          <w:szCs w:val="21"/>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公务用车购置及运行费188.33万元，占“三公”经费支出的100%。完成年初预算的95.6%。</w:t>
      </w:r>
    </w:p>
    <w:p>
      <w:pPr>
        <w:pStyle w:val="9"/>
        <w:autoSpaceDN w:val="0"/>
        <w:spacing w:line="560" w:lineRule="exact"/>
        <w:ind w:firstLine="645"/>
        <w:rPr>
          <w:rFonts w:hint="default" w:ascii="仿宋_GB2312" w:eastAsia="仿宋_GB2312"/>
          <w:sz w:val="32"/>
        </w:rPr>
      </w:pPr>
      <w:r>
        <w:rPr>
          <w:rFonts w:ascii="仿宋_GB2312" w:eastAsia="仿宋_GB2312"/>
          <w:sz w:val="32"/>
        </w:rPr>
        <w:t>其中：</w:t>
      </w:r>
    </w:p>
    <w:p>
      <w:pPr>
        <w:pStyle w:val="9"/>
        <w:autoSpaceDN w:val="0"/>
        <w:spacing w:line="560" w:lineRule="exact"/>
        <w:ind w:firstLine="640"/>
        <w:rPr>
          <w:rFonts w:hint="default" w:ascii="仿宋_GB2312" w:eastAsia="仿宋_GB2312"/>
          <w:sz w:val="32"/>
        </w:rPr>
      </w:pPr>
      <w:r>
        <w:rPr>
          <w:rFonts w:ascii="仿宋_GB2312" w:eastAsia="仿宋_GB2312"/>
          <w:sz w:val="32"/>
        </w:rPr>
        <w:t>公务用车运行维护费188.33万元，主要用于消防车辆维修、加油等</w:t>
      </w:r>
      <w:r>
        <w:rPr>
          <w:rFonts w:hint="default" w:ascii="仿宋_GB2312" w:eastAsia="仿宋_GB2312"/>
          <w:sz w:val="32"/>
        </w:rPr>
        <w:t>,</w:t>
      </w:r>
      <w:r>
        <w:rPr>
          <w:rFonts w:ascii="仿宋_GB2312" w:eastAsia="仿宋_GB2312"/>
          <w:sz w:val="32"/>
        </w:rPr>
        <w:t>截至年末使用一般公共预算财政拨款开支的公务用车保有量53辆。完成年初预算的100%。</w:t>
      </w:r>
    </w:p>
    <w:p>
      <w:pPr>
        <w:pStyle w:val="9"/>
        <w:spacing w:line="560" w:lineRule="exact"/>
        <w:ind w:firstLine="645"/>
        <w:rPr>
          <w:rFonts w:hint="default" w:ascii="黑体" w:eastAsia="黑体"/>
          <w:sz w:val="32"/>
        </w:rPr>
      </w:pPr>
      <w:r>
        <w:rPr>
          <w:rFonts w:ascii="黑体" w:eastAsia="黑体"/>
          <w:sz w:val="32"/>
        </w:rPr>
        <w:t>四、一般公共预算财政拨款基本支出决算情况说明</w:t>
      </w:r>
    </w:p>
    <w:p>
      <w:pPr>
        <w:spacing w:line="540" w:lineRule="exact"/>
        <w:ind w:firstLine="645"/>
        <w:rPr>
          <w:rFonts w:hint="default" w:ascii="仿宋_GB2312" w:eastAsia="仿宋_GB2312"/>
          <w:sz w:val="32"/>
        </w:rPr>
      </w:pPr>
      <w:r>
        <w:rPr>
          <w:rFonts w:ascii="仿宋_GB2312" w:eastAsia="仿宋_GB2312"/>
          <w:sz w:val="32"/>
        </w:rPr>
        <w:t>2022年度一般公共预算财政拨款基本支出836.68万元。</w:t>
      </w:r>
      <w:r>
        <w:rPr>
          <w:rFonts w:ascii="仿宋_GB2312" w:hAnsi="宋体" w:eastAsia="仿宋_GB2312"/>
          <w:sz w:val="32"/>
          <w:szCs w:val="32"/>
        </w:rPr>
        <w:t>万元，其中：人员经费0万元，主要包括基本工资、津贴补贴、奖金、其他社会保障缴费、机关事业单位基本养老保险缴费、其他工资福利支出、离休费、退休费、抚恤金、生活补助、奖励金、住房公积金、采暖补贴、其他对个人和家庭补助的支出；日常公用经费836.68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9"/>
        <w:spacing w:line="560" w:lineRule="exact"/>
        <w:ind w:firstLine="640"/>
        <w:rPr>
          <w:rFonts w:hint="default" w:ascii="黑体" w:eastAsia="黑体"/>
          <w:sz w:val="32"/>
        </w:rPr>
      </w:pPr>
      <w:r>
        <w:rPr>
          <w:rFonts w:ascii="黑体" w:eastAsia="黑体"/>
          <w:sz w:val="32"/>
        </w:rPr>
        <w:t>五、其他重要事项的情况说明</w:t>
      </w:r>
    </w:p>
    <w:p>
      <w:pPr>
        <w:pStyle w:val="9"/>
        <w:spacing w:line="560" w:lineRule="exact"/>
        <w:ind w:firstLine="640"/>
        <w:rPr>
          <w:rFonts w:ascii="楷体_GB2312" w:eastAsia="楷体_GB2312"/>
          <w:b/>
          <w:sz w:val="32"/>
        </w:rPr>
      </w:pPr>
      <w:r>
        <w:rPr>
          <w:rFonts w:ascii="楷体_GB2312" w:eastAsia="楷体_GB2312"/>
          <w:b/>
          <w:sz w:val="32"/>
        </w:rPr>
        <w:t>（一）机关运行经费支出情况。</w:t>
      </w:r>
    </w:p>
    <w:p>
      <w:pPr>
        <w:pStyle w:val="9"/>
        <w:spacing w:line="560" w:lineRule="exact"/>
        <w:ind w:firstLine="640"/>
        <w:rPr>
          <w:rFonts w:hint="eastAsia" w:ascii="楷体_GB2312" w:eastAsia="楷体_GB2312"/>
          <w:b w:val="0"/>
          <w:bCs/>
          <w:sz w:val="32"/>
          <w:lang w:eastAsia="zh-CN"/>
        </w:rPr>
      </w:pPr>
      <w:r>
        <w:rPr>
          <w:rFonts w:ascii="楷体_GB2312" w:eastAsia="楷体_GB2312"/>
          <w:b w:val="0"/>
          <w:bCs/>
          <w:sz w:val="32"/>
        </w:rPr>
        <w:t>2022年机关运行经费支出0万元，与上年持平</w:t>
      </w:r>
      <w:r>
        <w:rPr>
          <w:rFonts w:hint="eastAsia" w:ascii="楷体_GB2312" w:eastAsia="楷体_GB2312"/>
          <w:b w:val="0"/>
          <w:bCs/>
          <w:sz w:val="32"/>
          <w:lang w:eastAsia="zh-CN"/>
        </w:rPr>
        <w:t>。</w:t>
      </w:r>
    </w:p>
    <w:p>
      <w:pPr>
        <w:pStyle w:val="9"/>
        <w:spacing w:line="560" w:lineRule="exact"/>
        <w:ind w:firstLine="640"/>
        <w:rPr>
          <w:rFonts w:hint="eastAsia" w:ascii="楷体_GB2312" w:eastAsia="楷体_GB2312"/>
          <w:b w:val="0"/>
          <w:bCs/>
          <w:sz w:val="32"/>
          <w:lang w:eastAsia="zh-CN"/>
        </w:rPr>
      </w:pPr>
    </w:p>
    <w:p>
      <w:pPr>
        <w:pStyle w:val="9"/>
        <w:spacing w:line="560" w:lineRule="exact"/>
        <w:ind w:firstLine="640"/>
        <w:rPr>
          <w:rFonts w:hint="eastAsia" w:ascii="楷体_GB2312" w:eastAsia="楷体_GB2312"/>
          <w:b w:val="0"/>
          <w:bCs/>
          <w:sz w:val="32"/>
          <w:lang w:eastAsia="zh-CN"/>
        </w:rPr>
      </w:pPr>
    </w:p>
    <w:p>
      <w:pPr>
        <w:pStyle w:val="9"/>
        <w:spacing w:line="560" w:lineRule="exact"/>
        <w:ind w:firstLine="640"/>
        <w:rPr>
          <w:rFonts w:ascii="楷体_GB2312" w:eastAsia="楷体_GB2312"/>
          <w:b/>
          <w:sz w:val="32"/>
        </w:rPr>
      </w:pPr>
      <w:r>
        <w:rPr>
          <w:rFonts w:hint="eastAsia" w:ascii="楷体_GB2312" w:eastAsia="楷体_GB2312"/>
          <w:b/>
          <w:sz w:val="32"/>
          <w:lang w:eastAsia="zh-CN"/>
        </w:rPr>
        <w:t>（二）</w:t>
      </w:r>
      <w:r>
        <w:rPr>
          <w:rFonts w:ascii="楷体_GB2312" w:eastAsia="楷体_GB2312"/>
          <w:b/>
          <w:sz w:val="32"/>
        </w:rPr>
        <w:t>政府采购支出情况。</w:t>
      </w:r>
    </w:p>
    <w:p>
      <w:pPr>
        <w:pStyle w:val="9"/>
        <w:spacing w:line="560" w:lineRule="exact"/>
        <w:ind w:firstLine="640"/>
        <w:rPr>
          <w:rFonts w:hint="default" w:ascii="仿宋_GB2312" w:eastAsia="仿宋_GB2312"/>
          <w:b w:val="0"/>
          <w:bCs/>
          <w:sz w:val="32"/>
        </w:rPr>
      </w:pPr>
      <w:r>
        <w:rPr>
          <w:rFonts w:ascii="楷体_GB2312" w:eastAsia="楷体_GB2312"/>
          <w:b w:val="0"/>
          <w:bCs/>
          <w:sz w:val="32"/>
        </w:rPr>
        <w:t>2022年政府采购支出总额0万元，其中：政府采购货物支出0万元，政府采购工程支出0万元，政府采购服务支出0万元。授予中小企业合同金额0万元，占政府采购支出总额的0%，其中：授予小微企业合同金额0万元，占政府采购支出总额的0%；货物采购授予中小企业合同金额占货物支出金额的0%；工程采购授予中小企业合同金额占工程支出金额的0%；服务采购授予中小企业合同金额占服务支出金额的0%。</w:t>
      </w:r>
    </w:p>
    <w:p>
      <w:pPr>
        <w:pStyle w:val="9"/>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9"/>
        <w:spacing w:line="560" w:lineRule="exact"/>
        <w:ind w:firstLine="640"/>
        <w:rPr>
          <w:rFonts w:hint="default" w:ascii="仿宋_GB2312" w:eastAsia="仿宋_GB2312"/>
          <w:sz w:val="32"/>
        </w:rPr>
      </w:pPr>
      <w:r>
        <w:rPr>
          <w:rFonts w:ascii="仿宋_GB2312" w:eastAsia="仿宋_GB2312"/>
          <w:sz w:val="32"/>
        </w:rPr>
        <w:t>截至2022年12月31日，共有车辆53辆，其中：副省级以上领导干部用车0辆，主要领导干部用车0辆，机要通讯用车0辆，应急保障用车0辆，执法执勤用车53辆，特种专业技术用车0辆，离退休干部用车0辆，其他用车0辆，其他用车主要是无；单位价值50万元以上通用设备0台（套），单价100万元以上专用设备0台（套）。</w:t>
      </w:r>
    </w:p>
    <w:p>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pPr>
        <w:widowControl/>
        <w:spacing w:line="520" w:lineRule="exact"/>
        <w:ind w:firstLine="643" w:firstLineChars="200"/>
        <w:jc w:val="left"/>
        <w:rPr>
          <w:rFonts w:hint="default" w:ascii="仿宋_GB2312" w:hAnsi="仿宋_GB2312" w:eastAsia="仿宋_GB2312" w:cs="仿宋_GB2312"/>
        </w:rPr>
      </w:pPr>
      <w:r>
        <w:rPr>
          <w:rFonts w:ascii="仿宋_GB2312" w:hAnsi="仿宋_GB2312" w:eastAsia="仿宋_GB2312" w:cs="仿宋_GB2312"/>
          <w:b/>
          <w:sz w:val="32"/>
          <w:szCs w:val="32"/>
        </w:rPr>
        <w:t>1.绩效评价工作开展情况。</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根据预算</w:t>
      </w:r>
      <w:r>
        <w:rPr>
          <w:rFonts w:hAnsi="宋体" w:eastAsia="仿宋_GB2312" w:cs="仿宋_GB2312"/>
          <w:sz w:val="32"/>
          <w:szCs w:val="32"/>
        </w:rPr>
        <w:t>绩效</w:t>
      </w:r>
      <w:r>
        <w:rPr>
          <w:rFonts w:ascii="仿宋_GB2312" w:hAnsi="宋体" w:eastAsia="仿宋_GB2312" w:cs="仿宋_GB2312"/>
          <w:sz w:val="32"/>
          <w:szCs w:val="32"/>
        </w:rPr>
        <w:t>管理要求，本部门组织对</w:t>
      </w:r>
      <w:r>
        <w:rPr>
          <w:rFonts w:ascii="仿宋_GB2312" w:hAnsi="宋体" w:eastAsia="仿宋_GB2312" w:cs="宋体"/>
          <w:sz w:val="32"/>
          <w:szCs w:val="32"/>
        </w:rPr>
        <w:t>2022</w:t>
      </w:r>
      <w:r>
        <w:rPr>
          <w:rFonts w:ascii="仿宋_GB2312" w:hAnsi="宋体" w:eastAsia="仿宋_GB2312" w:cs="仿宋_GB2312"/>
          <w:sz w:val="32"/>
          <w:szCs w:val="32"/>
        </w:rPr>
        <w:t>年度预算项目支出全面开展绩效自评，共涉及预算支出项目21个（其中：一般公共预算项目21个），涉及资金836.68万元（其中：一般公共预算资金836.68万元，），自评覆盖率（开展绩效自评的项目数</w:t>
      </w:r>
      <w:r>
        <w:rPr>
          <w:rFonts w:ascii="仿宋_GB2312" w:hAnsi="宋体" w:eastAsia="仿宋_GB2312" w:cs="宋体"/>
          <w:sz w:val="32"/>
          <w:szCs w:val="32"/>
        </w:rPr>
        <w:t>/年初批复绩效目标的项目数*100%）达到38.1%</w:t>
      </w:r>
      <w:r>
        <w:rPr>
          <w:rFonts w:ascii="仿宋_GB2312" w:hAnsi="宋体" w:eastAsia="仿宋_GB2312" w:cs="仿宋_GB2312"/>
          <w:sz w:val="32"/>
          <w:szCs w:val="32"/>
        </w:rPr>
        <w:t>。</w:t>
      </w:r>
    </w:p>
    <w:p>
      <w:pPr>
        <w:widowControl/>
        <w:spacing w:line="520" w:lineRule="exact"/>
        <w:ind w:firstLine="640" w:firstLineChars="200"/>
        <w:jc w:val="left"/>
        <w:rPr>
          <w:rFonts w:hint="default"/>
        </w:rPr>
      </w:pPr>
      <w:r>
        <w:rPr>
          <w:rFonts w:hint="eastAsia" w:hAnsi="宋体" w:eastAsia="仿宋_GB2312" w:cs="仿宋_GB2312"/>
          <w:sz w:val="32"/>
          <w:szCs w:val="32"/>
          <w:lang w:eastAsia="zh-CN"/>
        </w:rPr>
        <w:t>对本部门组织</w:t>
      </w:r>
      <w:r>
        <w:rPr>
          <w:rFonts w:hAnsi="宋体" w:eastAsia="仿宋_GB2312" w:cs="仿宋_GB2312"/>
          <w:sz w:val="32"/>
          <w:szCs w:val="32"/>
        </w:rPr>
        <w:t>开展整体绩效自评，涉及资金836.68万元。《部门（单位）整体绩效自评表》见附件。</w:t>
      </w:r>
    </w:p>
    <w:p>
      <w:pPr>
        <w:widowControl/>
        <w:spacing w:line="520" w:lineRule="exact"/>
        <w:ind w:firstLine="640" w:firstLineChars="200"/>
        <w:jc w:val="left"/>
        <w:rPr>
          <w:rFonts w:hint="default" w:hAnsi="宋体" w:eastAsia="仿宋_GB2312" w:cs="仿宋_GB2312"/>
          <w:sz w:val="32"/>
          <w:szCs w:val="32"/>
        </w:rPr>
      </w:pPr>
      <w:r>
        <w:rPr>
          <w:rFonts w:hAnsi="宋体" w:eastAsia="仿宋_GB2312" w:cs="仿宋_GB2312"/>
          <w:sz w:val="32"/>
          <w:szCs w:val="32"/>
        </w:rPr>
        <w:t>本部门</w:t>
      </w:r>
      <w:r>
        <w:rPr>
          <w:rFonts w:ascii="仿宋" w:hAnsi="仿宋" w:eastAsia="仿宋"/>
          <w:sz w:val="32"/>
        </w:rPr>
        <w:t>组织对“</w:t>
      </w:r>
      <w:r>
        <w:rPr>
          <w:rFonts w:ascii="仿宋_GB2312" w:hAnsi="宋体" w:eastAsia="仿宋_GB2312" w:cs="仿宋_GB2312"/>
          <w:sz w:val="32"/>
          <w:szCs w:val="32"/>
        </w:rPr>
        <w:t>车辆维修与消耗</w:t>
      </w:r>
      <w:r>
        <w:rPr>
          <w:rFonts w:ascii="仿宋" w:hAnsi="仿宋" w:eastAsia="仿宋"/>
          <w:sz w:val="32"/>
        </w:rPr>
        <w:t>”“</w:t>
      </w:r>
      <w:r>
        <w:rPr>
          <w:rFonts w:ascii="仿宋_GB2312" w:hAnsi="宋体" w:eastAsia="仿宋_GB2312" w:cs="仿宋_GB2312"/>
          <w:sz w:val="32"/>
          <w:szCs w:val="32"/>
        </w:rPr>
        <w:t>执法协勤人员经费</w:t>
      </w:r>
      <w:r>
        <w:rPr>
          <w:rFonts w:ascii="仿宋" w:hAnsi="仿宋" w:eastAsia="仿宋"/>
          <w:sz w:val="32"/>
        </w:rPr>
        <w:t>”等8个项目开展了部门评价，</w:t>
      </w:r>
      <w:r>
        <w:rPr>
          <w:rFonts w:hAnsi="宋体" w:eastAsia="仿宋_GB2312" w:cs="仿宋_GB2312"/>
          <w:sz w:val="32"/>
          <w:szCs w:val="32"/>
        </w:rPr>
        <w:t>涉及资金546.64万元</w:t>
      </w:r>
      <w:r>
        <w:rPr>
          <w:rFonts w:ascii="仿宋_GB2312" w:hAnsi="宋体" w:eastAsia="仿宋_GB2312" w:cs="仿宋_GB2312"/>
          <w:sz w:val="32"/>
          <w:szCs w:val="32"/>
        </w:rPr>
        <w:t>（其中：一般公共预算资金546.64万元）</w:t>
      </w:r>
      <w:r>
        <w:rPr>
          <w:rFonts w:hAnsi="宋体" w:eastAsia="仿宋_GB2312" w:cs="仿宋_GB2312"/>
          <w:sz w:val="32"/>
          <w:szCs w:val="32"/>
        </w:rPr>
        <w:t>。从评价情况来看，</w:t>
      </w:r>
      <w:r>
        <w:rPr>
          <w:rFonts w:hint="default" w:hAnsi="宋体" w:eastAsia="仿宋_GB2312" w:cs="仿宋_GB2312"/>
          <w:sz w:val="32"/>
          <w:szCs w:val="32"/>
        </w:rPr>
        <w:t>整体绩效自评效果一般，</w:t>
      </w:r>
      <w:r>
        <w:rPr>
          <w:rFonts w:hAnsi="宋体" w:eastAsia="仿宋_GB2312" w:cs="仿宋_GB2312"/>
          <w:sz w:val="32"/>
          <w:szCs w:val="32"/>
        </w:rPr>
        <w:t>需</w:t>
      </w:r>
      <w:r>
        <w:rPr>
          <w:rFonts w:hint="default" w:hAnsi="宋体" w:eastAsia="仿宋_GB2312" w:cs="仿宋_GB2312"/>
          <w:sz w:val="32"/>
          <w:szCs w:val="32"/>
        </w:rPr>
        <w:t>加强部门预算编制，提高预算执行进度</w:t>
      </w:r>
      <w:r>
        <w:rPr>
          <w:rFonts w:hAnsi="宋体" w:eastAsia="仿宋_GB2312" w:cs="仿宋_GB2312"/>
          <w:sz w:val="32"/>
          <w:szCs w:val="32"/>
        </w:rPr>
        <w:t>。</w:t>
      </w:r>
    </w:p>
    <w:p>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2.项目绩效自评结果。</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本部门在2022年度省直部门决算中反映车辆维修及消耗费、执法协勤人员经费等8个项目绩效自评结果。</w:t>
      </w:r>
    </w:p>
    <w:p>
      <w:pPr>
        <w:widowControl/>
        <w:spacing w:line="520" w:lineRule="exact"/>
        <w:ind w:firstLine="640" w:firstLineChars="200"/>
        <w:jc w:val="left"/>
        <w:rPr>
          <w:rFonts w:ascii="仿宋_GB2312" w:hAnsi="宋体" w:eastAsia="仿宋_GB2312" w:cs="仿宋_GB2312"/>
          <w:sz w:val="32"/>
          <w:szCs w:val="32"/>
        </w:rPr>
      </w:pPr>
      <w:r>
        <w:rPr>
          <w:rFonts w:ascii="仿宋_GB2312" w:hAnsi="宋体" w:eastAsia="仿宋_GB2312" w:cs="仿宋_GB2312"/>
          <w:sz w:val="32"/>
          <w:szCs w:val="32"/>
        </w:rPr>
        <w:t>（1）“车辆维修及消耗费”项目自评综述：根据年初设定的绩效目标，项目自评得分100分。项目全年预算数为170.5万元，执行数为170.5万元，完成预算的100%。项目绩效目标完成情况：</w:t>
      </w:r>
      <w:r>
        <w:rPr>
          <w:rFonts w:ascii="黑体" w:hAnsi="宋体" w:eastAsia="黑体" w:cs="黑体"/>
          <w:sz w:val="32"/>
          <w:szCs w:val="32"/>
        </w:rPr>
        <w:t>一是</w:t>
      </w:r>
      <w:r>
        <w:rPr>
          <w:rFonts w:ascii="仿宋_GB2312" w:hAnsi="宋体" w:eastAsia="仿宋_GB2312" w:cs="仿宋_GB2312"/>
          <w:sz w:val="32"/>
          <w:szCs w:val="32"/>
        </w:rPr>
        <w:t>保障我大队共计54辆执法车辆正常运转。发现的主要问题及原因：</w:t>
      </w:r>
      <w:r>
        <w:rPr>
          <w:rFonts w:ascii="黑体" w:hAnsi="宋体" w:eastAsia="黑体" w:cs="黑体"/>
          <w:sz w:val="32"/>
          <w:szCs w:val="32"/>
        </w:rPr>
        <w:t>一是</w:t>
      </w:r>
      <w:r>
        <w:rPr>
          <w:rFonts w:ascii="仿宋_GB2312" w:hAnsi="宋体" w:eastAsia="仿宋_GB2312" w:cs="仿宋_GB2312"/>
          <w:sz w:val="32"/>
          <w:szCs w:val="32"/>
        </w:rPr>
        <w:t>该项目绩效自评效果较好。下一步改进措施：</w:t>
      </w:r>
      <w:r>
        <w:rPr>
          <w:rFonts w:ascii="黑体" w:hAnsi="宋体" w:eastAsia="黑体" w:cs="黑体"/>
          <w:sz w:val="32"/>
          <w:szCs w:val="32"/>
        </w:rPr>
        <w:t>一是</w:t>
      </w:r>
      <w:r>
        <w:rPr>
          <w:rFonts w:ascii="仿宋_GB2312" w:hAnsi="宋体" w:eastAsia="仿宋_GB2312" w:cs="仿宋_GB2312"/>
          <w:sz w:val="32"/>
          <w:szCs w:val="32"/>
        </w:rPr>
        <w:t>类似项目财政将继续安排，</w:t>
      </w:r>
      <w:r>
        <w:rPr>
          <w:rFonts w:ascii="黑体" w:hAnsi="宋体" w:eastAsia="黑体" w:cs="黑体"/>
          <w:sz w:val="32"/>
          <w:szCs w:val="32"/>
        </w:rPr>
        <w:t>二是</w:t>
      </w:r>
      <w:r>
        <w:rPr>
          <w:rFonts w:ascii="仿宋_GB2312" w:hAnsi="宋体" w:eastAsia="仿宋_GB2312" w:cs="仿宋_GB2312"/>
          <w:sz w:val="32"/>
          <w:szCs w:val="32"/>
        </w:rPr>
        <w:t>用好财政资金，发挥资金效益。</w:t>
      </w:r>
    </w:p>
    <w:p>
      <w:pPr>
        <w:widowControl/>
        <w:spacing w:line="520" w:lineRule="exact"/>
        <w:ind w:firstLine="640" w:firstLineChars="200"/>
        <w:jc w:val="left"/>
        <w:rPr>
          <w:rFonts w:ascii="仿宋_GB2312" w:hAnsi="宋体" w:eastAsia="仿宋_GB2312" w:cs="仿宋_GB2312"/>
          <w:sz w:val="32"/>
          <w:szCs w:val="32"/>
        </w:rPr>
      </w:pPr>
      <w:r>
        <w:rPr>
          <w:rFonts w:ascii="仿宋_GB2312" w:hAnsi="宋体" w:eastAsia="仿宋_GB2312" w:cs="仿宋_GB2312"/>
          <w:sz w:val="32"/>
          <w:szCs w:val="32"/>
        </w:rPr>
        <w:t>（2）“车辆保险经费”项目自评综述：根据年初设定的绩效目标，项目自评得分</w:t>
      </w:r>
      <w:r>
        <w:rPr>
          <w:rFonts w:hint="eastAsia" w:ascii="仿宋_GB2312" w:hAnsi="宋体" w:eastAsia="仿宋_GB2312" w:cs="仿宋_GB2312"/>
          <w:sz w:val="32"/>
          <w:szCs w:val="32"/>
          <w:lang w:val="en-US" w:eastAsia="zh-CN"/>
        </w:rPr>
        <w:t>96.7</w:t>
      </w:r>
      <w:r>
        <w:rPr>
          <w:rFonts w:ascii="仿宋_GB2312" w:hAnsi="宋体" w:eastAsia="仿宋_GB2312" w:cs="仿宋_GB2312"/>
          <w:sz w:val="32"/>
          <w:szCs w:val="32"/>
        </w:rPr>
        <w:t>分。项目全年预算数为26.5万元，执行数为17.83万元，完成预算的67. 28%。项目绩效目标完成情况：</w:t>
      </w:r>
      <w:r>
        <w:rPr>
          <w:rFonts w:ascii="黑体" w:hAnsi="宋体" w:eastAsia="黑体" w:cs="黑体"/>
          <w:sz w:val="32"/>
          <w:szCs w:val="32"/>
        </w:rPr>
        <w:t>一是</w:t>
      </w:r>
      <w:r>
        <w:rPr>
          <w:rFonts w:ascii="仿宋_GB2312" w:hAnsi="宋体" w:eastAsia="仿宋_GB2312" w:cs="仿宋_GB2312"/>
          <w:sz w:val="32"/>
          <w:szCs w:val="32"/>
        </w:rPr>
        <w:t>保障我大队共计54辆执法车辆正常运转。发现的主要问题及原因：</w:t>
      </w:r>
      <w:r>
        <w:rPr>
          <w:rFonts w:ascii="黑体" w:hAnsi="宋体" w:eastAsia="黑体" w:cs="黑体"/>
          <w:sz w:val="32"/>
          <w:szCs w:val="32"/>
        </w:rPr>
        <w:t>一是</w:t>
      </w:r>
      <w:r>
        <w:rPr>
          <w:rFonts w:ascii="仿宋_GB2312" w:hAnsi="宋体" w:eastAsia="仿宋_GB2312" w:cs="仿宋_GB2312"/>
          <w:sz w:val="32"/>
          <w:szCs w:val="32"/>
        </w:rPr>
        <w:t>该项目绩效自评效果一般。下一步改进措施：</w:t>
      </w:r>
      <w:r>
        <w:rPr>
          <w:rFonts w:ascii="黑体" w:hAnsi="宋体" w:eastAsia="黑体" w:cs="黑体"/>
          <w:sz w:val="32"/>
          <w:szCs w:val="32"/>
        </w:rPr>
        <w:t>一是</w:t>
      </w:r>
      <w:r>
        <w:rPr>
          <w:rFonts w:ascii="仿宋_GB2312" w:hAnsi="宋体" w:eastAsia="仿宋_GB2312" w:cs="仿宋_GB2312"/>
          <w:sz w:val="32"/>
          <w:szCs w:val="32"/>
        </w:rPr>
        <w:t>类似项目财政将继续安排，</w:t>
      </w:r>
      <w:r>
        <w:rPr>
          <w:rFonts w:ascii="黑体" w:hAnsi="宋体" w:eastAsia="黑体" w:cs="黑体"/>
          <w:sz w:val="32"/>
          <w:szCs w:val="32"/>
        </w:rPr>
        <w:t>二是</w:t>
      </w:r>
      <w:r>
        <w:rPr>
          <w:rFonts w:ascii="仿宋_GB2312" w:hAnsi="宋体" w:eastAsia="仿宋_GB2312" w:cs="仿宋_GB2312"/>
          <w:sz w:val="32"/>
          <w:szCs w:val="32"/>
        </w:rPr>
        <w:t>用好财政资金，发挥资金效益。</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（3）“办公场所水电费等运转经费”项目自评综述：根据年初设定的绩效目标，项目自评得分</w:t>
      </w:r>
      <w:r>
        <w:rPr>
          <w:rFonts w:hint="eastAsia" w:ascii="仿宋_GB2312" w:hAnsi="宋体" w:eastAsia="仿宋_GB2312" w:cs="仿宋_GB2312"/>
          <w:sz w:val="32"/>
          <w:szCs w:val="32"/>
          <w:lang w:val="en-US" w:eastAsia="zh-CN"/>
        </w:rPr>
        <w:t>97.6</w:t>
      </w:r>
      <w:r>
        <w:rPr>
          <w:rFonts w:ascii="仿宋_GB2312" w:hAnsi="宋体" w:eastAsia="仿宋_GB2312" w:cs="仿宋_GB2312"/>
          <w:sz w:val="32"/>
          <w:szCs w:val="32"/>
        </w:rPr>
        <w:t>分。项目全年预算数为89万元，执行数为76.34万元，完成预算的85.77%。项目绩效目标完成情况：</w:t>
      </w:r>
      <w:r>
        <w:rPr>
          <w:rFonts w:ascii="黑体" w:hAnsi="宋体" w:eastAsia="黑体" w:cs="黑体"/>
          <w:sz w:val="32"/>
          <w:szCs w:val="32"/>
        </w:rPr>
        <w:t>一是</w:t>
      </w:r>
      <w:r>
        <w:rPr>
          <w:rFonts w:ascii="仿宋_GB2312" w:hAnsi="宋体" w:eastAsia="仿宋_GB2312" w:cs="仿宋_GB2312"/>
          <w:sz w:val="32"/>
          <w:szCs w:val="32"/>
        </w:rPr>
        <w:t>保障我大队办公场所正常运转。发现的主要问题及原因：</w:t>
      </w:r>
      <w:r>
        <w:rPr>
          <w:rFonts w:ascii="黑体" w:hAnsi="宋体" w:eastAsia="黑体" w:cs="黑体"/>
          <w:sz w:val="32"/>
          <w:szCs w:val="32"/>
        </w:rPr>
        <w:t>一是</w:t>
      </w:r>
      <w:r>
        <w:rPr>
          <w:rFonts w:ascii="仿宋_GB2312" w:hAnsi="宋体" w:eastAsia="仿宋_GB2312" w:cs="仿宋_GB2312"/>
          <w:sz w:val="32"/>
          <w:szCs w:val="32"/>
        </w:rPr>
        <w:t>该项目绩效自评效果较好。下一步改进措施：</w:t>
      </w:r>
      <w:r>
        <w:rPr>
          <w:rFonts w:ascii="黑体" w:hAnsi="宋体" w:eastAsia="黑体" w:cs="黑体"/>
          <w:sz w:val="32"/>
          <w:szCs w:val="32"/>
        </w:rPr>
        <w:t>一是</w:t>
      </w:r>
      <w:r>
        <w:rPr>
          <w:rFonts w:ascii="仿宋_GB2312" w:hAnsi="宋体" w:eastAsia="仿宋_GB2312" w:cs="仿宋_GB2312"/>
          <w:sz w:val="32"/>
          <w:szCs w:val="32"/>
        </w:rPr>
        <w:t>望加强部门预算编制的准确性，</w:t>
      </w:r>
      <w:r>
        <w:rPr>
          <w:rFonts w:ascii="黑体" w:hAnsi="宋体" w:eastAsia="黑体" w:cs="黑体"/>
          <w:sz w:val="32"/>
          <w:szCs w:val="32"/>
        </w:rPr>
        <w:t>二是</w:t>
      </w:r>
      <w:r>
        <w:rPr>
          <w:rFonts w:ascii="仿宋_GB2312" w:hAnsi="宋体" w:eastAsia="仿宋_GB2312" w:cs="仿宋_GB2312"/>
          <w:sz w:val="32"/>
          <w:szCs w:val="32"/>
        </w:rPr>
        <w:t>同时加强资金的执行进度。</w:t>
      </w:r>
    </w:p>
    <w:p>
      <w:pPr>
        <w:widowControl/>
        <w:spacing w:line="520" w:lineRule="exact"/>
        <w:ind w:firstLine="640" w:firstLineChars="200"/>
        <w:jc w:val="left"/>
        <w:rPr>
          <w:rFonts w:ascii="仿宋_GB2312" w:hAnsi="宋体" w:eastAsia="仿宋_GB2312" w:cs="仿宋_GB2312"/>
          <w:sz w:val="32"/>
          <w:szCs w:val="32"/>
        </w:rPr>
      </w:pPr>
      <w:r>
        <w:rPr>
          <w:rFonts w:ascii="仿宋_GB2312" w:hAnsi="宋体" w:eastAsia="仿宋_GB2312" w:cs="仿宋_GB2312"/>
          <w:sz w:val="32"/>
          <w:szCs w:val="32"/>
        </w:rPr>
        <w:t>（4）“安全生产设备购置”项目自评综述：根据年初设定的绩效目标，项目自评得分99.</w:t>
      </w:r>
      <w:r>
        <w:rPr>
          <w:rFonts w:hint="eastAsia" w:ascii="仿宋_GB2312" w:hAnsi="宋体" w:eastAsia="仿宋_GB2312" w:cs="仿宋_GB2312"/>
          <w:sz w:val="32"/>
          <w:szCs w:val="32"/>
          <w:lang w:val="en-US" w:eastAsia="zh-CN"/>
        </w:rPr>
        <w:t>9</w:t>
      </w:r>
      <w:r>
        <w:rPr>
          <w:rFonts w:ascii="仿宋_GB2312" w:hAnsi="宋体" w:eastAsia="仿宋_GB2312" w:cs="仿宋_GB2312"/>
          <w:sz w:val="32"/>
          <w:szCs w:val="32"/>
        </w:rPr>
        <w:t>分。项目全年预算数为30万元，执行数为29.99万元，完成预算的99.97%。项目绩效目标完成情况：</w:t>
      </w:r>
      <w:r>
        <w:rPr>
          <w:rFonts w:ascii="黑体" w:hAnsi="宋体" w:eastAsia="黑体" w:cs="黑体"/>
          <w:sz w:val="32"/>
          <w:szCs w:val="32"/>
        </w:rPr>
        <w:t>一是</w:t>
      </w:r>
      <w:r>
        <w:rPr>
          <w:rFonts w:ascii="仿宋_GB2312" w:hAnsi="宋体" w:eastAsia="仿宋_GB2312" w:cs="仿宋_GB2312"/>
          <w:sz w:val="32"/>
          <w:szCs w:val="32"/>
        </w:rPr>
        <w:t>保障我大队车辆泡沫正常使用。发现的主要问题及原因：</w:t>
      </w:r>
      <w:r>
        <w:rPr>
          <w:rFonts w:ascii="黑体" w:hAnsi="宋体" w:eastAsia="黑体" w:cs="黑体"/>
          <w:sz w:val="32"/>
          <w:szCs w:val="32"/>
        </w:rPr>
        <w:t>一是</w:t>
      </w:r>
      <w:r>
        <w:rPr>
          <w:rFonts w:ascii="仿宋_GB2312" w:hAnsi="宋体" w:eastAsia="仿宋_GB2312" w:cs="仿宋_GB2312"/>
          <w:sz w:val="32"/>
          <w:szCs w:val="32"/>
        </w:rPr>
        <w:t>类似项目财政将继续安排，</w:t>
      </w:r>
      <w:r>
        <w:rPr>
          <w:rFonts w:ascii="黑体" w:hAnsi="宋体" w:eastAsia="黑体" w:cs="黑体"/>
          <w:sz w:val="32"/>
          <w:szCs w:val="32"/>
        </w:rPr>
        <w:t>二是</w:t>
      </w:r>
      <w:r>
        <w:rPr>
          <w:rFonts w:ascii="仿宋_GB2312" w:hAnsi="宋体" w:eastAsia="仿宋_GB2312" w:cs="仿宋_GB2312"/>
          <w:sz w:val="32"/>
          <w:szCs w:val="32"/>
        </w:rPr>
        <w:t>用好财政资金，发挥资金效益。</w:t>
      </w:r>
    </w:p>
    <w:p>
      <w:pPr>
        <w:widowControl/>
        <w:spacing w:line="520" w:lineRule="exact"/>
        <w:ind w:firstLine="640" w:firstLineChars="200"/>
        <w:jc w:val="left"/>
        <w:rPr>
          <w:rFonts w:ascii="仿宋_GB2312" w:hAnsi="宋体" w:eastAsia="仿宋_GB2312" w:cs="仿宋_GB2312"/>
          <w:sz w:val="32"/>
          <w:szCs w:val="32"/>
        </w:rPr>
      </w:pPr>
      <w:r>
        <w:rPr>
          <w:rFonts w:ascii="仿宋_GB2312" w:hAnsi="宋体" w:eastAsia="仿宋_GB2312" w:cs="仿宋_GB2312"/>
          <w:sz w:val="32"/>
          <w:szCs w:val="32"/>
        </w:rPr>
        <w:t>（5）“派遣人员经费”项目自评综述：根据年初设定的绩效目标，项目自评得分</w:t>
      </w:r>
      <w:r>
        <w:rPr>
          <w:rFonts w:hint="eastAsia" w:ascii="仿宋_GB2312" w:hAnsi="宋体" w:eastAsia="仿宋_GB2312" w:cs="仿宋_GB2312"/>
          <w:sz w:val="32"/>
          <w:szCs w:val="32"/>
          <w:lang w:val="en-US" w:eastAsia="zh-CN"/>
        </w:rPr>
        <w:t>99.5</w:t>
      </w:r>
      <w:r>
        <w:rPr>
          <w:rFonts w:ascii="仿宋_GB2312" w:hAnsi="宋体" w:eastAsia="仿宋_GB2312" w:cs="仿宋_GB2312"/>
          <w:sz w:val="32"/>
          <w:szCs w:val="32"/>
        </w:rPr>
        <w:t>分。项目全年预算数为3.44万元，执行数为3.28万元，完成预算的95.23%。项目绩效目标完成情况：</w:t>
      </w:r>
      <w:r>
        <w:rPr>
          <w:rFonts w:ascii="黑体" w:hAnsi="宋体" w:eastAsia="黑体" w:cs="黑体"/>
          <w:sz w:val="32"/>
          <w:szCs w:val="32"/>
        </w:rPr>
        <w:t>一是</w:t>
      </w:r>
      <w:r>
        <w:rPr>
          <w:rFonts w:ascii="仿宋_GB2312" w:hAnsi="宋体" w:eastAsia="仿宋_GB2312" w:cs="仿宋_GB2312"/>
          <w:sz w:val="32"/>
          <w:szCs w:val="32"/>
        </w:rPr>
        <w:t>保障我大队消防文员取暖费。发现的主要问题及原因：</w:t>
      </w:r>
      <w:r>
        <w:rPr>
          <w:rFonts w:ascii="黑体" w:hAnsi="宋体" w:eastAsia="黑体" w:cs="黑体"/>
          <w:sz w:val="32"/>
          <w:szCs w:val="32"/>
        </w:rPr>
        <w:t>一是</w:t>
      </w:r>
      <w:r>
        <w:rPr>
          <w:rFonts w:ascii="仿宋_GB2312" w:hAnsi="宋体" w:eastAsia="仿宋_GB2312" w:cs="仿宋_GB2312"/>
          <w:sz w:val="32"/>
          <w:szCs w:val="32"/>
        </w:rPr>
        <w:t>该项目绩效自评效果较好。下一步改进措施：</w:t>
      </w:r>
      <w:r>
        <w:rPr>
          <w:rFonts w:ascii="黑体" w:hAnsi="宋体" w:eastAsia="黑体" w:cs="黑体"/>
          <w:sz w:val="32"/>
          <w:szCs w:val="32"/>
        </w:rPr>
        <w:t>一是</w:t>
      </w:r>
      <w:r>
        <w:rPr>
          <w:rFonts w:ascii="仿宋_GB2312" w:hAnsi="宋体" w:eastAsia="仿宋_GB2312" w:cs="仿宋_GB2312"/>
          <w:sz w:val="32"/>
          <w:szCs w:val="32"/>
        </w:rPr>
        <w:t>类似项目财政将继续安排，</w:t>
      </w:r>
      <w:r>
        <w:rPr>
          <w:rFonts w:ascii="黑体" w:hAnsi="宋体" w:eastAsia="黑体" w:cs="黑体"/>
          <w:sz w:val="32"/>
          <w:szCs w:val="32"/>
        </w:rPr>
        <w:t>二是</w:t>
      </w:r>
      <w:r>
        <w:rPr>
          <w:rFonts w:ascii="仿宋_GB2312" w:hAnsi="宋体" w:eastAsia="仿宋_GB2312" w:cs="仿宋_GB2312"/>
          <w:sz w:val="32"/>
          <w:szCs w:val="32"/>
        </w:rPr>
        <w:t>用好财政资金，发挥资金效益。</w:t>
      </w:r>
    </w:p>
    <w:p>
      <w:pPr>
        <w:widowControl/>
        <w:spacing w:line="520" w:lineRule="exact"/>
        <w:ind w:firstLine="640" w:firstLineChars="200"/>
        <w:jc w:val="left"/>
        <w:rPr>
          <w:rFonts w:ascii="仿宋_GB2312" w:hAnsi="宋体" w:eastAsia="仿宋_GB2312" w:cs="仿宋_GB2312"/>
          <w:sz w:val="32"/>
          <w:szCs w:val="32"/>
        </w:rPr>
      </w:pPr>
      <w:r>
        <w:rPr>
          <w:rFonts w:ascii="仿宋_GB2312" w:hAnsi="宋体" w:eastAsia="仿宋_GB2312" w:cs="仿宋_GB2312"/>
          <w:sz w:val="32"/>
          <w:szCs w:val="32"/>
        </w:rPr>
        <w:t>（6）“办公用房取暖相关费用”项目自评综述：根据年初设定的绩效目标，项目自评得分99.99分。项目全年预算数为85.2万元，执行数为85.18万元，完成预算的99.98%。项目绩效目标完成情况：</w:t>
      </w:r>
      <w:r>
        <w:rPr>
          <w:rFonts w:ascii="黑体" w:hAnsi="宋体" w:eastAsia="黑体" w:cs="黑体"/>
          <w:sz w:val="32"/>
          <w:szCs w:val="32"/>
        </w:rPr>
        <w:t>一是</w:t>
      </w:r>
      <w:r>
        <w:rPr>
          <w:rFonts w:ascii="仿宋_GB2312" w:hAnsi="宋体" w:eastAsia="仿宋_GB2312" w:cs="仿宋_GB2312"/>
          <w:sz w:val="32"/>
          <w:szCs w:val="32"/>
        </w:rPr>
        <w:t>保障我大队办公取暖经费。发现的主要问题及原因：</w:t>
      </w:r>
      <w:r>
        <w:rPr>
          <w:rFonts w:ascii="黑体" w:hAnsi="宋体" w:eastAsia="黑体" w:cs="黑体"/>
          <w:sz w:val="32"/>
          <w:szCs w:val="32"/>
        </w:rPr>
        <w:t>一是</w:t>
      </w:r>
      <w:r>
        <w:rPr>
          <w:rFonts w:ascii="仿宋_GB2312" w:hAnsi="宋体" w:eastAsia="仿宋_GB2312" w:cs="仿宋_GB2312"/>
          <w:sz w:val="32"/>
          <w:szCs w:val="32"/>
        </w:rPr>
        <w:t>该项目绩效自评效果较好。下一步改进措施：</w:t>
      </w:r>
      <w:r>
        <w:rPr>
          <w:rFonts w:ascii="黑体" w:hAnsi="宋体" w:eastAsia="黑体" w:cs="黑体"/>
          <w:sz w:val="32"/>
          <w:szCs w:val="32"/>
        </w:rPr>
        <w:t>一是</w:t>
      </w:r>
      <w:r>
        <w:rPr>
          <w:rFonts w:ascii="仿宋_GB2312" w:hAnsi="宋体" w:eastAsia="仿宋_GB2312" w:cs="仿宋_GB2312"/>
          <w:sz w:val="32"/>
          <w:szCs w:val="32"/>
        </w:rPr>
        <w:t>类似项目财政将继续安排，</w:t>
      </w:r>
      <w:r>
        <w:rPr>
          <w:rFonts w:ascii="黑体" w:hAnsi="宋体" w:eastAsia="黑体" w:cs="黑体"/>
          <w:sz w:val="32"/>
          <w:szCs w:val="32"/>
        </w:rPr>
        <w:t>二是</w:t>
      </w:r>
      <w:r>
        <w:rPr>
          <w:rFonts w:ascii="仿宋_GB2312" w:hAnsi="宋体" w:eastAsia="仿宋_GB2312" w:cs="仿宋_GB2312"/>
          <w:sz w:val="32"/>
          <w:szCs w:val="32"/>
        </w:rPr>
        <w:t>用好财政资金，发挥资金效益。</w:t>
      </w:r>
    </w:p>
    <w:p>
      <w:pPr>
        <w:widowControl/>
        <w:spacing w:line="520" w:lineRule="exact"/>
        <w:ind w:firstLine="640" w:firstLineChars="200"/>
        <w:jc w:val="left"/>
        <w:rPr>
          <w:rFonts w:hint="default" w:ascii="仿宋_GB2312" w:hAnsi="宋体" w:eastAsia="仿宋_GB2312" w:cs="仿宋_GB2312"/>
          <w:sz w:val="32"/>
          <w:szCs w:val="32"/>
        </w:rPr>
      </w:pPr>
    </w:p>
    <w:p>
      <w:pPr>
        <w:widowControl/>
        <w:spacing w:line="520" w:lineRule="exact"/>
        <w:ind w:firstLine="640" w:firstLineChars="200"/>
        <w:jc w:val="left"/>
        <w:rPr>
          <w:rFonts w:ascii="仿宋_GB2312" w:hAnsi="宋体" w:eastAsia="仿宋_GB2312" w:cs="仿宋_GB2312"/>
          <w:sz w:val="32"/>
          <w:szCs w:val="32"/>
        </w:rPr>
      </w:pPr>
      <w:r>
        <w:rPr>
          <w:rFonts w:ascii="仿宋_GB2312" w:hAnsi="宋体" w:eastAsia="仿宋_GB2312" w:cs="仿宋_GB2312"/>
          <w:sz w:val="32"/>
          <w:szCs w:val="32"/>
        </w:rPr>
        <w:t>（7）“执法协勤人员经费”项目自评综述：根据年初设定的绩效目标，项目自评得分</w:t>
      </w:r>
      <w:r>
        <w:rPr>
          <w:rFonts w:hint="eastAsia" w:ascii="仿宋_GB2312" w:hAnsi="宋体" w:eastAsia="仿宋_GB2312" w:cs="仿宋_GB2312"/>
          <w:sz w:val="32"/>
          <w:szCs w:val="32"/>
          <w:lang w:val="en-US" w:eastAsia="zh-CN"/>
        </w:rPr>
        <w:t>97.9</w:t>
      </w:r>
      <w:r>
        <w:rPr>
          <w:rFonts w:ascii="仿宋_GB2312" w:hAnsi="宋体" w:eastAsia="仿宋_GB2312" w:cs="仿宋_GB2312"/>
          <w:sz w:val="32"/>
          <w:szCs w:val="32"/>
        </w:rPr>
        <w:t>分。项目全年预算数为6.34万元，执行数为5.67万元，完成预算的89.46%。项目绩效目标完成情况：</w:t>
      </w:r>
      <w:r>
        <w:rPr>
          <w:rFonts w:ascii="黑体" w:hAnsi="宋体" w:eastAsia="黑体" w:cs="黑体"/>
          <w:sz w:val="32"/>
          <w:szCs w:val="32"/>
        </w:rPr>
        <w:t>一是</w:t>
      </w:r>
      <w:r>
        <w:rPr>
          <w:rFonts w:ascii="仿宋_GB2312" w:hAnsi="宋体" w:eastAsia="仿宋_GB2312" w:cs="仿宋_GB2312"/>
          <w:sz w:val="32"/>
          <w:szCs w:val="32"/>
        </w:rPr>
        <w:t>保障我大队值班人员值班经费。发现的主要问题及原因：</w:t>
      </w:r>
      <w:r>
        <w:rPr>
          <w:rFonts w:ascii="黑体" w:hAnsi="宋体" w:eastAsia="黑体" w:cs="黑体"/>
          <w:sz w:val="32"/>
          <w:szCs w:val="32"/>
        </w:rPr>
        <w:t>一是</w:t>
      </w:r>
      <w:r>
        <w:rPr>
          <w:rFonts w:ascii="仿宋_GB2312" w:hAnsi="宋体" w:eastAsia="仿宋_GB2312" w:cs="仿宋_GB2312"/>
          <w:sz w:val="32"/>
          <w:szCs w:val="32"/>
        </w:rPr>
        <w:t>该项目绩效自评效果一般。下一步改进措施：</w:t>
      </w:r>
      <w:r>
        <w:rPr>
          <w:rFonts w:ascii="黑体" w:hAnsi="宋体" w:eastAsia="黑体" w:cs="黑体"/>
          <w:sz w:val="32"/>
          <w:szCs w:val="32"/>
        </w:rPr>
        <w:t>一是</w:t>
      </w:r>
      <w:r>
        <w:rPr>
          <w:rFonts w:ascii="仿宋_GB2312" w:hAnsi="宋体" w:eastAsia="仿宋_GB2312" w:cs="仿宋_GB2312"/>
          <w:sz w:val="32"/>
          <w:szCs w:val="32"/>
        </w:rPr>
        <w:t>加强部门预算编制的准确性，</w:t>
      </w:r>
      <w:r>
        <w:rPr>
          <w:rFonts w:ascii="黑体" w:hAnsi="宋体" w:eastAsia="黑体" w:cs="黑体"/>
          <w:sz w:val="32"/>
          <w:szCs w:val="32"/>
        </w:rPr>
        <w:t>二是</w:t>
      </w:r>
      <w:r>
        <w:rPr>
          <w:rFonts w:ascii="仿宋_GB2312" w:hAnsi="宋体" w:eastAsia="仿宋_GB2312" w:cs="仿宋_GB2312"/>
          <w:sz w:val="32"/>
          <w:szCs w:val="32"/>
        </w:rPr>
        <w:t>同时加强资金的执行进度。</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（8）“非本级预算单位人员类支出”项目自评综述：根据年初设定的绩效目标，项目自评得分</w:t>
      </w:r>
      <w:r>
        <w:rPr>
          <w:rFonts w:hint="eastAsia" w:ascii="仿宋_GB2312" w:hAnsi="宋体" w:eastAsia="仿宋_GB2312" w:cs="仿宋_GB2312"/>
          <w:sz w:val="32"/>
          <w:szCs w:val="32"/>
          <w:lang w:val="en-US" w:eastAsia="zh-CN"/>
        </w:rPr>
        <w:t>95.9</w:t>
      </w:r>
      <w:r>
        <w:rPr>
          <w:rFonts w:ascii="仿宋_GB2312" w:hAnsi="宋体" w:eastAsia="仿宋_GB2312" w:cs="仿宋_GB2312"/>
          <w:sz w:val="32"/>
          <w:szCs w:val="32"/>
        </w:rPr>
        <w:t>分。项目全年预算数为265.07万元，执行数为157.85万元，完成预算的59.55%。</w:t>
      </w:r>
      <w:r>
        <w:rPr>
          <w:rFonts w:ascii="黑体" w:hAnsi="宋体" w:eastAsia="黑体" w:cs="黑体"/>
          <w:sz w:val="32"/>
          <w:szCs w:val="32"/>
        </w:rPr>
        <w:t>一是</w:t>
      </w:r>
      <w:r>
        <w:rPr>
          <w:rFonts w:ascii="仿宋_GB2312" w:hAnsi="宋体" w:eastAsia="仿宋_GB2312" w:cs="仿宋_GB2312"/>
          <w:sz w:val="32"/>
          <w:szCs w:val="32"/>
        </w:rPr>
        <w:t>保障我大队正常运转。发现的主要问题及原因：</w:t>
      </w:r>
      <w:r>
        <w:rPr>
          <w:rFonts w:ascii="黑体" w:hAnsi="宋体" w:eastAsia="黑体" w:cs="黑体"/>
          <w:sz w:val="32"/>
          <w:szCs w:val="32"/>
        </w:rPr>
        <w:t>一是</w:t>
      </w:r>
      <w:r>
        <w:rPr>
          <w:rFonts w:ascii="仿宋_GB2312" w:hAnsi="宋体" w:eastAsia="仿宋_GB2312" w:cs="仿宋_GB2312"/>
          <w:sz w:val="32"/>
          <w:szCs w:val="32"/>
        </w:rPr>
        <w:t>该项目绩效自评效果一般。下一步改进措施：</w:t>
      </w:r>
      <w:r>
        <w:rPr>
          <w:rFonts w:ascii="黑体" w:hAnsi="宋体" w:eastAsia="黑体" w:cs="黑体"/>
          <w:sz w:val="32"/>
          <w:szCs w:val="32"/>
        </w:rPr>
        <w:t>一是</w:t>
      </w:r>
      <w:r>
        <w:rPr>
          <w:rFonts w:ascii="仿宋_GB2312" w:hAnsi="宋体" w:eastAsia="仿宋_GB2312" w:cs="仿宋_GB2312"/>
          <w:sz w:val="32"/>
          <w:szCs w:val="32"/>
        </w:rPr>
        <w:t>望加强部门预算编制的准确性，</w:t>
      </w:r>
      <w:r>
        <w:rPr>
          <w:rFonts w:ascii="黑体" w:hAnsi="宋体" w:eastAsia="黑体" w:cs="黑体"/>
          <w:sz w:val="32"/>
          <w:szCs w:val="32"/>
        </w:rPr>
        <w:t>二是</w:t>
      </w:r>
      <w:r>
        <w:rPr>
          <w:rFonts w:ascii="仿宋_GB2312" w:hAnsi="宋体" w:eastAsia="仿宋_GB2312" w:cs="仿宋_GB2312"/>
          <w:sz w:val="32"/>
          <w:szCs w:val="32"/>
        </w:rPr>
        <w:t>同时加强资金的执行进度。</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《预算（项目）政策绩效自评表》见附件。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强化部门预算资金绩效管理，推进整体绩效目标编制的规范化、提高财政资金使用的规范性、安全性和有效性,提升预算执行效率和效益,进一步规范预算管理。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widowControl/>
        <w:spacing w:line="540" w:lineRule="exact"/>
        <w:rPr>
          <w:rFonts w:hint="eastAsia" w:hAnsi="宋体" w:eastAsia="仿宋_GB2312" w:cs="仿宋_GB2312"/>
          <w:color w:val="FF0000"/>
          <w:sz w:val="32"/>
          <w:szCs w:val="32"/>
          <w:lang w:eastAsia="zh-CN"/>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该部门整体绩效自评效果较好，望你单位继续加强资金管理，发挥资金效益</w:t>
      </w:r>
      <w:r>
        <w:rPr>
          <w:rFonts w:ascii="仿宋_GB2312" w:hAnsi="宋体" w:eastAsia="仿宋_GB2312" w:cs="仿宋_GB2312"/>
          <w:b/>
          <w:bCs/>
          <w:sz w:val="32"/>
          <w:szCs w:val="32"/>
        </w:rPr>
        <w:t>。</w:t>
      </w:r>
    </w:p>
    <w:p>
      <w:pPr>
        <w:pStyle w:val="9"/>
        <w:spacing w:line="560" w:lineRule="exact"/>
        <w:rPr>
          <w:rFonts w:hint="default"/>
          <w:b/>
          <w:sz w:val="36"/>
        </w:rPr>
      </w:pPr>
    </w:p>
    <w:p>
      <w:pPr>
        <w:pStyle w:val="10"/>
        <w:autoSpaceDN w:val="0"/>
        <w:spacing w:line="560" w:lineRule="exact"/>
        <w:ind w:firstLine="2530" w:firstLineChars="700"/>
        <w:rPr>
          <w:b/>
          <w:bCs/>
          <w:sz w:val="36"/>
          <w:szCs w:val="36"/>
        </w:rPr>
      </w:pPr>
      <w:r>
        <w:rPr>
          <w:rFonts w:hint="eastAsia"/>
          <w:b/>
          <w:bCs/>
          <w:sz w:val="36"/>
          <w:szCs w:val="36"/>
        </w:rPr>
        <w:t>第三部分 名词解释</w:t>
      </w:r>
    </w:p>
    <w:p>
      <w:pPr>
        <w:pStyle w:val="9"/>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9"/>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9"/>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9"/>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9"/>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9"/>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9"/>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9"/>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9"/>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9"/>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9"/>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9"/>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9"/>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9"/>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9"/>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9"/>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9"/>
        <w:spacing w:line="560" w:lineRule="exact"/>
        <w:ind w:firstLine="640"/>
        <w:rPr>
          <w:rFonts w:hint="default" w:ascii="仿宋_GB2312" w:eastAsia="仿宋_GB2312"/>
          <w:i/>
          <w:sz w:val="32"/>
          <w:u w:val="single"/>
        </w:rPr>
      </w:pPr>
    </w:p>
    <w:p>
      <w:pPr>
        <w:pStyle w:val="9"/>
        <w:spacing w:line="560" w:lineRule="atLeast"/>
        <w:jc w:val="left"/>
        <w:rPr>
          <w:rFonts w:hint="default" w:ascii="仿宋_GB2312" w:hAnsi="仿宋_GB2312" w:eastAsia="仿宋_GB2312" w:cs="仿宋_GB2312"/>
          <w:b/>
          <w:sz w:val="52"/>
          <w:szCs w:val="52"/>
        </w:rPr>
      </w:pPr>
    </w:p>
    <w:p>
      <w:pPr>
        <w:pStyle w:val="9"/>
        <w:spacing w:line="560" w:lineRule="atLeast"/>
        <w:jc w:val="left"/>
        <w:rPr>
          <w:rFonts w:hint="default" w:ascii="仿宋_GB2312" w:hAnsi="仿宋_GB2312" w:eastAsia="仿宋_GB2312" w:cs="仿宋_GB2312"/>
          <w:b/>
          <w:sz w:val="52"/>
          <w:szCs w:val="52"/>
        </w:rPr>
      </w:pPr>
    </w:p>
    <w:p>
      <w:pPr>
        <w:pStyle w:val="9"/>
        <w:spacing w:line="560" w:lineRule="atLeast"/>
        <w:jc w:val="left"/>
        <w:rPr>
          <w:rFonts w:hint="default" w:ascii="仿宋_GB2312" w:hAnsi="仿宋_GB2312" w:eastAsia="仿宋_GB2312" w:cs="仿宋_GB2312"/>
          <w:b/>
          <w:sz w:val="52"/>
          <w:szCs w:val="52"/>
        </w:rPr>
      </w:pPr>
    </w:p>
    <w:p>
      <w:pPr>
        <w:pStyle w:val="9"/>
        <w:spacing w:line="560" w:lineRule="atLeast"/>
        <w:jc w:val="left"/>
        <w:rPr>
          <w:rFonts w:hint="default" w:ascii="仿宋_GB2312" w:hAnsi="仿宋_GB2312" w:eastAsia="仿宋_GB2312" w:cs="仿宋_GB2312"/>
          <w:b/>
          <w:sz w:val="52"/>
          <w:szCs w:val="52"/>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9"/>
        <w:spacing w:line="560" w:lineRule="atLeast"/>
        <w:jc w:val="left"/>
        <w:rPr>
          <w:rFonts w:hint="default" w:ascii="仿宋_GB2312" w:hAnsi="仿宋_GB2312" w:eastAsia="仿宋_GB2312" w:cs="仿宋_GB2312"/>
          <w:b/>
          <w:sz w:val="52"/>
          <w:szCs w:val="52"/>
        </w:rPr>
      </w:pPr>
    </w:p>
    <w:p>
      <w:pPr>
        <w:pStyle w:val="9"/>
        <w:spacing w:line="560" w:lineRule="atLeast"/>
        <w:jc w:val="left"/>
        <w:rPr>
          <w:rFonts w:hint="default" w:ascii="仿宋_GB2312" w:hAnsi="仿宋_GB2312" w:eastAsia="仿宋_GB2312" w:cs="仿宋_GB2312"/>
          <w:b/>
          <w:sz w:val="52"/>
          <w:szCs w:val="52"/>
        </w:rPr>
      </w:pPr>
    </w:p>
    <w:p>
      <w:pPr>
        <w:pStyle w:val="9"/>
        <w:spacing w:line="560" w:lineRule="atLeast"/>
        <w:jc w:val="left"/>
        <w:rPr>
          <w:rFonts w:hint="default" w:ascii="仿宋_GB2312" w:hAnsi="仿宋_GB2312" w:eastAsia="仿宋_GB2312" w:cs="仿宋_GB2312"/>
          <w:b/>
          <w:sz w:val="52"/>
          <w:szCs w:val="52"/>
        </w:rPr>
      </w:pPr>
    </w:p>
    <w:p>
      <w:pPr>
        <w:pStyle w:val="9"/>
        <w:spacing w:line="560" w:lineRule="atLeast"/>
        <w:jc w:val="left"/>
        <w:rPr>
          <w:rFonts w:hint="default" w:ascii="仿宋_GB2312" w:hAnsi="仿宋_GB2312" w:eastAsia="仿宋_GB2312" w:cs="仿宋_GB2312"/>
          <w:b/>
          <w:sz w:val="52"/>
          <w:szCs w:val="52"/>
        </w:rPr>
      </w:pPr>
    </w:p>
    <w:p>
      <w:pPr>
        <w:rPr>
          <w:rFonts w:hint="default" w:ascii="仿宋_GB2312" w:hAnsi="宋体" w:eastAsia="仿宋_GB2312"/>
          <w:kern w:val="0"/>
          <w:sz w:val="32"/>
        </w:rPr>
      </w:pPr>
      <w:r>
        <w:rPr>
          <w:rFonts w:ascii="仿宋_GB2312" w:hAnsi="仿宋_GB2312" w:eastAsia="仿宋_GB2312" w:cs="仿宋_GB2312"/>
          <w:b/>
          <w:sz w:val="52"/>
          <w:szCs w:val="52"/>
        </w:rPr>
        <w:t>第四部分 沈阳市浑南区消防救援大队2022年度部门决算表</w:t>
      </w:r>
    </w:p>
    <w:p>
      <w:pPr>
        <w:rPr>
          <w:rFonts w:ascii="仿宋_GB2312" w:hAnsi="宋体" w:eastAsia="仿宋_GB2312"/>
          <w:kern w:val="0"/>
          <w:sz w:val="32"/>
        </w:rPr>
      </w:pPr>
    </w:p>
    <w:p>
      <w:pPr>
        <w:rPr>
          <w:rFonts w:ascii="仿宋_GB2312" w:hAnsi="宋体" w:eastAsia="仿宋_GB2312"/>
          <w:kern w:val="0"/>
          <w:sz w:val="32"/>
        </w:rPr>
      </w:pPr>
    </w:p>
    <w:p>
      <w:pPr>
        <w:rPr>
          <w:rFonts w:ascii="仿宋_GB2312" w:hAnsi="宋体" w:eastAsia="仿宋_GB2312"/>
          <w:kern w:val="0"/>
          <w:sz w:val="32"/>
        </w:rPr>
      </w:pPr>
    </w:p>
    <w:p>
      <w:pPr>
        <w:rPr>
          <w:rFonts w:ascii="仿宋_GB2312" w:hAnsi="宋体" w:eastAsia="仿宋_GB2312"/>
          <w:kern w:val="0"/>
          <w:sz w:val="32"/>
        </w:rPr>
      </w:pPr>
    </w:p>
    <w:p>
      <w:pPr>
        <w:rPr>
          <w:rFonts w:ascii="仿宋_GB2312" w:hAnsi="宋体" w:eastAsia="仿宋_GB2312"/>
          <w:kern w:val="0"/>
          <w:sz w:val="32"/>
        </w:rPr>
      </w:pPr>
    </w:p>
    <w:p>
      <w:pPr>
        <w:rPr>
          <w:rFonts w:ascii="仿宋_GB2312" w:hAnsi="宋体" w:eastAsia="仿宋_GB2312"/>
          <w:kern w:val="0"/>
          <w:sz w:val="32"/>
        </w:rPr>
      </w:pPr>
    </w:p>
    <w:p>
      <w:pPr>
        <w:rPr>
          <w:rFonts w:ascii="仿宋_GB2312" w:hAnsi="宋体" w:eastAsia="仿宋_GB2312"/>
          <w:kern w:val="0"/>
          <w:sz w:val="32"/>
        </w:rPr>
      </w:pPr>
    </w:p>
    <w:p>
      <w:pPr>
        <w:rPr>
          <w:rFonts w:ascii="仿宋_GB2312" w:hAnsi="宋体" w:eastAsia="仿宋_GB2312"/>
          <w:kern w:val="0"/>
          <w:sz w:val="32"/>
        </w:rPr>
      </w:pPr>
    </w:p>
    <w:p>
      <w:pPr>
        <w:jc w:val="center"/>
        <w:rPr>
          <w:rFonts w:hint="default" w:ascii="宋体" w:hAnsi="宋体"/>
          <w:b/>
          <w:sz w:val="52"/>
          <w:szCs w:val="52"/>
        </w:rPr>
      </w:pPr>
    </w:p>
    <w:p>
      <w:pPr>
        <w:jc w:val="center"/>
        <w:rPr>
          <w:rFonts w:hint="default" w:ascii="宋体" w:hAnsi="宋体"/>
          <w:b/>
          <w:sz w:val="52"/>
          <w:szCs w:val="52"/>
        </w:rPr>
      </w:pPr>
    </w:p>
    <w:p>
      <w:pPr>
        <w:numPr>
          <w:ilvl w:val="0"/>
          <w:numId w:val="3"/>
        </w:numPr>
        <w:jc w:val="center"/>
        <w:rPr>
          <w:rFonts w:hint="default" w:ascii="宋体" w:hAnsi="宋体"/>
          <w:b/>
          <w:sz w:val="52"/>
          <w:szCs w:val="52"/>
        </w:rPr>
      </w:pPr>
      <w:r>
        <w:rPr>
          <w:rFonts w:ascii="宋体" w:hAnsi="宋体"/>
          <w:b/>
          <w:sz w:val="52"/>
          <w:szCs w:val="52"/>
        </w:rPr>
        <w:t xml:space="preserve">  附件</w:t>
      </w:r>
    </w:p>
    <w:p>
      <w:pPr>
        <w:rPr>
          <w:rFonts w:hint="default" w:ascii="仿宋_GB2312" w:hAnsi="宋体" w:eastAsia="仿宋_GB2312"/>
          <w:kern w:val="0"/>
          <w:sz w:val="32"/>
        </w:rPr>
      </w:pPr>
      <w:bookmarkStart w:id="0" w:name="_GoBack"/>
      <w:bookmarkEnd w:id="0"/>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7A1F59"/>
    <w:multiLevelType w:val="singleLevel"/>
    <w:tmpl w:val="937A1F59"/>
    <w:lvl w:ilvl="0" w:tentative="0">
      <w:start w:val="2"/>
      <w:numFmt w:val="chineseCounting"/>
      <w:suff w:val="nothing"/>
      <w:lvlText w:val="（%1）"/>
      <w:lvlJc w:val="left"/>
      <w:rPr>
        <w:rFonts w:hint="eastAsia"/>
      </w:rPr>
    </w:lvl>
  </w:abstractNum>
  <w:abstractNum w:abstractNumId="1">
    <w:nsid w:val="D170B0D5"/>
    <w:multiLevelType w:val="singleLevel"/>
    <w:tmpl w:val="D170B0D5"/>
    <w:lvl w:ilvl="0" w:tentative="0">
      <w:start w:val="1"/>
      <w:numFmt w:val="chineseCounting"/>
      <w:suff w:val="nothing"/>
      <w:lvlText w:val="%1、"/>
      <w:lvlJc w:val="left"/>
      <w:rPr>
        <w:rFonts w:hint="eastAsia"/>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wNTI5OTU5YTU2NGY4YzQwYWJiNTY3YmJiNmQ5OTEifQ=="/>
  </w:docVars>
  <w:rsids>
    <w:rsidRoot w:val="1C635C29"/>
    <w:rsid w:val="00060165"/>
    <w:rsid w:val="000B596F"/>
    <w:rsid w:val="00100607"/>
    <w:rsid w:val="001D0B4A"/>
    <w:rsid w:val="001E7AEC"/>
    <w:rsid w:val="00320394"/>
    <w:rsid w:val="00342E31"/>
    <w:rsid w:val="0038444A"/>
    <w:rsid w:val="00387684"/>
    <w:rsid w:val="0044142C"/>
    <w:rsid w:val="00485722"/>
    <w:rsid w:val="00505889"/>
    <w:rsid w:val="005812D3"/>
    <w:rsid w:val="005814A4"/>
    <w:rsid w:val="00590A8D"/>
    <w:rsid w:val="005C4DCE"/>
    <w:rsid w:val="007222E5"/>
    <w:rsid w:val="00753B9D"/>
    <w:rsid w:val="00756329"/>
    <w:rsid w:val="007F77B9"/>
    <w:rsid w:val="008040A1"/>
    <w:rsid w:val="00824BB7"/>
    <w:rsid w:val="00876FCE"/>
    <w:rsid w:val="00954778"/>
    <w:rsid w:val="00A17144"/>
    <w:rsid w:val="00A5357A"/>
    <w:rsid w:val="00A57A14"/>
    <w:rsid w:val="00A9195E"/>
    <w:rsid w:val="00B54181"/>
    <w:rsid w:val="00BC09C4"/>
    <w:rsid w:val="00C57A28"/>
    <w:rsid w:val="00D56933"/>
    <w:rsid w:val="00DC3915"/>
    <w:rsid w:val="00E4305D"/>
    <w:rsid w:val="00F16B2B"/>
    <w:rsid w:val="00F67249"/>
    <w:rsid w:val="00F724E9"/>
    <w:rsid w:val="09C4782E"/>
    <w:rsid w:val="0ECB7368"/>
    <w:rsid w:val="11612EA5"/>
    <w:rsid w:val="17833C09"/>
    <w:rsid w:val="1C635C29"/>
    <w:rsid w:val="2B1D4798"/>
    <w:rsid w:val="2E4F6256"/>
    <w:rsid w:val="36230505"/>
    <w:rsid w:val="471331CD"/>
    <w:rsid w:val="54F6469B"/>
    <w:rsid w:val="5B697371"/>
    <w:rsid w:val="654F17B5"/>
    <w:rsid w:val="673C6F2C"/>
    <w:rsid w:val="6B1711AB"/>
    <w:rsid w:val="724179B2"/>
    <w:rsid w:val="7D024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kern w:val="0"/>
      <w:sz w:val="24"/>
    </w:rPr>
  </w:style>
  <w:style w:type="character" w:customStyle="1" w:styleId="7">
    <w:name w:val="页脚 Char"/>
    <w:basedOn w:val="6"/>
    <w:link w:val="2"/>
    <w:qFormat/>
    <w:uiPriority w:val="0"/>
    <w:rPr>
      <w:rFonts w:ascii="Times New Roman" w:hAnsi="Times New Roman" w:eastAsia="宋体"/>
      <w:kern w:val="2"/>
      <w:sz w:val="18"/>
      <w:szCs w:val="18"/>
    </w:rPr>
  </w:style>
  <w:style w:type="character" w:customStyle="1" w:styleId="8">
    <w:name w:val="页眉 Char"/>
    <w:basedOn w:val="6"/>
    <w:link w:val="3"/>
    <w:qFormat/>
    <w:uiPriority w:val="0"/>
    <w:rPr>
      <w:rFonts w:ascii="Times New Roman" w:hAnsi="Times New Roman" w:eastAsia="宋体"/>
      <w:kern w:val="2"/>
      <w:sz w:val="18"/>
      <w:szCs w:val="18"/>
    </w:rPr>
  </w:style>
  <w:style w:type="paragraph" w:customStyle="1" w:styleId="9">
    <w:name w:val="p0"/>
    <w:basedOn w:val="1"/>
    <w:qFormat/>
    <w:uiPriority w:val="0"/>
    <w:pPr>
      <w:widowControl/>
    </w:pPr>
    <w:rPr>
      <w:rFonts w:ascii="宋体" w:hAnsi="宋体"/>
    </w:rPr>
  </w:style>
  <w:style w:type="paragraph" w:customStyle="1" w:styleId="10">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5558</Words>
  <Characters>5963</Characters>
  <Lines>28</Lines>
  <Paragraphs>8</Paragraphs>
  <TotalTime>5</TotalTime>
  <ScaleCrop>false</ScaleCrop>
  <LinksUpToDate>false</LinksUpToDate>
  <CharactersWithSpaces>5993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2023-09-06T07:02:00Z</dcterms:created>
  <dc:creator>国库处-王艳秋</dc:creator>
  <cp:lastModifiedBy>初初</cp:lastModifiedBy>
  <cp:lastPrinted>2022-09-19T10:34:00Z</cp:lastPrinted>
  <dcterms:modified xsi:type="dcterms:W3CDTF">2023-09-11T03:14:56Z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360C280B8C1A49DC81CE1C0CC1E2501A_13</vt:lpwstr>
  </property>
</Properties>
</file>