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辽宁省沈阳市浑南区消防救援大队</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辽宁省沈阳市浑南区消防救援大队</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辽宁省沈阳市浑南区消防救援大队</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辽宁省沈阳市浑南区消防救援大队</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辽宁省沈阳市浑南区消防救援大队</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辽宁省沈阳市浑南区消防救援大队概况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大队主要负责辖区内机关、团体、企事业单位的防火监督、开业前消防检查、消防知识普及、消防业务培训和对所属消防救援站的管理等业务；所属消防救援站主要担负着辖区内的灭火救援、社会救助等任务。主要职责是：</w:t>
        <w:br/>
        <w:t xml:space="preserve">    （一）参与编制消防规划。城市人民政府在新建、扩建和改建城市时，应当组织规划、消防等有关部门对城市消防安全布局和公共消防设施、消防装备的建设，进行合理规划，正确处理城市建设与消防安全的关系。依照有关法律、法规和消防技术标准的要求、严格把好规划关，将城市消防规划纳入城市总体规划，与城市其它基础设施同步规划、同步建设。</w:t>
        <w:br/>
        <w:t xml:space="preserve">    （二）公共聚集场所在使用或者开业前的消防安全检查。歌舞厅、影剧院、宾馆、饭店、商场、集贸市场等公共聚集的场所在使用或者开业前，应当向当地消防救援机构申报，经消防安全检查合格后，方可使用或者开业。</w:t>
        <w:br/>
        <w:t xml:space="preserve">    （三）确定重点单位。消防安全重点单位要根据发生火灾的危险性以及一旦发生火灾可能产生的危害后果确定，危害后果一般包括：发生火灾后可能造成的人身重大伤亡或财产重大损失。有权确定消防安全重点单位的是县级以上地方各级人民政府消防救援机构。确定的重点单位还应当报本级人民政府备案。</w:t>
        <w:br/>
        <w:t xml:space="preserve">    （四）监督检查。消防监督检查是消防救援对机关、团体、企业、事业单位遵守消防法律、法规的情况依法进行监督的行政执法行为。</w:t>
        <w:br/>
        <w:t xml:space="preserve">    （五）发现火灾隐患，通知有关单位和个人。消防救援机构发现火灾隐患，应当及时通知有关单位或者个人采取措施，限期消除隐患。</w:t>
        <w:br/>
        <w:t xml:space="preserve">    （六）组织、指挥扑救火灾，参加抢险救援、社会救助等工作。</w:t>
        <w:br/>
        <w:t xml:space="preserve">    （七）指导专职消防队和义务消防队、指挥调动专职消防队。消防救援机构应当对专职消防队、义务消防队进行业务指导，并有权指挥调动专职消防队参加火灾扑救工作。</w:t>
        <w:br/>
        <w:t xml:space="preserve">    （八）火灾调查工作。1.根据需要封闭火灾现场；2.负责调查认定火灾原因；3.核定火灾损失；4.查明火灾事故责任。</w:t>
        <w:br/>
        <w:t xml:space="preserve">    （九）依法实施行政处罚权。对违反《消防法》规定行为实施行政处罚。</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辽宁省沈阳市浑南区消防救援大队</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浑南区消防救援大队本级，本单位无下设机构。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823.91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823.91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823.91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减少220.15万元，降低21.09%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缩减经费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823.91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823.91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主要包括电费、取暖费等业务支出。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减少220.15万元，降低21.09%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缩减经费，节约开支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823.91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823.91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减少220.15万元，降低21.09%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缩减经费，节约开支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68.25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68.25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2024年度一般公共预算财政拨款支出823.91万元。按支出功能分类科目分，包括：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1.灾害防治及应急管理支出823.91万元，具体包括：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消防救援事务（款）消防应急救援（项）823.91万元,主要是专职消防人员工资等支出，完成年初预算的100%，决算数与年初预算数存在差异的主要原因是严格按照预算执行，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152.70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78.18</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节约开支</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152.70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152.70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78.18</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节约开支</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比上年减少2.51万元，降低1.62%</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节约开支</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152.70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主要用于车辆加油及维修等，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53</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53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43</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，其他用车主要是行政办公用车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 </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 </w:t>
        <w:br/>
        <w:t xml:space="preserve">具体而言，本年度我部门共组织对26个项目实施了绩效评价。从预算资金来源看，涉及一般公共预算的项目26个，涉及政府性基金预算的项目0个，涉及国有资本经营预算的项目0个。 </w:t>
        <w:br/>
        <w:t xml:space="preserve">上述评价工作共涉及财政资金823.91万元。其中，一般公共预算资金823.91万元，占资金总额的100%；政府性基金预算资金0万元，占0%；国有资本经营预算资金0万元，占0%。通过全面开展绩效评价，旨在全面检验财政资金的使用效益和政策的实施效果。 </w:t>
        <w:br/>
        <w:t xml:space="preserve">2.项目绩效自评情况及结果。 </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 </w:t>
        <w:br/>
        <w:t xml:space="preserve">自评得分在90分（含）以上、绩效等级为“优”的项目有7个；得分在80分（含）至90分、等级为“良”的项目有5个；得分在60分（含）至80分、等级为“中”的项目有4；得分在60分以下、等级为“差”的项目有10个。各项目自评发现，部分项目存在预算执行进度偏慢问题，如：训练经费等，已要求相关项目单位分析原因并制定改进措施。 </w:t>
        <w:br/>
        <w:t xml:space="preserve">3.部门重点评价情况及结果。 </w:t>
        <w:br/>
        <w:t xml:space="preserve">在全面自评的基础上，本部门选取了2个资金量大、社会关注度高、具有代表性的重点项目实施了部门重点评价。评价工作通过数据采集分析方式进行，确保了评价结果的客观性和公正性。 </w:t>
        <w:br/>
        <w:t xml:space="preserve">我部门组织对2个项目重点评价，结果显示，被评价项目整体绩效情况良好。其中：第一个重点项目为派遣制人员工资，涉及资金323.06万元，评价平均分为98.96分，评级情况为优；第二个重点项目为办公用房取暖费，涉及资金84.28万元，评价平均分为99.89分，评级情况为优。同时，评价也发现专用设备购置项目存在问题，如：绩效指标设置不够细化、资金使用效益有待进一步提升等。针对评价发现的问题，我们已督促项目单位落实整改，并将评价结果作为下年度预算安排和政策调整的重要依据。 </w:t>
        <w:br/>
        <w:t xml:space="preserve">4.财政评价结果。 </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 </w:t>
        <w:br/>
        <w:t xml:space="preserve">5.其他需要说明的情况。 </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 </w:t>
        <w:br/>
        <w:t xml:space="preserve">（2）公开情况：本部门将按照政务公开要求，适时将通过审核的绩效评价结果（尤其是部门评价和财政评价结果）向社会公开，主动接受社会监督。 </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 </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16.灾害防治及应急管理支出（类）消防救援事务（款）消防应急救援（项）：反映用于国家综合性消防救援队伍装备购置、基础设施及运行维护等方面的支出。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823.91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823.91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823.91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823.91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823.91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823.91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823.91</w:t>
            </w:r>
          </w:p>
        </w:tc>
        <w:tc>
          <w:tcPr>
            <w:tcW w:w="960" w:type="dxa"/>
            <w:tcBorders/>
            <w:vAlign w:val="center"/>
          </w:tcPr>
          <w:p>
            <w:pPr>
              <w:jc w:val="right"/>
            </w:pPr>
            <w:r>
              <w:rPr>
                <w:rFonts w:ascii="宋体" w:eastAsia="宋体" w:hAnsi="宋体" w:cs="宋体"/>
                <w:b/>
                <w:i w:val="0"/>
                <w:color w:val="000000"/>
                <w:sz w:val="13"/>
              </w:rPr>
              <w:t xml:space="preserve">823.91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22402</w:t>
            </w:r>
          </w:p>
        </w:tc>
        <w:tc>
          <w:tcPr>
            <w:tcW w:w="3200" w:type="dxa"/>
            <w:tcBorders/>
            <w:vAlign w:val="center"/>
          </w:tcPr>
          <w:p>
            <w:pPr>
              <w:jc w:val="left"/>
            </w:pPr>
            <w:r>
              <w:rPr>
                <w:rFonts w:ascii="宋体" w:eastAsia="宋体" w:hAnsi="宋体" w:cs="宋体"/>
                <w:b w:val="0"/>
                <w:i w:val="0"/>
                <w:color w:val="000000"/>
                <w:sz w:val="13"/>
              </w:rPr>
              <w:t xml:space="preserve">消防救援事务</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2240204</w:t>
            </w:r>
          </w:p>
        </w:tc>
        <w:tc>
          <w:tcPr>
            <w:tcW w:w="3200" w:type="dxa"/>
            <w:tcBorders/>
            <w:vAlign w:val="center"/>
          </w:tcPr>
          <w:p>
            <w:pPr>
              <w:jc w:val="left"/>
            </w:pPr>
            <w:r>
              <w:rPr>
                <w:rFonts w:ascii="宋体" w:eastAsia="宋体" w:hAnsi="宋体" w:cs="宋体"/>
                <w:b w:val="0"/>
                <w:i w:val="0"/>
                <w:color w:val="000000"/>
                <w:sz w:val="13"/>
              </w:rPr>
              <w:t xml:space="preserve">消防应急救援</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jc w:val="right"/>
            </w:pPr>
            <w:r>
              <w:rPr>
                <w:rFonts w:ascii="宋体" w:eastAsia="宋体" w:hAnsi="宋体" w:cs="宋体"/>
                <w:b w:val="0"/>
                <w:i w:val="0"/>
                <w:color w:val="000000"/>
                <w:sz w:val="13"/>
              </w:rPr>
              <w:t xml:space="preserve">823.91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823.91</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823.91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22402</w:t>
            </w:r>
          </w:p>
        </w:tc>
        <w:tc>
          <w:tcPr>
            <w:tcW w:w="3440" w:type="dxa"/>
            <w:tcBorders/>
            <w:vAlign w:val="center"/>
          </w:tcPr>
          <w:p>
            <w:pPr>
              <w:jc w:val="left"/>
            </w:pPr>
            <w:r>
              <w:rPr>
                <w:rFonts w:ascii="宋体" w:eastAsia="宋体" w:hAnsi="宋体" w:cs="宋体"/>
                <w:b w:val="0"/>
                <w:i w:val="0"/>
                <w:color w:val="000000"/>
                <w:sz w:val="14"/>
              </w:rPr>
              <w:t xml:space="preserve">消防救援事务</w:t>
            </w: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2240204</w:t>
            </w:r>
          </w:p>
        </w:tc>
        <w:tc>
          <w:tcPr>
            <w:tcW w:w="3440" w:type="dxa"/>
            <w:tcBorders/>
            <w:vAlign w:val="center"/>
          </w:tcPr>
          <w:p>
            <w:pPr>
              <w:jc w:val="left"/>
            </w:pPr>
            <w:r>
              <w:rPr>
                <w:rFonts w:ascii="宋体" w:eastAsia="宋体" w:hAnsi="宋体" w:cs="宋体"/>
                <w:b w:val="0"/>
                <w:i w:val="0"/>
                <w:color w:val="000000"/>
                <w:sz w:val="14"/>
              </w:rPr>
              <w:t xml:space="preserve">消防应急救援</w:t>
            </w: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jc w:val="right"/>
            </w:pPr>
            <w:r>
              <w:rPr>
                <w:rFonts w:ascii="宋体" w:eastAsia="宋体" w:hAnsi="宋体" w:cs="宋体"/>
                <w:b w:val="0"/>
                <w:i w:val="0"/>
                <w:color w:val="000000"/>
                <w:sz w:val="14"/>
              </w:rPr>
              <w:t xml:space="preserve">823.91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823.91</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823.91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823.91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22402</w:t>
            </w:r>
          </w:p>
        </w:tc>
        <w:tc>
          <w:tcPr>
            <w:tcW w:w="4300" w:type="dxa"/>
            <w:tcBorders/>
            <w:vAlign w:val="center"/>
          </w:tcPr>
          <w:p>
            <w:pPr>
              <w:jc w:val="left"/>
            </w:pPr>
            <w:r>
              <w:rPr>
                <w:rFonts w:ascii="宋体" w:eastAsia="宋体" w:hAnsi="宋体" w:cs="宋体"/>
                <w:b w:val="0"/>
                <w:i w:val="0"/>
                <w:color w:val="000000"/>
                <w:sz w:val="18"/>
              </w:rPr>
              <w:t xml:space="preserve">消防救援事务</w:t>
            </w:r>
          </w:p>
        </w:tc>
        <w:tc>
          <w:tcPr>
            <w:tcW w:w="1780" w:type="dxa"/>
            <w:tcBorders/>
            <w:vAlign w:val="center"/>
          </w:tcPr>
          <w:p>
            <w:pPr>
              <w:jc w:val="right"/>
            </w:pPr>
            <w:r>
              <w:rPr>
                <w:rFonts w:ascii="宋体" w:eastAsia="宋体" w:hAnsi="宋体" w:cs="宋体"/>
                <w:b w:val="0"/>
                <w:i w:val="0"/>
                <w:color w:val="000000"/>
                <w:sz w:val="18"/>
              </w:rPr>
              <w:t xml:space="preserve">823.91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2240204</w:t>
            </w:r>
          </w:p>
        </w:tc>
        <w:tc>
          <w:tcPr>
            <w:tcW w:w="4300" w:type="dxa"/>
            <w:tcBorders/>
            <w:vAlign w:val="center"/>
          </w:tcPr>
          <w:p>
            <w:pPr>
              <w:jc w:val="left"/>
            </w:pPr>
            <w:r>
              <w:rPr>
                <w:rFonts w:ascii="宋体" w:eastAsia="宋体" w:hAnsi="宋体" w:cs="宋体"/>
                <w:b w:val="0"/>
                <w:i w:val="0"/>
                <w:color w:val="000000"/>
                <w:sz w:val="18"/>
              </w:rPr>
              <w:t xml:space="preserve">消防应急救援</w:t>
            </w:r>
          </w:p>
        </w:tc>
        <w:tc>
          <w:tcPr>
            <w:tcW w:w="1780" w:type="dxa"/>
            <w:tcBorders/>
            <w:vAlign w:val="center"/>
          </w:tcPr>
          <w:p>
            <w:pPr>
              <w:jc w:val="right"/>
            </w:pPr>
            <w:r>
              <w:rPr>
                <w:rFonts w:ascii="宋体" w:eastAsia="宋体" w:hAnsi="宋体" w:cs="宋体"/>
                <w:b w:val="0"/>
                <w:i w:val="0"/>
                <w:color w:val="000000"/>
                <w:sz w:val="18"/>
              </w:rPr>
              <w:t xml:space="preserve">823.91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823.91</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195.31</w:t>
            </w:r>
          </w:p>
        </w:tc>
        <w:tc>
          <w:tcPr>
            <w:tcW w:w="3092" w:type="dxa"/>
            <w:vAlign w:val="center"/>
          </w:tcPr>
          <w:p>
            <w:pPr>
              <w:jc w:val="right"/>
            </w:pPr>
            <w:r>
              <w:rPr>
                <w:rFonts w:ascii="宋体" w:eastAsia="宋体" w:hAnsi="宋体" w:cs="宋体"/>
                <w:b w:val="0"/>
                <w:i w:val="0"/>
                <w:color w:val="000000"/>
                <w:sz w:val="23"/>
              </w:rPr>
              <w:t xml:space="preserve">152.70</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195.31</w:t>
            </w:r>
          </w:p>
        </w:tc>
        <w:tc>
          <w:tcPr>
            <w:tcW w:w="3092" w:type="dxa"/>
            <w:tcBorders/>
            <w:vAlign w:val="center"/>
          </w:tcPr>
          <w:p>
            <w:pPr>
              <w:jc w:val="right"/>
            </w:pPr>
            <w:r>
              <w:rPr>
                <w:rFonts w:ascii="宋体" w:eastAsia="宋体" w:hAnsi="宋体" w:cs="宋体"/>
                <w:b w:val="0"/>
                <w:i w:val="0"/>
                <w:color w:val="000000"/>
                <w:sz w:val="23"/>
              </w:rPr>
              <w:t xml:space="preserve">152.70</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195.31</w:t>
            </w:r>
          </w:p>
        </w:tc>
        <w:tc>
          <w:tcPr>
            <w:tcW w:w="3092" w:type="dxa"/>
            <w:tcBorders/>
            <w:vAlign w:val="center"/>
          </w:tcPr>
          <w:p>
            <w:pPr>
              <w:jc w:val="right"/>
            </w:pPr>
            <w:r>
              <w:rPr>
                <w:rFonts w:ascii="宋体" w:eastAsia="宋体" w:hAnsi="宋体" w:cs="宋体"/>
                <w:b w:val="0"/>
                <w:i w:val="0"/>
                <w:color w:val="000000"/>
                <w:sz w:val="23"/>
              </w:rPr>
              <w:t xml:space="preserve">152.70</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单位：辽宁省沈阳市浑南区消防救援大队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保障灭火救援工作顺利开展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消防队员应急训练次数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参与安全事故应急处置率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消防队员应急训练次数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参与安全事故应急处置率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材料质量达标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材料质量达标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材料质量达标率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材料质量达标率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减少群众生命财产损失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降低灾害损失金额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降低灾害损失金额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减少群众生命财产损失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办公场所水电费等运转经费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办公自动化等系统运维合格率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办公自动化等系统运维合格率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物业式规范管理服务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物业式管理服务规范性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物业式规范管理服务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物业式管理服务规范性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26.60560101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办公设备购置数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办公费用覆盖工作人员数量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办公文件与信息无纸化程度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办公自动化等系统运维合格率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8.73441817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人均使用面积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人均使用面积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人均使用面积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人均使用面积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最大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最大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保障车辆正常运转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超载车辆有效监控率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17.93369609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车辆维修及消耗费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货运车辆超限超载率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货运车辆超限超载率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车辆运行维护及时率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车辆运行维护及时率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万辆营运车辆安全事故死亡下降率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车辆业务牌证业务及查验员、考试员证件核发需求满足度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被执法车辆满意度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被执法车辆满意度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8.94721408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党建正规化经费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党建和历史类图书购置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发展党建指导员、联络员数量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党建和历史类图书购置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发展党建指导员、联络员数量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标准规范技术先进性达标率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规章和标准审查通过率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标准规范技术先进性达标率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规章和标准审查通过率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保障党的思想建设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保障党的思想建设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工程项目尾款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房屋修缮、改造面积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房屋修缮、改造面积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工会经费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保障工会工作正常开展。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支持基层工会组织建设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基层活动组织成员参与率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支持基层工会组织建设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基层活动组织成员参与率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工会配套资金投入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工会配套资金投入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伙食费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购置办公设备数量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通用办公设备购置数量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购置办公设备数量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通用办公设备购置数量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办公文件与信息无纸化程度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办公文件与信息无纸化程度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绿化经费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创建绿色示范园区数量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创建绿色示范园区数量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绿色建筑条例宣传工作完成率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绿色建筑条例宣传工作完成率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器材维修维护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对消防专用器材进行维修维护。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设施设备维修购置验收合格率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维修后特种设备使用率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基础设施维修改造单位职工满意度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食堂外包，统一物业管理费。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断供断电情况的发生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经费有效落实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物业费缴纳的时效性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办公楼养护不到位导致安全事故发生次数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部门办公正常运行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33.4351584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消防人员服装费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在基层消防队伍推广配备装备新成果的数量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在基层消防队伍推广配备装备新成果的数量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17.88261375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信息化平台建设经费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制定信息化领域战略/规划/政策性文件数量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网络运行改造长度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网络运行改造长度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制定信息化领域战略/规划/政策性文件数量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网络安全事件发生率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训练经费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训练目标任务完成率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消防队员应急训练次数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训练目标任务完成率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消防队员应急训练次数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康复训练时长达标率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康复训练合格率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康复训练时长达标率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康复训练合格率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提高运动员训练环境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提高运动员训练环境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为运动队训练持续提供后勤保障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为运动队训练持续提供后勤保障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31.55555556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医药费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保障消防员就医机制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8.18399857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保障消防工作正常开展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宣传教育作品完成率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宣传教育作品完成率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34.76923077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医药费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保障消防员就医机制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8.18399857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意外伤害保险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保障消防人员保险机制健全。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购买意外伤害保险运动员人数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购买意外伤害保险运动员人数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社会保障信息化保障支撑度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社会保障信息化保障支撑度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方便困难群众看病就医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困难群众看病就医方便程度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方便困难群众看病就医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困难群众看病就医方便程度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营房维修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维修养护项目质量达标率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维修养护项目质量达标率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32.46201053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执法专项行动次数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监督执法检查完成率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执法专项行动次数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监督执法检查完成率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办案效果优良率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办案效果优良率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执法办案行为投诉率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执法办案行为投诉率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17.29428571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执法协勤人员经费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全年值班待命天数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全年值班待命天数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值班在岗率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社会公众对评估工作投诉率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社会公众对评估工作投诉率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购置器材设备数量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购置器材设备数量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器材性能达标率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器材性能达标率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新增应急救援装备器材验收通过率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完成日常救援任务率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满足应急救援等飞行作业需要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满足应急救援等飞行作业需要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完成日常救援任务率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综合训练场（塔）建设设计费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沈阳市浑南区消防救援大队-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技术设计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安全设施设计审查数量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工程设计及施工符合现行国家有关水利设计规范和行业标准率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项目设计评审通过率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项目达到设计产能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项目符合设计标准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