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jc w:val="center"/>
        <w:rPr>
          <w:rFonts w:ascii="楷体" w:hAnsi="楷体" w:eastAsia="楷体"/>
          <w:b/>
          <w:sz w:val="52"/>
          <w:szCs w:val="52"/>
        </w:rPr>
      </w:pPr>
      <w:r>
        <w:rPr>
          <w:rFonts w:hint="eastAsia" w:ascii="楷体" w:hAnsi="楷体" w:eastAsia="楷体"/>
          <w:b/>
          <w:sz w:val="52"/>
          <w:szCs w:val="52"/>
        </w:rPr>
        <w:t>沈阳市浑南区人民法院</w:t>
      </w:r>
    </w:p>
    <w:p>
      <w:pPr>
        <w:jc w:val="center"/>
        <w:rPr>
          <w:rFonts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w:t>
      </w: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jc w:val="center"/>
        <w:rPr>
          <w:rFonts w:ascii="宋体" w:hAnsi="宋体" w:eastAsia="宋体" w:cs="宋体"/>
          <w:b/>
          <w:sz w:val="44"/>
          <w:szCs w:val="44"/>
        </w:rPr>
      </w:pPr>
    </w:p>
    <w:p>
      <w:pPr>
        <w:pStyle w:val="2"/>
        <w:spacing w:line="600" w:lineRule="exact"/>
        <w:ind w:firstLine="0"/>
        <w:rPr>
          <w:rFonts w:ascii="宋体" w:hAnsi="宋体" w:eastAsia="宋体" w:cs="宋体"/>
          <w:b/>
          <w:sz w:val="44"/>
          <w:szCs w:val="44"/>
        </w:rPr>
      </w:pPr>
    </w:p>
    <w:p>
      <w:pPr>
        <w:pStyle w:val="2"/>
        <w:spacing w:line="600" w:lineRule="exact"/>
        <w:ind w:firstLine="0"/>
        <w:rPr>
          <w:rFonts w:ascii="宋体" w:hAnsi="宋体" w:eastAsia="宋体" w:cs="宋体"/>
          <w:b/>
          <w:sz w:val="44"/>
          <w:szCs w:val="44"/>
        </w:rPr>
      </w:pPr>
    </w:p>
    <w:p>
      <w:pPr>
        <w:pStyle w:val="2"/>
        <w:spacing w:line="600" w:lineRule="exact"/>
        <w:ind w:firstLine="0"/>
        <w:jc w:val="center"/>
        <w:rPr>
          <w:rFonts w:ascii="宋体" w:hAnsi="宋体" w:eastAsia="宋体" w:cs="宋体"/>
          <w:b/>
          <w:color w:val="000000"/>
          <w:sz w:val="44"/>
          <w:szCs w:val="44"/>
        </w:rPr>
      </w:pPr>
      <w:r>
        <w:rPr>
          <w:rFonts w:hint="eastAsia" w:ascii="宋体" w:hAnsi="宋体" w:eastAsia="宋体" w:cs="宋体"/>
          <w:b/>
          <w:color w:val="000000"/>
          <w:sz w:val="44"/>
          <w:szCs w:val="44"/>
        </w:rPr>
        <w:t>目  录</w:t>
      </w:r>
    </w:p>
    <w:p>
      <w:pPr>
        <w:pStyle w:val="2"/>
        <w:spacing w:line="600" w:lineRule="exact"/>
        <w:jc w:val="center"/>
        <w:rPr>
          <w:rFonts w:hAnsi="宋体" w:cs="宋体"/>
          <w:b/>
          <w:color w:val="000000"/>
          <w:sz w:val="52"/>
          <w:szCs w:val="52"/>
        </w:rPr>
      </w:pPr>
    </w:p>
    <w:p>
      <w:pPr>
        <w:pStyle w:val="2"/>
        <w:spacing w:line="700" w:lineRule="exact"/>
        <w:ind w:firstLine="0"/>
        <w:rPr>
          <w:rFonts w:ascii="楷体_GB2312" w:eastAsia="楷体_GB2312"/>
          <w:b/>
          <w:szCs w:val="32"/>
        </w:rPr>
      </w:pPr>
      <w:r>
        <w:rPr>
          <w:rFonts w:hint="eastAsia" w:ascii="楷体_GB2312" w:eastAsia="楷体_GB2312"/>
          <w:b/>
          <w:szCs w:val="32"/>
        </w:rPr>
        <w:t>第一部分   沈阳市浑南区人民法院概况</w:t>
      </w:r>
    </w:p>
    <w:p>
      <w:pPr>
        <w:pStyle w:val="2"/>
        <w:numPr>
          <w:ilvl w:val="0"/>
          <w:numId w:val="1"/>
        </w:numPr>
        <w:spacing w:line="700" w:lineRule="exact"/>
        <w:rPr>
          <w:szCs w:val="32"/>
        </w:rPr>
      </w:pPr>
      <w:r>
        <w:rPr>
          <w:rFonts w:hint="eastAsia"/>
          <w:szCs w:val="32"/>
        </w:rPr>
        <w:t>主要职责</w:t>
      </w:r>
    </w:p>
    <w:p>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pPr>
        <w:pStyle w:val="2"/>
        <w:spacing w:line="700" w:lineRule="exact"/>
        <w:ind w:firstLine="0"/>
        <w:rPr>
          <w:rFonts w:ascii="楷体_GB2312" w:eastAsia="楷体_GB2312"/>
          <w:b/>
          <w:szCs w:val="32"/>
        </w:rPr>
      </w:pPr>
      <w:r>
        <w:rPr>
          <w:rFonts w:hint="eastAsia" w:ascii="楷体_GB2312" w:eastAsia="楷体_GB2312"/>
          <w:b/>
          <w:szCs w:val="32"/>
        </w:rPr>
        <w:t>第二部分   沈阳市浑南区人民法院202</w:t>
      </w:r>
      <w:r>
        <w:rPr>
          <w:rFonts w:hint="eastAsia" w:ascii="楷体_GB2312" w:eastAsia="楷体_GB2312"/>
          <w:b/>
          <w:szCs w:val="32"/>
          <w:lang w:val="en-US" w:eastAsia="zh-CN"/>
        </w:rPr>
        <w:t>4</w:t>
      </w:r>
      <w:r>
        <w:rPr>
          <w:rFonts w:hint="eastAsia" w:ascii="楷体_GB2312" w:eastAsia="楷体_GB2312"/>
          <w:b/>
          <w:szCs w:val="32"/>
        </w:rPr>
        <w:t>年部门预算公开表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ascii="仿宋_GB2312" w:hAnsi="黑体" w:eastAsia="仿宋_GB2312"/>
          <w:sz w:val="32"/>
          <w:szCs w:val="32"/>
        </w:rPr>
      </w:pPr>
      <w:r>
        <w:rPr>
          <w:rFonts w:hint="eastAsia" w:ascii="仿宋_GB2312" w:hAnsi="黑体" w:eastAsia="仿宋_GB2312"/>
          <w:sz w:val="32"/>
          <w:szCs w:val="32"/>
        </w:rPr>
        <w:t>表2.收入预算总表</w:t>
      </w:r>
    </w:p>
    <w:p>
      <w:pPr>
        <w:rPr>
          <w:rFonts w:ascii="仿宋_GB2312" w:hAnsi="黑体" w:eastAsia="仿宋_GB2312"/>
          <w:sz w:val="32"/>
          <w:szCs w:val="32"/>
        </w:rPr>
      </w:pPr>
      <w:r>
        <w:rPr>
          <w:rFonts w:hint="eastAsia" w:ascii="仿宋_GB2312" w:hAnsi="黑体" w:eastAsia="仿宋_GB2312"/>
          <w:sz w:val="32"/>
          <w:szCs w:val="32"/>
        </w:rPr>
        <w:t>表3.支出预算总表</w:t>
      </w:r>
    </w:p>
    <w:p>
      <w:pPr>
        <w:rPr>
          <w:rFonts w:ascii="仿宋_GB2312" w:hAnsi="黑体" w:eastAsia="仿宋_GB2312"/>
          <w:sz w:val="32"/>
          <w:szCs w:val="32"/>
        </w:rPr>
      </w:pPr>
      <w:r>
        <w:rPr>
          <w:rFonts w:hint="eastAsia" w:ascii="仿宋_GB2312" w:hAnsi="黑体" w:eastAsia="仿宋_GB2312"/>
          <w:sz w:val="32"/>
          <w:szCs w:val="32"/>
        </w:rPr>
        <w:t>表4.财政拨款收支预算总表</w:t>
      </w:r>
    </w:p>
    <w:p>
      <w:pPr>
        <w:rPr>
          <w:rFonts w:ascii="仿宋_GB2312" w:hAnsi="黑体" w:eastAsia="仿宋_GB2312"/>
          <w:sz w:val="32"/>
          <w:szCs w:val="32"/>
        </w:rPr>
      </w:pPr>
      <w:r>
        <w:rPr>
          <w:rFonts w:hint="eastAsia" w:ascii="仿宋_GB2312" w:hAnsi="黑体" w:eastAsia="仿宋_GB2312"/>
          <w:sz w:val="32"/>
          <w:szCs w:val="32"/>
        </w:rPr>
        <w:t>表5.一般公共预算支出表</w:t>
      </w:r>
    </w:p>
    <w:p>
      <w:pPr>
        <w:rPr>
          <w:rFonts w:ascii="仿宋_GB2312" w:hAnsi="黑体" w:eastAsia="仿宋_GB2312"/>
          <w:sz w:val="32"/>
          <w:szCs w:val="32"/>
        </w:rPr>
      </w:pPr>
      <w:r>
        <w:rPr>
          <w:rFonts w:hint="eastAsia" w:ascii="仿宋_GB2312" w:hAnsi="黑体" w:eastAsia="仿宋_GB2312"/>
          <w:sz w:val="32"/>
          <w:szCs w:val="32"/>
        </w:rPr>
        <w:t>表6.一般公共预算基本支出表</w:t>
      </w:r>
    </w:p>
    <w:p>
      <w:pPr>
        <w:rPr>
          <w:rFonts w:ascii="仿宋_GB2312" w:hAnsi="黑体" w:eastAsia="仿宋_GB2312"/>
          <w:sz w:val="32"/>
          <w:szCs w:val="32"/>
        </w:rPr>
      </w:pPr>
      <w:r>
        <w:rPr>
          <w:rFonts w:hint="eastAsia" w:ascii="仿宋_GB2312" w:hAnsi="黑体" w:eastAsia="仿宋_GB2312"/>
          <w:sz w:val="32"/>
          <w:szCs w:val="32"/>
        </w:rPr>
        <w:t>表7.一般公共预算“三公”经费支出表</w:t>
      </w:r>
    </w:p>
    <w:p>
      <w:pPr>
        <w:rPr>
          <w:rFonts w:ascii="仿宋_GB2312" w:hAnsi="黑体" w:eastAsia="仿宋_GB2312"/>
          <w:sz w:val="32"/>
          <w:szCs w:val="32"/>
        </w:rPr>
      </w:pPr>
      <w:r>
        <w:rPr>
          <w:rFonts w:hint="eastAsia" w:ascii="仿宋_GB2312" w:hAnsi="黑体" w:eastAsia="仿宋_GB2312"/>
          <w:sz w:val="32"/>
          <w:szCs w:val="32"/>
        </w:rPr>
        <w:t>表8.政府性基金预算支出表</w:t>
      </w:r>
    </w:p>
    <w:p>
      <w:pPr>
        <w:rPr>
          <w:rFonts w:ascii="仿宋_GB2312" w:hAnsi="黑体" w:eastAsia="仿宋_GB2312"/>
          <w:sz w:val="32"/>
          <w:szCs w:val="32"/>
        </w:rPr>
      </w:pPr>
      <w:r>
        <w:rPr>
          <w:rFonts w:hint="eastAsia" w:ascii="仿宋_GB2312" w:hAnsi="黑体" w:eastAsia="仿宋_GB2312"/>
          <w:sz w:val="32"/>
          <w:szCs w:val="32"/>
        </w:rPr>
        <w:t>表9.项目支出预算表</w:t>
      </w:r>
    </w:p>
    <w:p>
      <w:pPr>
        <w:rPr>
          <w:rFonts w:ascii="仿宋_GB2312" w:hAnsi="黑体" w:eastAsia="仿宋_GB2312"/>
          <w:sz w:val="32"/>
          <w:szCs w:val="32"/>
        </w:rPr>
      </w:pPr>
      <w:r>
        <w:rPr>
          <w:rFonts w:hint="eastAsia" w:ascii="仿宋_GB2312" w:hAnsi="黑体" w:eastAsia="仿宋_GB2312"/>
          <w:sz w:val="32"/>
          <w:szCs w:val="32"/>
        </w:rPr>
        <w:t>表10.支出功能分类预算表</w:t>
      </w:r>
    </w:p>
    <w:p>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rPr>
          <w:rFonts w:ascii="仿宋_GB2312" w:hAnsi="黑体" w:eastAsia="仿宋_GB2312"/>
          <w:sz w:val="32"/>
          <w:szCs w:val="32"/>
        </w:rPr>
      </w:pPr>
      <w:r>
        <w:rPr>
          <w:rFonts w:hint="eastAsia" w:ascii="仿宋_GB2312" w:hAnsi="黑体" w:eastAsia="仿宋_GB2312"/>
          <w:sz w:val="32"/>
          <w:szCs w:val="32"/>
        </w:rPr>
        <w:t>表13.债务支出预算表</w:t>
      </w:r>
    </w:p>
    <w:p>
      <w:pPr>
        <w:rPr>
          <w:rFonts w:ascii="仿宋_GB2312" w:hAnsi="黑体" w:eastAsia="仿宋_GB2312"/>
          <w:sz w:val="32"/>
          <w:szCs w:val="32"/>
        </w:rPr>
      </w:pPr>
      <w:r>
        <w:rPr>
          <w:rFonts w:hint="eastAsia" w:ascii="仿宋_GB2312" w:hAnsi="黑体" w:eastAsia="仿宋_GB2312"/>
          <w:sz w:val="32"/>
          <w:szCs w:val="32"/>
        </w:rPr>
        <w:t>表14.政府采购支出预算表</w:t>
      </w:r>
    </w:p>
    <w:p>
      <w:pPr>
        <w:rPr>
          <w:rFonts w:ascii="仿宋_GB2312" w:hAnsi="黑体" w:eastAsia="仿宋_GB2312"/>
          <w:sz w:val="32"/>
          <w:szCs w:val="32"/>
        </w:rPr>
      </w:pPr>
      <w:r>
        <w:rPr>
          <w:rFonts w:hint="eastAsia" w:ascii="仿宋_GB2312" w:hAnsi="黑体" w:eastAsia="仿宋_GB2312"/>
          <w:sz w:val="32"/>
          <w:szCs w:val="32"/>
        </w:rPr>
        <w:t>表15.政府购买服务支出预算表</w:t>
      </w:r>
    </w:p>
    <w:p>
      <w:pPr>
        <w:rPr>
          <w:rFonts w:ascii="仿宋_GB2312" w:hAnsi="黑体" w:eastAsia="仿宋_GB2312"/>
          <w:sz w:val="32"/>
          <w:szCs w:val="32"/>
        </w:rPr>
      </w:pPr>
      <w:r>
        <w:rPr>
          <w:rFonts w:hint="eastAsia" w:ascii="仿宋_GB2312" w:hAnsi="黑体" w:eastAsia="仿宋_GB2312"/>
          <w:sz w:val="32"/>
          <w:szCs w:val="32"/>
        </w:rPr>
        <w:t>表16.部门（单位）整体绩效目标表</w:t>
      </w:r>
    </w:p>
    <w:p>
      <w:pPr>
        <w:rPr>
          <w:rFonts w:ascii="仿宋_GB2312" w:hAnsi="宋体" w:eastAsia="仿宋_GB2312"/>
          <w:sz w:val="32"/>
          <w:szCs w:val="32"/>
        </w:rPr>
      </w:pPr>
      <w:r>
        <w:rPr>
          <w:rFonts w:hint="eastAsia" w:ascii="仿宋_GB2312" w:hAnsi="黑体" w:eastAsia="仿宋_GB2312"/>
          <w:sz w:val="32"/>
          <w:szCs w:val="32"/>
        </w:rPr>
        <w:t>表17.部门预算项目（政策）绩效目标表</w:t>
      </w:r>
    </w:p>
    <w:p>
      <w:pPr>
        <w:pStyle w:val="2"/>
        <w:spacing w:line="700" w:lineRule="exact"/>
        <w:ind w:firstLine="0"/>
        <w:rPr>
          <w:rFonts w:ascii="楷体_GB2312" w:eastAsia="楷体_GB2312"/>
          <w:b/>
          <w:szCs w:val="32"/>
        </w:rPr>
      </w:pPr>
      <w:r>
        <w:rPr>
          <w:rFonts w:hint="eastAsia" w:ascii="楷体_GB2312" w:eastAsia="楷体_GB2312"/>
          <w:b/>
          <w:szCs w:val="32"/>
        </w:rPr>
        <w:t>第三部分   沈阳市浑南区人民法院202</w:t>
      </w:r>
      <w:r>
        <w:rPr>
          <w:rFonts w:hint="eastAsia" w:ascii="楷体_GB2312" w:eastAsia="楷体_GB2312"/>
          <w:b/>
          <w:szCs w:val="32"/>
          <w:lang w:val="en-US" w:eastAsia="zh-CN"/>
        </w:rPr>
        <w:t>4</w:t>
      </w:r>
      <w:r>
        <w:rPr>
          <w:rFonts w:hint="eastAsia" w:ascii="楷体_GB2312" w:eastAsia="楷体_GB2312"/>
          <w:b/>
          <w:szCs w:val="32"/>
        </w:rPr>
        <w:t>年部门预算情况说明</w:t>
      </w:r>
    </w:p>
    <w:p>
      <w:pPr>
        <w:pStyle w:val="2"/>
        <w:spacing w:line="700" w:lineRule="exact"/>
        <w:ind w:firstLine="0"/>
        <w:rPr>
          <w:rFonts w:ascii="楷体_GB2312" w:eastAsia="楷体_GB2312"/>
          <w:b/>
          <w:szCs w:val="32"/>
        </w:rPr>
      </w:pPr>
      <w:r>
        <w:rPr>
          <w:rFonts w:hint="eastAsia" w:ascii="楷体_GB2312" w:eastAsia="楷体_GB2312"/>
          <w:b/>
          <w:szCs w:val="32"/>
        </w:rPr>
        <w:t>第四部分   名词解释</w:t>
      </w:r>
    </w:p>
    <w:p>
      <w:pPr>
        <w:pStyle w:val="2"/>
        <w:pageBreakBefore/>
        <w:spacing w:afterLines="150" w:line="600" w:lineRule="exact"/>
        <w:ind w:firstLine="0"/>
        <w:jc w:val="center"/>
        <w:rPr>
          <w:rFonts w:ascii="宋体" w:hAnsi="宋体" w:eastAsia="宋体"/>
          <w:b/>
          <w:bCs/>
          <w:sz w:val="36"/>
          <w:szCs w:val="36"/>
        </w:rPr>
      </w:pPr>
      <w:r>
        <w:rPr>
          <w:rFonts w:hint="eastAsia" w:ascii="宋体" w:hAnsi="宋体" w:eastAsia="宋体"/>
          <w:b/>
          <w:sz w:val="36"/>
          <w:szCs w:val="36"/>
        </w:rPr>
        <w:t>第一部分  沈阳市浑南区人民法院</w:t>
      </w:r>
      <w:r>
        <w:rPr>
          <w:rFonts w:hint="eastAsia" w:ascii="宋体" w:hAnsi="宋体" w:eastAsia="宋体"/>
          <w:b/>
          <w:bCs/>
          <w:sz w:val="36"/>
          <w:szCs w:val="36"/>
        </w:rPr>
        <w:t>概况</w:t>
      </w:r>
    </w:p>
    <w:p>
      <w:pPr>
        <w:pStyle w:val="2"/>
        <w:spacing w:afterLines="50" w:line="600" w:lineRule="exact"/>
        <w:ind w:firstLine="640" w:firstLineChars="200"/>
        <w:rPr>
          <w:rFonts w:ascii="黑体" w:hAnsi="黑体" w:eastAsia="黑体"/>
          <w:b/>
          <w:bCs/>
          <w:szCs w:val="32"/>
        </w:rPr>
      </w:pPr>
      <w:r>
        <w:rPr>
          <w:rFonts w:hint="eastAsia" w:ascii="黑体" w:hAnsi="黑体" w:eastAsia="黑体"/>
          <w:b/>
          <w:bCs/>
          <w:szCs w:val="32"/>
        </w:rPr>
        <w:t>一、主要职责</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法院是司法(审判)机关，是负责审理案件，解决基本民事、行政、刑事案件纠纷的国家机构，拥有和行使调解的职能。</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沈阳市浑南区人民法院，是基层人民法院，是四级审判机关中最基础的组成部分。主要职责为：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（一）依照法律规定，基层人民法院应当依法在职权范围内受理和审理自诉和公诉的刑事、民事、行政等第一审案件。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（二）依法行使司法执行权和司法决定权。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（三）依法决定国家赔偿。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（四）行使审判监督职能。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（五）研究、征集对法律、法规、规章草案的意见；对案件审理中发现的问题提出司法建议。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（六）负责法院思想政治工作、教育培训工作；按照权限管理法官及其他人员；协助管理法院机构、人员编制工作；主管法院监察工作；</w:t>
      </w:r>
      <w:r>
        <w:rPr>
          <w:rFonts w:hint="eastAsia" w:ascii="仿宋_GB2312" w:hAnsi="微软雅黑" w:eastAsia="仿宋_GB2312" w:cs="Arial"/>
          <w:sz w:val="32"/>
          <w:szCs w:val="32"/>
        </w:rPr>
        <w:t>管理本院的经费、物质装备。</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（七）结合审判工作宣传法制，教育公民自觉遵守宪法和法律。 </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 xml:space="preserve">（八）协调、管理、监督人民陪审员和调解员的各项工作。 </w:t>
      </w:r>
    </w:p>
    <w:p>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（九）承办其他应由基层法院负责的工作。</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0" w:firstLineChars="200"/>
        <w:jc w:val="left"/>
        <w:rPr>
          <w:rFonts w:ascii="仿宋_GB2312" w:eastAsia="仿宋_GB2312"/>
          <w:sz w:val="32"/>
          <w:szCs w:val="32"/>
        </w:rPr>
      </w:pPr>
      <w:r>
        <w:rPr>
          <w:rFonts w:hint="eastAsia" w:ascii="仿宋_GB2312" w:eastAsia="仿宋_GB2312"/>
          <w:b/>
          <w:sz w:val="32"/>
          <w:szCs w:val="32"/>
        </w:rPr>
        <w:t>纳入沈阳市浑南区人民法院202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pPr>
        <w:autoSpaceDN w:val="0"/>
        <w:spacing w:line="600" w:lineRule="exact"/>
        <w:ind w:firstLine="640" w:firstLineChars="200"/>
        <w:rPr>
          <w:rFonts w:ascii="仿宋_GB2312" w:eastAsia="仿宋_GB2312"/>
          <w:sz w:val="32"/>
          <w:szCs w:val="32"/>
        </w:rPr>
      </w:pPr>
      <w:r>
        <w:rPr>
          <w:rFonts w:hint="eastAsia" w:ascii="仿宋_GB2312" w:eastAsia="仿宋_GB2312"/>
          <w:sz w:val="32"/>
          <w:szCs w:val="32"/>
        </w:rPr>
        <w:t>1、沈阳市浑南区人民法院本级</w:t>
      </w: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ind w:firstLine="1280" w:firstLineChars="400"/>
        <w:rPr>
          <w:rFonts w:ascii="仿宋_GB2312" w:eastAsia="仿宋_GB2312"/>
          <w:sz w:val="32"/>
          <w:szCs w:val="32"/>
        </w:rPr>
      </w:pPr>
    </w:p>
    <w:p>
      <w:pPr>
        <w:autoSpaceDN w:val="0"/>
        <w:spacing w:line="600" w:lineRule="exact"/>
        <w:rPr>
          <w:rFonts w:ascii="仿宋_GB2312" w:eastAsia="仿宋_GB2312"/>
          <w:sz w:val="32"/>
          <w:szCs w:val="32"/>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第二部分  沈阳市浑南区人民法院202</w:t>
      </w:r>
      <w:r>
        <w:rPr>
          <w:rFonts w:hint="eastAsia" w:ascii="宋体" w:hAnsi="宋体" w:eastAsia="宋体"/>
          <w:b/>
          <w:sz w:val="36"/>
          <w:szCs w:val="36"/>
          <w:lang w:val="en-US" w:eastAsia="zh-CN"/>
        </w:rPr>
        <w:t>4</w:t>
      </w:r>
      <w:r>
        <w:rPr>
          <w:rFonts w:hint="eastAsia" w:ascii="宋体" w:hAnsi="宋体" w:eastAsia="宋体"/>
          <w:b/>
          <w:sz w:val="36"/>
          <w:szCs w:val="36"/>
        </w:rPr>
        <w:t>年部门预算公开表</w:t>
      </w:r>
    </w:p>
    <w:p>
      <w:pPr>
        <w:autoSpaceDN w:val="0"/>
        <w:spacing w:line="600" w:lineRule="exact"/>
        <w:ind w:firstLine="1280" w:firstLineChars="400"/>
        <w:rPr>
          <w:rFonts w:ascii="仿宋_GB2312" w:eastAsia="仿宋_GB2312"/>
          <w:sz w:val="32"/>
          <w:szCs w:val="32"/>
        </w:rPr>
        <w:sectPr>
          <w:headerReference r:id="rId3" w:type="default"/>
          <w:footerReference r:id="rId4" w:type="default"/>
          <w:footerReference r:id="rId5" w:type="even"/>
          <w:pgSz w:w="11906" w:h="16838"/>
          <w:pgMar w:top="2098" w:right="1474" w:bottom="1928" w:left="1531" w:header="720" w:footer="720" w:gutter="0"/>
          <w:cols w:space="720" w:num="1"/>
          <w:docGrid w:type="linesAndChars" w:linePitch="286" w:charSpace="0"/>
        </w:sectPr>
      </w:pPr>
    </w:p>
    <w:p>
      <w:pPr>
        <w:pStyle w:val="2"/>
        <w:spacing w:line="600" w:lineRule="exact"/>
        <w:ind w:firstLine="0"/>
        <w:jc w:val="center"/>
        <w:rPr>
          <w:rFonts w:ascii="宋体" w:hAnsi="宋体" w:eastAsia="宋体"/>
          <w:b/>
          <w:sz w:val="36"/>
          <w:szCs w:val="36"/>
        </w:rPr>
      </w:pPr>
      <w:bookmarkStart w:id="0" w:name="RANGE!A1:K37"/>
      <w:bookmarkEnd w:id="0"/>
      <w:r>
        <w:rPr>
          <w:rFonts w:hint="eastAsia" w:ascii="宋体" w:hAnsi="宋体" w:eastAsia="宋体"/>
          <w:b/>
          <w:sz w:val="36"/>
          <w:szCs w:val="36"/>
        </w:rPr>
        <w:t>第三部分  沈阳市浑南区人民法院202</w:t>
      </w:r>
      <w:r>
        <w:rPr>
          <w:rFonts w:hint="eastAsia" w:ascii="宋体" w:hAnsi="宋体" w:eastAsia="宋体"/>
          <w:b/>
          <w:sz w:val="36"/>
          <w:szCs w:val="36"/>
          <w:lang w:val="en-US" w:eastAsia="zh-CN"/>
        </w:rPr>
        <w:t>4</w:t>
      </w:r>
      <w:r>
        <w:rPr>
          <w:rFonts w:hint="eastAsia" w:ascii="宋体" w:hAnsi="宋体" w:eastAsia="宋体"/>
          <w:b/>
          <w:sz w:val="36"/>
          <w:szCs w:val="36"/>
        </w:rPr>
        <w:t>年部门预算情况说明</w:t>
      </w:r>
    </w:p>
    <w:p>
      <w:pPr>
        <w:pStyle w:val="2"/>
        <w:spacing w:line="600" w:lineRule="exact"/>
        <w:ind w:firstLine="0"/>
        <w:jc w:val="center"/>
        <w:rPr>
          <w:rFonts w:ascii="宋体" w:hAnsi="宋体" w:eastAsia="宋体"/>
          <w:b/>
          <w:sz w:val="36"/>
          <w:szCs w:val="36"/>
        </w:rPr>
      </w:pPr>
    </w:p>
    <w:p>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一、关于沈阳市浑南区人民法院</w:t>
      </w:r>
      <w:r>
        <w:rPr>
          <w:rFonts w:ascii="黑体" w:hAnsi="宋体" w:eastAsia="黑体"/>
          <w:b/>
          <w:szCs w:val="32"/>
        </w:rPr>
        <w:t>20</w:t>
      </w:r>
      <w:r>
        <w:rPr>
          <w:rFonts w:hint="eastAsia" w:ascii="黑体" w:hAnsi="宋体" w:eastAsia="黑体"/>
          <w:b/>
          <w:szCs w:val="32"/>
        </w:rPr>
        <w:t>2</w:t>
      </w:r>
      <w:r>
        <w:rPr>
          <w:rFonts w:hint="eastAsia" w:ascii="黑体" w:hAnsi="宋体" w:eastAsia="黑体"/>
          <w:b/>
          <w:szCs w:val="32"/>
          <w:lang w:val="en-US" w:eastAsia="zh-CN"/>
        </w:rPr>
        <w:t>4</w:t>
      </w:r>
      <w:r>
        <w:rPr>
          <w:rFonts w:hint="eastAsia" w:ascii="黑体" w:hAnsi="宋体" w:eastAsia="黑体"/>
          <w:b/>
          <w:szCs w:val="32"/>
        </w:rPr>
        <w:t>年收支预算的总体说明</w:t>
      </w:r>
    </w:p>
    <w:p>
      <w:pPr>
        <w:pStyle w:val="2"/>
        <w:spacing w:line="360" w:lineRule="auto"/>
        <w:ind w:firstLine="660"/>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按照综合预算的原则，沈阳市浑南区人民法院所有收入和支出均纳入部门预算管理。收入包括：一般公共预算拨款收入 ；支出包括：公共安全支出、教育支出、社会保障和就业支出</w:t>
      </w:r>
      <w:r>
        <w:rPr>
          <w:rFonts w:hint="eastAsia"/>
          <w:color w:val="000000" w:themeColor="text1"/>
          <w:szCs w:val="32"/>
          <w:lang w:eastAsia="zh-CN"/>
          <w14:textFill>
            <w14:solidFill>
              <w14:schemeClr w14:val="tx1"/>
            </w14:solidFill>
          </w14:textFill>
        </w:rPr>
        <w:t>、</w:t>
      </w:r>
      <w:r>
        <w:rPr>
          <w:rFonts w:hint="eastAsia"/>
          <w:color w:val="000000" w:themeColor="text1"/>
          <w:szCs w:val="32"/>
          <w14:textFill>
            <w14:solidFill>
              <w14:schemeClr w14:val="tx1"/>
            </w14:solidFill>
          </w14:textFill>
        </w:rPr>
        <w:t>卫生健康支出</w:t>
      </w:r>
      <w:r>
        <w:rPr>
          <w:rFonts w:hint="eastAsia"/>
          <w:color w:val="000000" w:themeColor="text1"/>
          <w:szCs w:val="32"/>
          <w:lang w:val="en-US" w:eastAsia="zh-CN"/>
          <w14:textFill>
            <w14:solidFill>
              <w14:schemeClr w14:val="tx1"/>
            </w14:solidFill>
          </w14:textFill>
        </w:rPr>
        <w:t>及住房保障支出</w:t>
      </w:r>
      <w:r>
        <w:rPr>
          <w:rFonts w:hint="eastAsia"/>
          <w:color w:val="000000" w:themeColor="text1"/>
          <w:szCs w:val="32"/>
          <w14:textFill>
            <w14:solidFill>
              <w14:schemeClr w14:val="tx1"/>
            </w14:solidFill>
          </w14:textFill>
        </w:rPr>
        <w:t>。沈阳市浑南区人民法院</w:t>
      </w:r>
      <w:r>
        <w:rPr>
          <w:color w:val="000000" w:themeColor="text1"/>
          <w:szCs w:val="32"/>
          <w14:textFill>
            <w14:solidFill>
              <w14:schemeClr w14:val="tx1"/>
            </w14:solidFill>
          </w14:textFill>
        </w:rPr>
        <w:t>20</w:t>
      </w:r>
      <w:r>
        <w:rPr>
          <w:rFonts w:hint="eastAsia"/>
          <w:color w:val="000000" w:themeColor="text1"/>
          <w:szCs w:val="32"/>
          <w14:textFill>
            <w14:solidFill>
              <w14:schemeClr w14:val="tx1"/>
            </w14:solidFill>
          </w14:textFill>
        </w:rPr>
        <w:t>2</w:t>
      </w:r>
      <w:r>
        <w:rPr>
          <w:rFonts w:hint="eastAsia"/>
          <w:color w:val="000000" w:themeColor="text1"/>
          <w:szCs w:val="32"/>
          <w:lang w:val="en-US" w:eastAsia="zh-CN"/>
          <w14:textFill>
            <w14:solidFill>
              <w14:schemeClr w14:val="tx1"/>
            </w14:solidFill>
          </w14:textFill>
        </w:rPr>
        <w:t>4</w:t>
      </w:r>
      <w:r>
        <w:rPr>
          <w:rFonts w:hint="eastAsia"/>
          <w:color w:val="000000" w:themeColor="text1"/>
          <w:szCs w:val="32"/>
          <w14:textFill>
            <w14:solidFill>
              <w14:schemeClr w14:val="tx1"/>
            </w14:solidFill>
          </w14:textFill>
        </w:rPr>
        <w:t>年收支总预算</w:t>
      </w:r>
      <w:r>
        <w:rPr>
          <w:rFonts w:hint="eastAsia"/>
          <w:color w:val="000000" w:themeColor="text1"/>
          <w:szCs w:val="32"/>
          <w:lang w:val="en-US" w:eastAsia="zh-CN"/>
          <w14:textFill>
            <w14:solidFill>
              <w14:schemeClr w14:val="tx1"/>
            </w14:solidFill>
          </w14:textFill>
        </w:rPr>
        <w:t>8706.85</w:t>
      </w:r>
      <w:r>
        <w:rPr>
          <w:rFonts w:hint="eastAsia"/>
          <w:color w:val="000000" w:themeColor="text1"/>
          <w:szCs w:val="32"/>
          <w14:textFill>
            <w14:solidFill>
              <w14:schemeClr w14:val="tx1"/>
            </w14:solidFill>
          </w14:textFill>
        </w:rPr>
        <w:t>万元,比202</w:t>
      </w:r>
      <w:r>
        <w:rPr>
          <w:rFonts w:hint="eastAsia"/>
          <w:color w:val="000000" w:themeColor="text1"/>
          <w:szCs w:val="32"/>
          <w:lang w:val="en-US" w:eastAsia="zh-CN"/>
          <w14:textFill>
            <w14:solidFill>
              <w14:schemeClr w14:val="tx1"/>
            </w14:solidFill>
          </w14:textFill>
        </w:rPr>
        <w:t>3</w:t>
      </w:r>
      <w:r>
        <w:rPr>
          <w:rFonts w:hint="eastAsia"/>
          <w:color w:val="000000" w:themeColor="text1"/>
          <w:szCs w:val="32"/>
          <w14:textFill>
            <w14:solidFill>
              <w14:schemeClr w14:val="tx1"/>
            </w14:solidFill>
          </w14:textFill>
        </w:rPr>
        <w:t>年收支总预算</w:t>
      </w:r>
      <w:r>
        <w:rPr>
          <w:rFonts w:hint="eastAsia"/>
          <w:color w:val="000000" w:themeColor="text1"/>
          <w:szCs w:val="32"/>
          <w:lang w:val="en-US" w:eastAsia="zh-CN"/>
          <w14:textFill>
            <w14:solidFill>
              <w14:schemeClr w14:val="tx1"/>
            </w14:solidFill>
          </w14:textFill>
        </w:rPr>
        <w:t>9733.92</w:t>
      </w:r>
      <w:r>
        <w:rPr>
          <w:rFonts w:hint="eastAsia"/>
          <w:color w:val="000000" w:themeColor="text1"/>
          <w:szCs w:val="32"/>
          <w14:textFill>
            <w14:solidFill>
              <w14:schemeClr w14:val="tx1"/>
            </w14:solidFill>
          </w14:textFill>
        </w:rPr>
        <w:t>万元减少了</w:t>
      </w:r>
      <w:r>
        <w:rPr>
          <w:rFonts w:hint="eastAsia"/>
          <w:color w:val="000000" w:themeColor="text1"/>
          <w:szCs w:val="32"/>
          <w:lang w:val="en-US" w:eastAsia="zh-CN"/>
          <w14:textFill>
            <w14:solidFill>
              <w14:schemeClr w14:val="tx1"/>
            </w14:solidFill>
          </w14:textFill>
        </w:rPr>
        <w:t>1027.07</w:t>
      </w:r>
      <w:r>
        <w:rPr>
          <w:rFonts w:hint="eastAsia"/>
          <w:color w:val="000000" w:themeColor="text1"/>
          <w:szCs w:val="32"/>
          <w14:textFill>
            <w14:solidFill>
              <w14:schemeClr w14:val="tx1"/>
            </w14:solidFill>
          </w14:textFill>
        </w:rPr>
        <w:t>万元，主要是由于202</w:t>
      </w:r>
      <w:r>
        <w:rPr>
          <w:rFonts w:hint="eastAsia"/>
          <w:color w:val="000000" w:themeColor="text1"/>
          <w:szCs w:val="32"/>
          <w:lang w:val="en-US" w:eastAsia="zh-CN"/>
          <w14:textFill>
            <w14:solidFill>
              <w14:schemeClr w14:val="tx1"/>
            </w14:solidFill>
          </w14:textFill>
        </w:rPr>
        <w:t>4</w:t>
      </w:r>
      <w:r>
        <w:rPr>
          <w:rFonts w:hint="eastAsia"/>
          <w:color w:val="000000" w:themeColor="text1"/>
          <w:szCs w:val="32"/>
          <w14:textFill>
            <w14:solidFill>
              <w14:schemeClr w14:val="tx1"/>
            </w14:solidFill>
          </w14:textFill>
        </w:rPr>
        <w:t>年沈阳市浑南区人民法院</w:t>
      </w:r>
      <w:r>
        <w:rPr>
          <w:rFonts w:hint="eastAsia"/>
          <w:color w:val="000000" w:themeColor="text1"/>
          <w:szCs w:val="32"/>
          <w:lang w:val="en-US" w:eastAsia="zh-CN"/>
          <w14:textFill>
            <w14:solidFill>
              <w14:schemeClr w14:val="tx1"/>
            </w14:solidFill>
          </w14:textFill>
        </w:rPr>
        <w:t>本着厉行节约的原则，压缩了部分</w:t>
      </w:r>
      <w:r>
        <w:rPr>
          <w:rFonts w:hint="eastAsia"/>
          <w:color w:val="000000" w:themeColor="text1"/>
          <w:szCs w:val="32"/>
          <w14:textFill>
            <w14:solidFill>
              <w14:schemeClr w14:val="tx1"/>
            </w14:solidFill>
          </w14:textFill>
        </w:rPr>
        <w:t>项目</w:t>
      </w:r>
      <w:r>
        <w:rPr>
          <w:rFonts w:hint="eastAsia"/>
          <w:color w:val="000000" w:themeColor="text1"/>
          <w:szCs w:val="32"/>
          <w:lang w:val="en-US" w:eastAsia="zh-CN"/>
          <w14:textFill>
            <w14:solidFill>
              <w14:schemeClr w14:val="tx1"/>
            </w14:solidFill>
          </w14:textFill>
        </w:rPr>
        <w:t>经费</w:t>
      </w:r>
      <w:r>
        <w:rPr>
          <w:rFonts w:hint="eastAsia"/>
          <w:color w:val="000000" w:themeColor="text1"/>
          <w:szCs w:val="32"/>
          <w14:textFill>
            <w14:solidFill>
              <w14:schemeClr w14:val="tx1"/>
            </w14:solidFill>
          </w14:textFill>
        </w:rPr>
        <w:t>，使得项目支出有所减少。</w:t>
      </w:r>
    </w:p>
    <w:p>
      <w:pPr>
        <w:pStyle w:val="2"/>
        <w:spacing w:beforeLines="50" w:line="360" w:lineRule="auto"/>
        <w:ind w:firstLine="630" w:firstLineChars="196"/>
        <w:rPr>
          <w:rFonts w:ascii="黑体" w:hAnsi="宋体" w:eastAsia="黑体"/>
          <w:b/>
          <w:szCs w:val="32"/>
        </w:rPr>
      </w:pPr>
      <w:r>
        <w:rPr>
          <w:rFonts w:hint="eastAsia" w:ascii="黑体" w:hAnsi="宋体" w:eastAsia="黑体"/>
          <w:b/>
          <w:szCs w:val="32"/>
        </w:rPr>
        <w:t>二、关于沈阳市浑南区人民法院一般公共预算</w:t>
      </w:r>
      <w:r>
        <w:rPr>
          <w:rFonts w:ascii="黑体" w:hAnsi="宋体" w:eastAsia="黑体"/>
          <w:b/>
          <w:szCs w:val="32"/>
        </w:rPr>
        <w:t>20</w:t>
      </w:r>
      <w:r>
        <w:rPr>
          <w:rFonts w:hint="eastAsia" w:ascii="黑体" w:hAnsi="宋体" w:eastAsia="黑体"/>
          <w:b/>
          <w:szCs w:val="32"/>
        </w:rPr>
        <w:t>2</w:t>
      </w:r>
      <w:r>
        <w:rPr>
          <w:rFonts w:hint="eastAsia" w:ascii="黑体" w:hAnsi="宋体" w:eastAsia="黑体"/>
          <w:b/>
          <w:szCs w:val="32"/>
          <w:lang w:val="en-US" w:eastAsia="zh-CN"/>
        </w:rPr>
        <w:t>4</w:t>
      </w:r>
      <w:r>
        <w:rPr>
          <w:rFonts w:hint="eastAsia" w:ascii="黑体" w:hAnsi="宋体" w:eastAsia="黑体"/>
          <w:b/>
          <w:szCs w:val="32"/>
        </w:rPr>
        <w:t>年“三公”经费预算支出情况说明</w:t>
      </w:r>
    </w:p>
    <w:p>
      <w:pPr>
        <w:pStyle w:val="2"/>
        <w:spacing w:line="360" w:lineRule="auto"/>
        <w:ind w:firstLine="660"/>
        <w:rPr>
          <w:szCs w:val="32"/>
        </w:rPr>
      </w:pPr>
      <w:r>
        <w:rPr>
          <w:szCs w:val="32"/>
        </w:rPr>
        <w:t>20</w:t>
      </w:r>
      <w:r>
        <w:rPr>
          <w:rFonts w:hint="eastAsia"/>
          <w:szCs w:val="32"/>
        </w:rPr>
        <w:t>2</w:t>
      </w:r>
      <w:r>
        <w:rPr>
          <w:rFonts w:hint="eastAsia"/>
          <w:szCs w:val="32"/>
          <w:lang w:val="en-US" w:eastAsia="zh-CN"/>
        </w:rPr>
        <w:t>4</w:t>
      </w:r>
      <w:r>
        <w:rPr>
          <w:rFonts w:hint="eastAsia"/>
          <w:szCs w:val="32"/>
        </w:rPr>
        <w:t>年沈阳市浑南区人民法院“三公”经费预算安排数</w:t>
      </w:r>
      <w:r>
        <w:rPr>
          <w:rFonts w:hint="eastAsia"/>
          <w:szCs w:val="32"/>
          <w:lang w:val="en-US" w:eastAsia="zh-CN"/>
        </w:rPr>
        <w:t>75.6</w:t>
      </w:r>
      <w:r>
        <w:rPr>
          <w:rFonts w:hint="eastAsia"/>
          <w:szCs w:val="32"/>
        </w:rPr>
        <w:t>万元，其中：因公出国（境）费0万元，公务接待费0万元，</w:t>
      </w:r>
      <w:r>
        <w:rPr>
          <w:rFonts w:hint="eastAsia" w:hAnsi="宋体"/>
          <w:szCs w:val="32"/>
        </w:rPr>
        <w:t>公务用车运行费</w:t>
      </w:r>
      <w:r>
        <w:rPr>
          <w:rFonts w:hint="eastAsia" w:hAnsi="宋体"/>
          <w:szCs w:val="32"/>
          <w:lang w:val="en-US" w:eastAsia="zh-CN"/>
        </w:rPr>
        <w:t>75.6</w:t>
      </w:r>
      <w:r>
        <w:rPr>
          <w:rFonts w:hint="eastAsia" w:hAnsi="宋体"/>
          <w:szCs w:val="32"/>
        </w:rPr>
        <w:t>万元，公务用车购置费</w:t>
      </w:r>
      <w:r>
        <w:rPr>
          <w:rFonts w:hint="eastAsia" w:hAnsi="宋体"/>
          <w:szCs w:val="32"/>
          <w:lang w:val="en-US" w:eastAsia="zh-CN"/>
        </w:rPr>
        <w:t>0</w:t>
      </w:r>
      <w:r>
        <w:rPr>
          <w:rFonts w:hint="eastAsia" w:hAnsi="宋体"/>
          <w:szCs w:val="32"/>
        </w:rPr>
        <w:t>万元。</w:t>
      </w:r>
      <w:r>
        <w:rPr>
          <w:rFonts w:hint="eastAsia"/>
          <w:szCs w:val="32"/>
        </w:rPr>
        <w:t>202</w:t>
      </w:r>
      <w:r>
        <w:rPr>
          <w:rFonts w:hint="eastAsia"/>
          <w:szCs w:val="32"/>
          <w:lang w:val="en-US" w:eastAsia="zh-CN"/>
        </w:rPr>
        <w:t>4</w:t>
      </w:r>
      <w:r>
        <w:rPr>
          <w:rFonts w:hint="eastAsia"/>
          <w:szCs w:val="32"/>
        </w:rPr>
        <w:t>年预算数比202</w:t>
      </w:r>
      <w:r>
        <w:rPr>
          <w:rFonts w:hint="eastAsia"/>
          <w:szCs w:val="32"/>
          <w:lang w:val="en-US" w:eastAsia="zh-CN"/>
        </w:rPr>
        <w:t>3</w:t>
      </w:r>
      <w:r>
        <w:rPr>
          <w:rFonts w:hint="eastAsia"/>
          <w:szCs w:val="32"/>
        </w:rPr>
        <w:t>年预算数减少</w:t>
      </w:r>
      <w:r>
        <w:rPr>
          <w:rFonts w:hint="eastAsia"/>
          <w:szCs w:val="32"/>
          <w:lang w:val="en-US" w:eastAsia="zh-CN"/>
        </w:rPr>
        <w:t>56.4</w:t>
      </w:r>
      <w:r>
        <w:rPr>
          <w:rFonts w:hint="eastAsia" w:hAnsi="宋体"/>
          <w:szCs w:val="32"/>
        </w:rPr>
        <w:t>万元，其中：因公出国（境）费与202</w:t>
      </w:r>
      <w:r>
        <w:rPr>
          <w:rFonts w:hint="eastAsia" w:hAnsi="宋体"/>
          <w:szCs w:val="32"/>
          <w:lang w:val="en-US" w:eastAsia="zh-CN"/>
        </w:rPr>
        <w:t>3</w:t>
      </w:r>
      <w:r>
        <w:rPr>
          <w:rFonts w:hint="eastAsia" w:hAnsi="宋体"/>
          <w:szCs w:val="32"/>
        </w:rPr>
        <w:t>年预算数相同；公务接待费与202</w:t>
      </w:r>
      <w:r>
        <w:rPr>
          <w:rFonts w:hint="eastAsia" w:hAnsi="宋体"/>
          <w:szCs w:val="32"/>
          <w:lang w:val="en-US" w:eastAsia="zh-CN"/>
        </w:rPr>
        <w:t>3</w:t>
      </w:r>
      <w:r>
        <w:rPr>
          <w:rFonts w:hint="eastAsia" w:hAnsi="宋体"/>
          <w:szCs w:val="32"/>
        </w:rPr>
        <w:t>年预算数相同；公务用车运行费</w:t>
      </w:r>
      <w:r>
        <w:rPr>
          <w:rFonts w:hint="eastAsia" w:hAnsi="宋体"/>
          <w:szCs w:val="32"/>
          <w:lang w:val="en-US" w:eastAsia="zh-CN"/>
        </w:rPr>
        <w:t>比</w:t>
      </w:r>
      <w:r>
        <w:rPr>
          <w:rFonts w:hint="eastAsia" w:hAnsi="宋体"/>
          <w:szCs w:val="32"/>
        </w:rPr>
        <w:t>202</w:t>
      </w:r>
      <w:r>
        <w:rPr>
          <w:rFonts w:hint="eastAsia" w:hAnsi="宋体"/>
          <w:szCs w:val="32"/>
          <w:lang w:val="en-US" w:eastAsia="zh-CN"/>
        </w:rPr>
        <w:t>3</w:t>
      </w:r>
      <w:r>
        <w:rPr>
          <w:rFonts w:hint="eastAsia" w:hAnsi="宋体"/>
          <w:szCs w:val="32"/>
        </w:rPr>
        <w:t>年预算数</w:t>
      </w:r>
      <w:r>
        <w:rPr>
          <w:rFonts w:hint="eastAsia" w:hAnsi="宋体"/>
          <w:szCs w:val="32"/>
          <w:lang w:val="en-US" w:eastAsia="zh-CN"/>
        </w:rPr>
        <w:t>减少8.4万元，主要是由于我院根据经费状况，结合车辆运行情况，</w:t>
      </w:r>
      <w:r>
        <w:rPr>
          <w:rFonts w:hint="eastAsia" w:hAnsi="宋体"/>
          <w:szCs w:val="32"/>
        </w:rPr>
        <w:t>本着厉行节约的原则，</w:t>
      </w:r>
      <w:r>
        <w:rPr>
          <w:rFonts w:hint="eastAsia" w:hAnsi="宋体"/>
          <w:szCs w:val="32"/>
          <w:lang w:val="en-US" w:eastAsia="zh-CN"/>
        </w:rPr>
        <w:t>做了适度压缩，</w:t>
      </w:r>
      <w:r>
        <w:rPr>
          <w:rFonts w:hint="eastAsia"/>
          <w:szCs w:val="32"/>
        </w:rPr>
        <w:t>所以202</w:t>
      </w:r>
      <w:r>
        <w:rPr>
          <w:rFonts w:hint="eastAsia"/>
          <w:szCs w:val="32"/>
          <w:lang w:val="en-US" w:eastAsia="zh-CN"/>
        </w:rPr>
        <w:t>4</w:t>
      </w:r>
      <w:r>
        <w:rPr>
          <w:rFonts w:hint="eastAsia"/>
          <w:szCs w:val="32"/>
        </w:rPr>
        <w:t>年减少了公务用车</w:t>
      </w:r>
      <w:r>
        <w:rPr>
          <w:rFonts w:hint="eastAsia"/>
          <w:szCs w:val="32"/>
          <w:lang w:val="en-US" w:eastAsia="zh-CN"/>
        </w:rPr>
        <w:t>运行</w:t>
      </w:r>
      <w:r>
        <w:rPr>
          <w:rFonts w:hint="eastAsia"/>
          <w:szCs w:val="32"/>
        </w:rPr>
        <w:t>费</w:t>
      </w:r>
      <w:r>
        <w:rPr>
          <w:rFonts w:hint="eastAsia" w:hAnsi="宋体"/>
          <w:szCs w:val="32"/>
        </w:rPr>
        <w:t>；公务用车购置费比202</w:t>
      </w:r>
      <w:r>
        <w:rPr>
          <w:rFonts w:hint="eastAsia" w:hAnsi="宋体"/>
          <w:szCs w:val="32"/>
          <w:lang w:val="en-US" w:eastAsia="zh-CN"/>
        </w:rPr>
        <w:t>3</w:t>
      </w:r>
      <w:r>
        <w:rPr>
          <w:rFonts w:hint="eastAsia" w:hAnsi="宋体"/>
          <w:szCs w:val="32"/>
        </w:rPr>
        <w:t>年预算数减少</w:t>
      </w:r>
      <w:r>
        <w:rPr>
          <w:rFonts w:hint="eastAsia" w:hAnsi="宋体"/>
          <w:szCs w:val="32"/>
          <w:lang w:val="en-US" w:eastAsia="zh-CN"/>
        </w:rPr>
        <w:t>48</w:t>
      </w:r>
      <w:r>
        <w:rPr>
          <w:rFonts w:hint="eastAsia" w:hAnsi="宋体"/>
          <w:szCs w:val="32"/>
        </w:rPr>
        <w:t>万元，主要是由于我院根据经费状况，本着厉行节约的原则，在维持现有车辆能够保障法院基本执法办案需求的前提下，视车况逐步更新，</w:t>
      </w:r>
      <w:r>
        <w:rPr>
          <w:rFonts w:hint="eastAsia"/>
          <w:szCs w:val="32"/>
        </w:rPr>
        <w:t>所以202</w:t>
      </w:r>
      <w:r>
        <w:rPr>
          <w:rFonts w:hint="eastAsia"/>
          <w:szCs w:val="32"/>
          <w:lang w:val="en-US" w:eastAsia="zh-CN"/>
        </w:rPr>
        <w:t>4</w:t>
      </w:r>
      <w:r>
        <w:rPr>
          <w:rFonts w:hint="eastAsia"/>
          <w:szCs w:val="32"/>
        </w:rPr>
        <w:t>年减少了公务用车购置费。</w:t>
      </w:r>
    </w:p>
    <w:p>
      <w:pPr>
        <w:pStyle w:val="2"/>
        <w:spacing w:line="360" w:lineRule="auto"/>
        <w:ind w:firstLine="643" w:firstLineChars="200"/>
        <w:rPr>
          <w:szCs w:val="32"/>
        </w:rPr>
      </w:pPr>
      <w:r>
        <w:rPr>
          <w:rFonts w:hint="eastAsia" w:ascii="黑体" w:hAnsi="黑体" w:eastAsia="黑体"/>
          <w:b/>
          <w:szCs w:val="32"/>
        </w:rPr>
        <w:t>三、其他重要事项的情况说明</w:t>
      </w:r>
    </w:p>
    <w:p>
      <w:pPr>
        <w:spacing w:beforeLines="50" w:line="360" w:lineRule="auto"/>
        <w:ind w:firstLine="640" w:firstLineChars="200"/>
        <w:rPr>
          <w:rFonts w:ascii="楷体_GB2312" w:hAnsi="宋体" w:eastAsia="楷体_GB2312"/>
          <w:sz w:val="32"/>
          <w:szCs w:val="32"/>
        </w:rPr>
      </w:pPr>
      <w:r>
        <w:rPr>
          <w:rFonts w:hint="eastAsia" w:ascii="楷体_GB2312" w:hAnsi="宋体" w:eastAsia="楷体_GB2312"/>
          <w:sz w:val="32"/>
          <w:szCs w:val="32"/>
        </w:rPr>
        <w:t>（一）机关运行经费安排情况</w:t>
      </w:r>
    </w:p>
    <w:p>
      <w:pPr>
        <w:pStyle w:val="2"/>
        <w:spacing w:before="50" w:line="360" w:lineRule="auto"/>
        <w:ind w:firstLine="640" w:firstLineChars="200"/>
        <w:rPr>
          <w:rFonts w:hAnsi="宋体"/>
          <w:szCs w:val="32"/>
        </w:rPr>
      </w:pPr>
      <w:r>
        <w:rPr>
          <w:rFonts w:hint="eastAsia" w:hAnsi="宋体"/>
          <w:szCs w:val="32"/>
        </w:rPr>
        <w:t>202</w:t>
      </w:r>
      <w:r>
        <w:rPr>
          <w:rFonts w:hint="eastAsia" w:hAnsi="宋体"/>
          <w:szCs w:val="32"/>
          <w:lang w:val="en-US" w:eastAsia="zh-CN"/>
        </w:rPr>
        <w:t>4</w:t>
      </w:r>
      <w:r>
        <w:rPr>
          <w:rFonts w:hint="eastAsia" w:hAnsi="宋体"/>
          <w:szCs w:val="32"/>
        </w:rPr>
        <w:t>年沈阳市浑南区人民法院本级机关运行经费财政拨款预算</w:t>
      </w:r>
      <w:r>
        <w:rPr>
          <w:rFonts w:hint="eastAsia" w:hAnsi="宋体"/>
          <w:szCs w:val="32"/>
          <w:lang w:val="en-US" w:eastAsia="zh-CN"/>
        </w:rPr>
        <w:t>269.57</w:t>
      </w:r>
      <w:r>
        <w:rPr>
          <w:rFonts w:hint="eastAsia" w:hAnsi="宋体"/>
          <w:szCs w:val="32"/>
        </w:rPr>
        <w:t>万元，比202</w:t>
      </w:r>
      <w:r>
        <w:rPr>
          <w:rFonts w:hint="eastAsia" w:hAnsi="宋体"/>
          <w:szCs w:val="32"/>
          <w:lang w:val="en-US" w:eastAsia="zh-CN"/>
        </w:rPr>
        <w:t>3</w:t>
      </w:r>
      <w:r>
        <w:rPr>
          <w:rFonts w:hint="eastAsia" w:hAnsi="宋体"/>
          <w:szCs w:val="32"/>
        </w:rPr>
        <w:t>年预算</w:t>
      </w:r>
      <w:r>
        <w:rPr>
          <w:rFonts w:hint="eastAsia" w:hAnsi="宋体"/>
          <w:szCs w:val="32"/>
          <w:lang w:val="en-US" w:eastAsia="zh-CN"/>
        </w:rPr>
        <w:t>268</w:t>
      </w:r>
      <w:r>
        <w:rPr>
          <w:rFonts w:hint="eastAsia" w:hAnsi="宋体"/>
          <w:szCs w:val="32"/>
        </w:rPr>
        <w:t>万元</w:t>
      </w:r>
      <w:r>
        <w:rPr>
          <w:rFonts w:hint="eastAsia" w:hAnsi="宋体"/>
          <w:szCs w:val="32"/>
          <w:lang w:val="en-US" w:eastAsia="zh-CN"/>
        </w:rPr>
        <w:t>增加</w:t>
      </w:r>
      <w:r>
        <w:rPr>
          <w:rFonts w:hint="eastAsia" w:hAnsi="宋体"/>
          <w:szCs w:val="32"/>
        </w:rPr>
        <w:t>了</w:t>
      </w:r>
      <w:r>
        <w:rPr>
          <w:rFonts w:hint="eastAsia" w:hAnsi="宋体"/>
          <w:szCs w:val="32"/>
          <w:lang w:val="en-US" w:eastAsia="zh-CN"/>
        </w:rPr>
        <w:t>1.57</w:t>
      </w:r>
      <w:r>
        <w:rPr>
          <w:rFonts w:hint="eastAsia" w:hAnsi="宋体"/>
          <w:szCs w:val="32"/>
        </w:rPr>
        <w:t>万元，</w:t>
      </w:r>
      <w:r>
        <w:rPr>
          <w:rFonts w:hint="eastAsia" w:hAnsi="宋体"/>
          <w:szCs w:val="32"/>
          <w:lang w:val="en-US" w:eastAsia="zh-CN"/>
        </w:rPr>
        <w:t>增加0.59</w:t>
      </w:r>
      <w:r>
        <w:rPr>
          <w:rFonts w:hint="eastAsia" w:hAnsi="宋体"/>
          <w:szCs w:val="32"/>
        </w:rPr>
        <w:t>%。</w:t>
      </w:r>
    </w:p>
    <w:p>
      <w:pPr>
        <w:spacing w:before="50" w:line="360" w:lineRule="auto"/>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pPr>
        <w:pStyle w:val="2"/>
        <w:spacing w:before="50" w:line="360" w:lineRule="auto"/>
        <w:ind w:firstLine="640" w:firstLineChars="200"/>
        <w:rPr>
          <w:rFonts w:hAnsi="宋体"/>
          <w:color w:val="000000" w:themeColor="text1"/>
          <w:szCs w:val="32"/>
          <w14:textFill>
            <w14:solidFill>
              <w14:schemeClr w14:val="tx1"/>
            </w14:solidFill>
          </w14:textFill>
        </w:rPr>
      </w:pPr>
      <w:r>
        <w:rPr>
          <w:rFonts w:hint="eastAsia" w:hAnsi="宋体"/>
          <w:color w:val="000000" w:themeColor="text1"/>
          <w:szCs w:val="32"/>
          <w14:textFill>
            <w14:solidFill>
              <w14:schemeClr w14:val="tx1"/>
            </w14:solidFill>
          </w14:textFill>
        </w:rPr>
        <w:t>202</w:t>
      </w:r>
      <w:r>
        <w:rPr>
          <w:rFonts w:hint="eastAsia" w:hAnsi="宋体"/>
          <w:color w:val="000000" w:themeColor="text1"/>
          <w:szCs w:val="32"/>
          <w:lang w:val="en-US" w:eastAsia="zh-CN"/>
          <w14:textFill>
            <w14:solidFill>
              <w14:schemeClr w14:val="tx1"/>
            </w14:solidFill>
          </w14:textFill>
        </w:rPr>
        <w:t>4</w:t>
      </w:r>
      <w:r>
        <w:rPr>
          <w:rFonts w:hint="eastAsia" w:hAnsi="宋体"/>
          <w:color w:val="000000" w:themeColor="text1"/>
          <w:szCs w:val="32"/>
          <w14:textFill>
            <w14:solidFill>
              <w14:schemeClr w14:val="tx1"/>
            </w14:solidFill>
          </w14:textFill>
        </w:rPr>
        <w:t>年沈阳市浑南区人民法院政府采购预算总额</w:t>
      </w:r>
      <w:r>
        <w:rPr>
          <w:rFonts w:hint="eastAsia" w:hAnsi="宋体"/>
          <w:color w:val="000000" w:themeColor="text1"/>
          <w:szCs w:val="32"/>
          <w:lang w:val="en-US" w:eastAsia="zh-CN"/>
          <w14:textFill>
            <w14:solidFill>
              <w14:schemeClr w14:val="tx1"/>
            </w14:solidFill>
          </w14:textFill>
        </w:rPr>
        <w:t>636.3</w:t>
      </w:r>
      <w:r>
        <w:rPr>
          <w:rFonts w:hint="eastAsia" w:hAnsi="宋体"/>
          <w:color w:val="000000" w:themeColor="text1"/>
          <w:szCs w:val="32"/>
          <w14:textFill>
            <w14:solidFill>
              <w14:schemeClr w14:val="tx1"/>
            </w14:solidFill>
          </w14:textFill>
        </w:rPr>
        <w:t>万元。</w:t>
      </w:r>
    </w:p>
    <w:p>
      <w:pPr>
        <w:spacing w:line="360" w:lineRule="auto"/>
        <w:ind w:firstLine="646"/>
        <w:rPr>
          <w:rFonts w:ascii="仿宋_GB2312" w:hAnsi="宋体" w:eastAsia="仿宋_GB2312"/>
          <w:sz w:val="32"/>
          <w:szCs w:val="32"/>
        </w:rPr>
      </w:pPr>
      <w:r>
        <w:rPr>
          <w:rFonts w:hint="eastAsia" w:ascii="仿宋_GB2312" w:hAnsi="宋体" w:eastAsia="仿宋_GB2312"/>
          <w:sz w:val="32"/>
          <w:szCs w:val="32"/>
        </w:rPr>
        <w:t>（三）国有资产占有使用情况</w:t>
      </w:r>
    </w:p>
    <w:p>
      <w:pPr>
        <w:spacing w:line="360" w:lineRule="auto"/>
        <w:ind w:firstLine="646"/>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截至202</w:t>
      </w:r>
      <w:r>
        <w:rPr>
          <w:rFonts w:hint="eastAsia" w:ascii="仿宋_GB2312" w:hAnsi="宋体" w:eastAsia="仿宋_GB2312"/>
          <w:color w:val="000000" w:themeColor="text1"/>
          <w:sz w:val="32"/>
          <w:szCs w:val="32"/>
          <w:lang w:val="en-US" w:eastAsia="zh-CN"/>
          <w14:textFill>
            <w14:solidFill>
              <w14:schemeClr w14:val="tx1"/>
            </w14:solidFill>
          </w14:textFill>
        </w:rPr>
        <w:t>3</w:t>
      </w:r>
      <w:r>
        <w:rPr>
          <w:rFonts w:hint="eastAsia" w:ascii="仿宋_GB2312" w:hAnsi="宋体" w:eastAsia="仿宋_GB2312"/>
          <w:color w:val="000000" w:themeColor="text1"/>
          <w:sz w:val="32"/>
          <w:szCs w:val="32"/>
          <w14:textFill>
            <w14:solidFill>
              <w14:schemeClr w14:val="tx1"/>
            </w14:solidFill>
          </w14:textFill>
        </w:rPr>
        <w:t>年12月31日，沈阳市浑南区人民法院共有车辆28辆</w:t>
      </w:r>
      <w:r>
        <w:rPr>
          <w:rFonts w:hint="eastAsia" w:ascii="仿宋_GB2312" w:hAnsi="宋体" w:eastAsia="仿宋_GB2312"/>
          <w:sz w:val="32"/>
          <w:szCs w:val="32"/>
        </w:rPr>
        <w:t>，其中：</w:t>
      </w:r>
      <w:r>
        <w:rPr>
          <w:rFonts w:hint="eastAsia" w:ascii="仿宋_GB2312" w:hAnsi="宋体" w:eastAsia="仿宋_GB2312"/>
          <w:color w:val="000000" w:themeColor="text1"/>
          <w:sz w:val="32"/>
          <w:szCs w:val="32"/>
          <w14:textFill>
            <w14:solidFill>
              <w14:schemeClr w14:val="tx1"/>
            </w14:solidFill>
          </w14:textFill>
        </w:rPr>
        <w:t>一般执法执勤用车28辆。单位价值200 万元以上大型设备0台。</w:t>
      </w:r>
    </w:p>
    <w:p>
      <w:pPr>
        <w:spacing w:line="360" w:lineRule="auto"/>
        <w:ind w:firstLine="645"/>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202</w:t>
      </w:r>
      <w:r>
        <w:rPr>
          <w:rFonts w:hint="eastAsia" w:ascii="仿宋_GB2312" w:hAnsi="宋体" w:eastAsia="仿宋_GB2312"/>
          <w:color w:val="000000" w:themeColor="text1"/>
          <w:sz w:val="32"/>
          <w:szCs w:val="32"/>
          <w:lang w:val="en-US" w:eastAsia="zh-CN"/>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年部门预算安排购置车辆</w:t>
      </w:r>
      <w:r>
        <w:rPr>
          <w:rFonts w:hint="eastAsia" w:ascii="仿宋_GB2312" w:hAnsi="宋体" w:eastAsia="仿宋_GB2312"/>
          <w:color w:val="000000" w:themeColor="text1"/>
          <w:sz w:val="32"/>
          <w:szCs w:val="32"/>
          <w:lang w:val="en-US" w:eastAsia="zh-CN"/>
          <w14:textFill>
            <w14:solidFill>
              <w14:schemeClr w14:val="tx1"/>
            </w14:solidFill>
          </w14:textFill>
        </w:rPr>
        <w:t>0</w:t>
      </w:r>
      <w:r>
        <w:rPr>
          <w:rFonts w:hint="eastAsia" w:ascii="仿宋_GB2312" w:hAnsi="宋体" w:eastAsia="仿宋_GB2312"/>
          <w:color w:val="000000" w:themeColor="text1"/>
          <w:sz w:val="32"/>
          <w:szCs w:val="32"/>
          <w14:textFill>
            <w14:solidFill>
              <w14:schemeClr w14:val="tx1"/>
            </w14:solidFill>
          </w14:textFill>
        </w:rPr>
        <w:t>台，安排单位价值200 万元以上大型设备0台。</w:t>
      </w:r>
    </w:p>
    <w:p>
      <w:pPr>
        <w:spacing w:line="360" w:lineRule="auto"/>
        <w:ind w:firstLine="646"/>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（四）绩效目标设置情况</w:t>
      </w:r>
    </w:p>
    <w:p>
      <w:pPr>
        <w:spacing w:line="360" w:lineRule="auto"/>
        <w:ind w:firstLine="646"/>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根据预算绩效管理要求，沈阳市浑南区人民法院在202</w:t>
      </w:r>
      <w:r>
        <w:rPr>
          <w:rFonts w:hint="eastAsia" w:ascii="仿宋_GB2312" w:hAnsi="宋体" w:eastAsia="仿宋_GB2312"/>
          <w:color w:val="000000" w:themeColor="text1"/>
          <w:sz w:val="32"/>
          <w:szCs w:val="32"/>
          <w:lang w:val="en-US" w:eastAsia="zh-CN"/>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年应编制部门整体绩效目标</w:t>
      </w:r>
      <w:r>
        <w:rPr>
          <w:rFonts w:hint="eastAsia" w:ascii="仿宋_GB2312" w:hAnsi="宋体" w:eastAsia="仿宋_GB2312"/>
          <w:color w:val="000000" w:themeColor="text1"/>
          <w:sz w:val="32"/>
          <w:szCs w:val="32"/>
          <w:lang w:val="en-US" w:eastAsia="zh-CN"/>
          <w14:textFill>
            <w14:solidFill>
              <w14:schemeClr w14:val="tx1"/>
            </w14:solidFill>
          </w14:textFill>
        </w:rPr>
        <w:t>23</w:t>
      </w:r>
      <w:r>
        <w:rPr>
          <w:rFonts w:hint="eastAsia" w:ascii="仿宋_GB2312" w:hAnsi="宋体" w:eastAsia="仿宋_GB2312"/>
          <w:color w:val="000000" w:themeColor="text1"/>
          <w:sz w:val="32"/>
          <w:szCs w:val="32"/>
          <w14:textFill>
            <w14:solidFill>
              <w14:schemeClr w14:val="tx1"/>
            </w14:solidFill>
          </w14:textFill>
        </w:rPr>
        <w:t>个，实际编制</w:t>
      </w:r>
      <w:r>
        <w:rPr>
          <w:rFonts w:hint="eastAsia" w:ascii="仿宋_GB2312" w:hAnsi="宋体" w:eastAsia="仿宋_GB2312"/>
          <w:color w:val="000000" w:themeColor="text1"/>
          <w:sz w:val="32"/>
          <w:szCs w:val="32"/>
          <w:lang w:val="en-US" w:eastAsia="zh-CN"/>
          <w14:textFill>
            <w14:solidFill>
              <w14:schemeClr w14:val="tx1"/>
            </w14:solidFill>
          </w14:textFill>
        </w:rPr>
        <w:t>23</w:t>
      </w:r>
      <w:r>
        <w:rPr>
          <w:rFonts w:hint="eastAsia" w:ascii="仿宋_GB2312" w:hAnsi="宋体" w:eastAsia="仿宋_GB2312"/>
          <w:color w:val="000000" w:themeColor="text1"/>
          <w:sz w:val="32"/>
          <w:szCs w:val="32"/>
          <w14:textFill>
            <w14:solidFill>
              <w14:schemeClr w14:val="tx1"/>
            </w14:solidFill>
          </w14:textFill>
        </w:rPr>
        <w:t>个，编制部门整体绩效目标覆盖率为100%。202</w:t>
      </w:r>
      <w:r>
        <w:rPr>
          <w:rFonts w:hint="eastAsia" w:ascii="仿宋_GB2312" w:hAnsi="宋体" w:eastAsia="仿宋_GB2312"/>
          <w:color w:val="000000" w:themeColor="text1"/>
          <w:sz w:val="32"/>
          <w:szCs w:val="32"/>
          <w:lang w:val="en-US" w:eastAsia="zh-CN"/>
          <w14:textFill>
            <w14:solidFill>
              <w14:schemeClr w14:val="tx1"/>
            </w14:solidFill>
          </w14:textFill>
        </w:rPr>
        <w:t>4</w:t>
      </w:r>
      <w:r>
        <w:rPr>
          <w:rFonts w:hint="eastAsia" w:ascii="仿宋_GB2312" w:hAnsi="宋体" w:eastAsia="仿宋_GB2312"/>
          <w:color w:val="000000" w:themeColor="text1"/>
          <w:sz w:val="32"/>
          <w:szCs w:val="32"/>
          <w14:textFill>
            <w14:solidFill>
              <w14:schemeClr w14:val="tx1"/>
            </w14:solidFill>
          </w14:textFill>
        </w:rPr>
        <w:t>年应编制绩效目标的特定目标类项目共0个，实际编制绩效目标的特定目标类项目共0个，编制特定目标类项目绩效目标覆盖率为0。</w:t>
      </w:r>
    </w:p>
    <w:p>
      <w:pPr>
        <w:pStyle w:val="2"/>
        <w:spacing w:line="600" w:lineRule="exact"/>
        <w:ind w:firstLine="524" w:firstLineChars="145"/>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0"/>
        <w:rPr>
          <w:szCs w:val="32"/>
        </w:rPr>
      </w:pPr>
      <w:r>
        <w:rPr>
          <w:rFonts w:hint="eastAsia"/>
          <w:szCs w:val="32"/>
        </w:rPr>
        <w:t xml:space="preserve">   </w:t>
      </w:r>
      <w:r>
        <w:rPr>
          <w:szCs w:val="32"/>
        </w:rPr>
        <w:t>1.</w:t>
      </w:r>
      <w:r>
        <w:rPr>
          <w:rFonts w:hint="eastAsia"/>
          <w:szCs w:val="32"/>
        </w:rPr>
        <w:t>财政拨款收入：指区级财政当年拨付的资金。</w:t>
      </w:r>
    </w:p>
    <w:p>
      <w:pPr>
        <w:pStyle w:val="2"/>
        <w:spacing w:line="600" w:lineRule="exact"/>
        <w:rPr>
          <w:szCs w:val="32"/>
        </w:rPr>
      </w:pPr>
      <w:r>
        <w:rPr>
          <w:szCs w:val="32"/>
        </w:rPr>
        <w:t>2.</w:t>
      </w:r>
      <w:r>
        <w:rPr>
          <w:rFonts w:hint="eastAsia"/>
          <w:szCs w:val="32"/>
        </w:rPr>
        <w:t>基本支出：指保障机构正常运转、完成日常工作任务而发生的人员支出和公用支出。</w:t>
      </w:r>
    </w:p>
    <w:p>
      <w:pPr>
        <w:pStyle w:val="2"/>
        <w:spacing w:line="600" w:lineRule="exact"/>
        <w:rPr>
          <w:szCs w:val="32"/>
        </w:rPr>
      </w:pPr>
      <w:r>
        <w:rPr>
          <w:szCs w:val="32"/>
        </w:rPr>
        <w:t>3.</w:t>
      </w:r>
      <w:r>
        <w:rPr>
          <w:rFonts w:hint="eastAsia"/>
          <w:szCs w:val="32"/>
        </w:rPr>
        <w:t>项目支出：指在基本支出之外为完成特定行政任务和事业发展目标所发生的支出。</w:t>
      </w:r>
    </w:p>
    <w:p>
      <w:pPr>
        <w:pStyle w:val="2"/>
        <w:spacing w:line="600" w:lineRule="exact"/>
        <w:rPr>
          <w:szCs w:val="32"/>
        </w:rPr>
      </w:pPr>
      <w:r>
        <w:rPr>
          <w:szCs w:val="32"/>
        </w:rPr>
        <w:t>4.</w:t>
      </w:r>
      <w:r>
        <w:rPr>
          <w:rFonts w:hint="eastAsia"/>
          <w:szCs w:val="32"/>
        </w:rPr>
        <w:t>“三公”经费：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spacing w:line="600" w:lineRule="exact"/>
        <w:rPr>
          <w:szCs w:val="32"/>
        </w:rPr>
      </w:pPr>
      <w:r>
        <w:rPr>
          <w:szCs w:val="32"/>
        </w:rPr>
        <w:t>5.</w:t>
      </w:r>
      <w:r>
        <w:rPr>
          <w:rFonts w:hint="eastAsia"/>
          <w:szCs w:val="32"/>
        </w:rPr>
        <w:t>公共安全支出（类）法院（款）行政运行（项）：反映行政单位（包括实行公务员管理的事业单位）的基本支出。</w:t>
      </w:r>
    </w:p>
    <w:p>
      <w:pPr>
        <w:pStyle w:val="2"/>
        <w:spacing w:line="600" w:lineRule="exact"/>
        <w:rPr>
          <w:szCs w:val="32"/>
        </w:rPr>
      </w:pPr>
      <w:r>
        <w:rPr>
          <w:szCs w:val="32"/>
        </w:rPr>
        <w:t>6.</w:t>
      </w:r>
      <w:r>
        <w:rPr>
          <w:rFonts w:hint="eastAsia"/>
          <w:szCs w:val="32"/>
        </w:rPr>
        <w:t>公共安全支出（类）法院（款）一般行政管理事务（项）：反映行政单位（包括实行公务员管理的事业单位）未单独设置项级科目的其他项目支出。</w:t>
      </w:r>
    </w:p>
    <w:p>
      <w:pPr>
        <w:pStyle w:val="2"/>
        <w:spacing w:line="600" w:lineRule="exact"/>
        <w:rPr>
          <w:szCs w:val="32"/>
        </w:rPr>
      </w:pPr>
      <w:r>
        <w:rPr>
          <w:rFonts w:hint="eastAsia"/>
          <w:szCs w:val="32"/>
        </w:rPr>
        <w:t>7．教育支出（类）进修及培训（款）培训支出（项）：反映各部门安排的用于培训的支出。教育部门的师资培训、党校、行政学院等专业干部教育机构的支出，以及退役士兵、转业士官的培训支出，不在本科目反映。</w:t>
      </w:r>
    </w:p>
    <w:p>
      <w:pPr>
        <w:pStyle w:val="2"/>
        <w:spacing w:line="600" w:lineRule="exact"/>
        <w:rPr>
          <w:szCs w:val="32"/>
        </w:rPr>
      </w:pPr>
      <w:r>
        <w:rPr>
          <w:rFonts w:hint="eastAsia"/>
          <w:szCs w:val="32"/>
          <w:lang w:val="en-US" w:eastAsia="zh-CN"/>
        </w:rPr>
        <w:t>8</w:t>
      </w:r>
      <w:r>
        <w:rPr>
          <w:rFonts w:hint="eastAsia"/>
          <w:szCs w:val="32"/>
        </w:rPr>
        <w:t>．社会保障和就业支出（类）行政事业单位养老支出（款）行政单位离退休（项）：反映行政单位（包括实行公务员管理的事业单位）开支的离退休经费。</w:t>
      </w:r>
    </w:p>
    <w:p>
      <w:pPr>
        <w:pStyle w:val="2"/>
        <w:spacing w:line="600" w:lineRule="exact"/>
        <w:rPr>
          <w:szCs w:val="32"/>
        </w:rPr>
      </w:pPr>
      <w:r>
        <w:rPr>
          <w:rFonts w:hint="eastAsia"/>
          <w:szCs w:val="32"/>
          <w:lang w:val="en-US" w:eastAsia="zh-CN"/>
        </w:rPr>
        <w:t>9</w:t>
      </w:r>
      <w:r>
        <w:rPr>
          <w:rFonts w:hint="eastAsia"/>
          <w:szCs w:val="32"/>
        </w:rPr>
        <w:t>．社会保障和就业支出（类）行政事业单位养老支出（款）机关事业单位基本养老保险缴费支出（项）：反映机关事业单位实施养老保险制度由单位缴纳的基本养老保险费支出。</w:t>
      </w:r>
      <w:r>
        <w:rPr>
          <w:szCs w:val="32"/>
        </w:rPr>
        <w:t xml:space="preserve"> </w:t>
      </w:r>
    </w:p>
    <w:p>
      <w:pPr>
        <w:pStyle w:val="2"/>
        <w:spacing w:line="600" w:lineRule="exact"/>
        <w:rPr>
          <w:szCs w:val="32"/>
        </w:rPr>
      </w:pPr>
      <w:r>
        <w:rPr>
          <w:rFonts w:hint="eastAsia"/>
          <w:szCs w:val="32"/>
          <w:lang w:val="en-US" w:eastAsia="zh-CN"/>
        </w:rPr>
        <w:t>10</w:t>
      </w:r>
      <w:r>
        <w:rPr>
          <w:szCs w:val="32"/>
        </w:rPr>
        <w:t>.</w:t>
      </w:r>
      <w:r>
        <w:rPr>
          <w:rFonts w:hint="eastAsia"/>
          <w:szCs w:val="32"/>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pStyle w:val="2"/>
        <w:spacing w:line="600" w:lineRule="exact"/>
        <w:rPr>
          <w:rFonts w:hint="eastAsia"/>
          <w:szCs w:val="32"/>
        </w:rPr>
      </w:pPr>
      <w:r>
        <w:rPr>
          <w:rFonts w:hint="eastAsia"/>
          <w:szCs w:val="32"/>
          <w:lang w:val="en-US" w:eastAsia="zh-CN"/>
        </w:rPr>
        <w:t>11</w:t>
      </w:r>
      <w:r>
        <w:rPr>
          <w:szCs w:val="32"/>
        </w:rPr>
        <w:t>.</w:t>
      </w:r>
      <w:r>
        <w:rPr>
          <w:rFonts w:hint="eastAsia"/>
          <w:szCs w:val="32"/>
        </w:rPr>
        <w:t>卫生健康支出（类）行政事业单位医疗（款）公务员医疗补助（项）：反映财政部门安排的公务员医疗补助经费。</w:t>
      </w:r>
    </w:p>
    <w:p>
      <w:pPr>
        <w:pStyle w:val="2"/>
        <w:spacing w:line="600" w:lineRule="exact"/>
        <w:rPr>
          <w:rFonts w:hint="default" w:eastAsia="仿宋_GB2312"/>
          <w:szCs w:val="32"/>
          <w:lang w:val="en-US" w:eastAsia="zh-CN"/>
        </w:rPr>
      </w:pPr>
      <w:r>
        <w:rPr>
          <w:rFonts w:hint="eastAsia"/>
          <w:szCs w:val="32"/>
          <w:lang w:val="en-US" w:eastAsia="zh-CN"/>
        </w:rPr>
        <w:t>12.住房保障支出（类）住房改革支出（款）住房公积金（项）：反映行政事业单位按人力资源和社会保障部、财政部规定的基本工资和津贴补贴以及规定比例为职工缴纳的住房公积金。</w:t>
      </w:r>
      <w:bookmarkStart w:id="1" w:name="_GoBack"/>
      <w:bookmarkEnd w:id="1"/>
    </w:p>
    <w:sectPr>
      <w:pgSz w:w="11906" w:h="16838"/>
      <w:pgMar w:top="2098" w:right="1361" w:bottom="1928" w:left="1361"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roman"/>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6</w:t>
    </w:r>
    <w: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rPr>
        <w:rStyle w:val="9"/>
      </w:rPr>
    </w:pPr>
    <w:r>
      <w:fldChar w:fldCharType="begin"/>
    </w:r>
    <w:r>
      <w:rPr>
        <w:rStyle w:val="9"/>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39035F"/>
    <w:multiLevelType w:val="multilevel"/>
    <w:tmpl w:val="3D39035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yYWZjMmI1MTQwMjc1YTRiOWU0YTQ3NmMxOGNiODYifQ=="/>
  </w:docVars>
  <w:rsids>
    <w:rsidRoot w:val="00172A27"/>
    <w:rsid w:val="00023DFB"/>
    <w:rsid w:val="0002454D"/>
    <w:rsid w:val="00025BD9"/>
    <w:rsid w:val="00036505"/>
    <w:rsid w:val="00043EEB"/>
    <w:rsid w:val="00067A17"/>
    <w:rsid w:val="00094BCF"/>
    <w:rsid w:val="000A1CA9"/>
    <w:rsid w:val="000B3D6B"/>
    <w:rsid w:val="000C7BCC"/>
    <w:rsid w:val="000C7EB7"/>
    <w:rsid w:val="000E1D59"/>
    <w:rsid w:val="000E5E20"/>
    <w:rsid w:val="001000AD"/>
    <w:rsid w:val="00106E3E"/>
    <w:rsid w:val="001147A7"/>
    <w:rsid w:val="0011721A"/>
    <w:rsid w:val="00122FF4"/>
    <w:rsid w:val="001314EE"/>
    <w:rsid w:val="00146AA6"/>
    <w:rsid w:val="001522AB"/>
    <w:rsid w:val="001561F9"/>
    <w:rsid w:val="0016584F"/>
    <w:rsid w:val="00172A27"/>
    <w:rsid w:val="001759DB"/>
    <w:rsid w:val="00175D25"/>
    <w:rsid w:val="0018735A"/>
    <w:rsid w:val="001913D6"/>
    <w:rsid w:val="00193BE5"/>
    <w:rsid w:val="00194EC8"/>
    <w:rsid w:val="001A14C9"/>
    <w:rsid w:val="001B38F8"/>
    <w:rsid w:val="001B517F"/>
    <w:rsid w:val="001C35A8"/>
    <w:rsid w:val="001E0B0D"/>
    <w:rsid w:val="001E3C7C"/>
    <w:rsid w:val="001E5911"/>
    <w:rsid w:val="001E72C5"/>
    <w:rsid w:val="001F0FE0"/>
    <w:rsid w:val="001F64ED"/>
    <w:rsid w:val="00216942"/>
    <w:rsid w:val="0022062D"/>
    <w:rsid w:val="00222DB2"/>
    <w:rsid w:val="00241EE9"/>
    <w:rsid w:val="002521D5"/>
    <w:rsid w:val="00256283"/>
    <w:rsid w:val="00272C2B"/>
    <w:rsid w:val="002731C5"/>
    <w:rsid w:val="002915FC"/>
    <w:rsid w:val="00291685"/>
    <w:rsid w:val="002A4846"/>
    <w:rsid w:val="002A5A46"/>
    <w:rsid w:val="002A778E"/>
    <w:rsid w:val="002B0196"/>
    <w:rsid w:val="002B7093"/>
    <w:rsid w:val="002B73C8"/>
    <w:rsid w:val="002C006A"/>
    <w:rsid w:val="002C085B"/>
    <w:rsid w:val="002E0553"/>
    <w:rsid w:val="002F7937"/>
    <w:rsid w:val="00310ABA"/>
    <w:rsid w:val="003139FF"/>
    <w:rsid w:val="00316C65"/>
    <w:rsid w:val="00322A43"/>
    <w:rsid w:val="00322E8D"/>
    <w:rsid w:val="003238C6"/>
    <w:rsid w:val="00332912"/>
    <w:rsid w:val="00337271"/>
    <w:rsid w:val="00340745"/>
    <w:rsid w:val="00344B99"/>
    <w:rsid w:val="003471E5"/>
    <w:rsid w:val="00352FE6"/>
    <w:rsid w:val="00361801"/>
    <w:rsid w:val="00375881"/>
    <w:rsid w:val="00376940"/>
    <w:rsid w:val="00394F19"/>
    <w:rsid w:val="003A5B53"/>
    <w:rsid w:val="003B4989"/>
    <w:rsid w:val="003B7AE2"/>
    <w:rsid w:val="003D15CE"/>
    <w:rsid w:val="003D1C0E"/>
    <w:rsid w:val="003D59CA"/>
    <w:rsid w:val="003E0668"/>
    <w:rsid w:val="00405AAD"/>
    <w:rsid w:val="004102E1"/>
    <w:rsid w:val="00410CDE"/>
    <w:rsid w:val="00412468"/>
    <w:rsid w:val="004546B3"/>
    <w:rsid w:val="00456D86"/>
    <w:rsid w:val="00457D61"/>
    <w:rsid w:val="0046559D"/>
    <w:rsid w:val="00467059"/>
    <w:rsid w:val="004752C6"/>
    <w:rsid w:val="0047556C"/>
    <w:rsid w:val="00480B96"/>
    <w:rsid w:val="00490F26"/>
    <w:rsid w:val="004A5B82"/>
    <w:rsid w:val="004C61CE"/>
    <w:rsid w:val="004C61F6"/>
    <w:rsid w:val="004E5636"/>
    <w:rsid w:val="004E650D"/>
    <w:rsid w:val="004F74FE"/>
    <w:rsid w:val="00511499"/>
    <w:rsid w:val="00515B10"/>
    <w:rsid w:val="00535A7C"/>
    <w:rsid w:val="005411AC"/>
    <w:rsid w:val="0054326E"/>
    <w:rsid w:val="00550B92"/>
    <w:rsid w:val="005570E8"/>
    <w:rsid w:val="00587950"/>
    <w:rsid w:val="005B3985"/>
    <w:rsid w:val="005C48C2"/>
    <w:rsid w:val="005D09D2"/>
    <w:rsid w:val="005D353C"/>
    <w:rsid w:val="005E439F"/>
    <w:rsid w:val="005E6EF7"/>
    <w:rsid w:val="005F70DE"/>
    <w:rsid w:val="00601CBF"/>
    <w:rsid w:val="00602193"/>
    <w:rsid w:val="0060753E"/>
    <w:rsid w:val="00624287"/>
    <w:rsid w:val="00636E0E"/>
    <w:rsid w:val="00644F06"/>
    <w:rsid w:val="00660CFA"/>
    <w:rsid w:val="00662A32"/>
    <w:rsid w:val="00690F4C"/>
    <w:rsid w:val="00691C8A"/>
    <w:rsid w:val="006955E1"/>
    <w:rsid w:val="006A6A32"/>
    <w:rsid w:val="006B14D9"/>
    <w:rsid w:val="006B1E46"/>
    <w:rsid w:val="006B719E"/>
    <w:rsid w:val="006D47C1"/>
    <w:rsid w:val="006D70D9"/>
    <w:rsid w:val="006E3CC0"/>
    <w:rsid w:val="006F039D"/>
    <w:rsid w:val="00706FDD"/>
    <w:rsid w:val="007075EB"/>
    <w:rsid w:val="00716F01"/>
    <w:rsid w:val="00721B60"/>
    <w:rsid w:val="007270B1"/>
    <w:rsid w:val="00727210"/>
    <w:rsid w:val="007606BE"/>
    <w:rsid w:val="00762CB8"/>
    <w:rsid w:val="00767417"/>
    <w:rsid w:val="007710FA"/>
    <w:rsid w:val="00772877"/>
    <w:rsid w:val="00774643"/>
    <w:rsid w:val="007979DA"/>
    <w:rsid w:val="007A141A"/>
    <w:rsid w:val="007A468A"/>
    <w:rsid w:val="007B4700"/>
    <w:rsid w:val="007B699A"/>
    <w:rsid w:val="007B7F93"/>
    <w:rsid w:val="007C47F1"/>
    <w:rsid w:val="007D172B"/>
    <w:rsid w:val="007F1FAF"/>
    <w:rsid w:val="00802605"/>
    <w:rsid w:val="0082447B"/>
    <w:rsid w:val="00842736"/>
    <w:rsid w:val="0086188E"/>
    <w:rsid w:val="00866C03"/>
    <w:rsid w:val="00873F5C"/>
    <w:rsid w:val="00882155"/>
    <w:rsid w:val="00885285"/>
    <w:rsid w:val="00887307"/>
    <w:rsid w:val="00887CE1"/>
    <w:rsid w:val="008A0F66"/>
    <w:rsid w:val="008B44AC"/>
    <w:rsid w:val="008C2F8B"/>
    <w:rsid w:val="008D5080"/>
    <w:rsid w:val="008E1298"/>
    <w:rsid w:val="008E7D90"/>
    <w:rsid w:val="008F3FE4"/>
    <w:rsid w:val="00903E8C"/>
    <w:rsid w:val="0090610B"/>
    <w:rsid w:val="00913C0D"/>
    <w:rsid w:val="0092027A"/>
    <w:rsid w:val="00930FBA"/>
    <w:rsid w:val="0096200B"/>
    <w:rsid w:val="00977247"/>
    <w:rsid w:val="009831FF"/>
    <w:rsid w:val="00997570"/>
    <w:rsid w:val="009A49B1"/>
    <w:rsid w:val="009B65E6"/>
    <w:rsid w:val="009B6A31"/>
    <w:rsid w:val="009D2227"/>
    <w:rsid w:val="009D3EDF"/>
    <w:rsid w:val="009E0475"/>
    <w:rsid w:val="009F06B1"/>
    <w:rsid w:val="009F3C60"/>
    <w:rsid w:val="009F7651"/>
    <w:rsid w:val="00A04B99"/>
    <w:rsid w:val="00A2145A"/>
    <w:rsid w:val="00A22406"/>
    <w:rsid w:val="00A41362"/>
    <w:rsid w:val="00A60A24"/>
    <w:rsid w:val="00A63646"/>
    <w:rsid w:val="00A6714F"/>
    <w:rsid w:val="00A74B07"/>
    <w:rsid w:val="00A76C07"/>
    <w:rsid w:val="00A92106"/>
    <w:rsid w:val="00A942AA"/>
    <w:rsid w:val="00A94675"/>
    <w:rsid w:val="00A94A64"/>
    <w:rsid w:val="00A94E9E"/>
    <w:rsid w:val="00AA5939"/>
    <w:rsid w:val="00AB1BDB"/>
    <w:rsid w:val="00AD1ABA"/>
    <w:rsid w:val="00AD29BD"/>
    <w:rsid w:val="00AD78FF"/>
    <w:rsid w:val="00AF277B"/>
    <w:rsid w:val="00AF2BE8"/>
    <w:rsid w:val="00B02B30"/>
    <w:rsid w:val="00B2451E"/>
    <w:rsid w:val="00B30007"/>
    <w:rsid w:val="00B36A4C"/>
    <w:rsid w:val="00B40BDD"/>
    <w:rsid w:val="00B42F7E"/>
    <w:rsid w:val="00B52230"/>
    <w:rsid w:val="00B55537"/>
    <w:rsid w:val="00B720E8"/>
    <w:rsid w:val="00B74378"/>
    <w:rsid w:val="00B868AB"/>
    <w:rsid w:val="00B941BA"/>
    <w:rsid w:val="00BA304F"/>
    <w:rsid w:val="00BB0F74"/>
    <w:rsid w:val="00BB1DD9"/>
    <w:rsid w:val="00BB7C7E"/>
    <w:rsid w:val="00BD482C"/>
    <w:rsid w:val="00BD5922"/>
    <w:rsid w:val="00BF6E5A"/>
    <w:rsid w:val="00BF7DBA"/>
    <w:rsid w:val="00C2119B"/>
    <w:rsid w:val="00C2431A"/>
    <w:rsid w:val="00C34DC0"/>
    <w:rsid w:val="00C35128"/>
    <w:rsid w:val="00C447E5"/>
    <w:rsid w:val="00C54958"/>
    <w:rsid w:val="00C57068"/>
    <w:rsid w:val="00C5758F"/>
    <w:rsid w:val="00C57AA9"/>
    <w:rsid w:val="00C67010"/>
    <w:rsid w:val="00C6755D"/>
    <w:rsid w:val="00C8537B"/>
    <w:rsid w:val="00C92912"/>
    <w:rsid w:val="00CA5268"/>
    <w:rsid w:val="00CB2F5F"/>
    <w:rsid w:val="00CB74A0"/>
    <w:rsid w:val="00CD64D8"/>
    <w:rsid w:val="00D027FA"/>
    <w:rsid w:val="00D02D7B"/>
    <w:rsid w:val="00D15975"/>
    <w:rsid w:val="00D169B4"/>
    <w:rsid w:val="00D200E8"/>
    <w:rsid w:val="00D25EED"/>
    <w:rsid w:val="00D40C4C"/>
    <w:rsid w:val="00D41BA3"/>
    <w:rsid w:val="00D56683"/>
    <w:rsid w:val="00D67793"/>
    <w:rsid w:val="00D727D8"/>
    <w:rsid w:val="00D728FE"/>
    <w:rsid w:val="00D85633"/>
    <w:rsid w:val="00D9627F"/>
    <w:rsid w:val="00DB254E"/>
    <w:rsid w:val="00DC6D2C"/>
    <w:rsid w:val="00DE2131"/>
    <w:rsid w:val="00DE6A93"/>
    <w:rsid w:val="00DF44E6"/>
    <w:rsid w:val="00DF51F7"/>
    <w:rsid w:val="00E00ABF"/>
    <w:rsid w:val="00E01061"/>
    <w:rsid w:val="00E02931"/>
    <w:rsid w:val="00E05AA4"/>
    <w:rsid w:val="00E24A51"/>
    <w:rsid w:val="00E37929"/>
    <w:rsid w:val="00E41767"/>
    <w:rsid w:val="00E41B55"/>
    <w:rsid w:val="00E44C7D"/>
    <w:rsid w:val="00E45B29"/>
    <w:rsid w:val="00E477FF"/>
    <w:rsid w:val="00E52789"/>
    <w:rsid w:val="00E73344"/>
    <w:rsid w:val="00E819CB"/>
    <w:rsid w:val="00E87525"/>
    <w:rsid w:val="00E949CD"/>
    <w:rsid w:val="00EA7F46"/>
    <w:rsid w:val="00EB3E30"/>
    <w:rsid w:val="00EB4DF2"/>
    <w:rsid w:val="00EC1D40"/>
    <w:rsid w:val="00EC7478"/>
    <w:rsid w:val="00ED5584"/>
    <w:rsid w:val="00EE4742"/>
    <w:rsid w:val="00EE4BD0"/>
    <w:rsid w:val="00F13601"/>
    <w:rsid w:val="00F1768F"/>
    <w:rsid w:val="00F25709"/>
    <w:rsid w:val="00F26F60"/>
    <w:rsid w:val="00F30839"/>
    <w:rsid w:val="00F311A4"/>
    <w:rsid w:val="00F31CA1"/>
    <w:rsid w:val="00F62A4F"/>
    <w:rsid w:val="00F65E48"/>
    <w:rsid w:val="00F67D7B"/>
    <w:rsid w:val="00FA6B9B"/>
    <w:rsid w:val="00FB024F"/>
    <w:rsid w:val="00FB0B06"/>
    <w:rsid w:val="00FB1001"/>
    <w:rsid w:val="00FB5D04"/>
    <w:rsid w:val="00FC0BBB"/>
    <w:rsid w:val="00FC3D2C"/>
    <w:rsid w:val="00FD0D5A"/>
    <w:rsid w:val="00FD7FAB"/>
    <w:rsid w:val="00FF0B4F"/>
    <w:rsid w:val="0D15750B"/>
    <w:rsid w:val="12F6278D"/>
    <w:rsid w:val="1C153441"/>
    <w:rsid w:val="21B425EB"/>
    <w:rsid w:val="24B74BF4"/>
    <w:rsid w:val="27E3520A"/>
    <w:rsid w:val="360F5B47"/>
    <w:rsid w:val="3F152304"/>
    <w:rsid w:val="402412F2"/>
    <w:rsid w:val="502A05FF"/>
    <w:rsid w:val="536C30EB"/>
    <w:rsid w:val="6BF36E1D"/>
    <w:rsid w:val="785E2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0"/>
    <w:pPr>
      <w:spacing w:line="540" w:lineRule="exact"/>
      <w:ind w:firstLine="525"/>
    </w:pPr>
    <w:rPr>
      <w:rFonts w:ascii="仿宋_GB2312" w:eastAsia="仿宋_GB2312"/>
      <w:sz w:val="32"/>
    </w:rPr>
  </w:style>
  <w:style w:type="paragraph" w:styleId="3">
    <w:name w:val="Body Text Indent 2"/>
    <w:basedOn w:val="1"/>
    <w:qFormat/>
    <w:uiPriority w:val="0"/>
    <w:pPr>
      <w:spacing w:line="540" w:lineRule="exact"/>
      <w:ind w:firstLine="420"/>
    </w:pPr>
    <w:rPr>
      <w:rFonts w:ascii="仿宋_GB2312" w:eastAsia="仿宋_GB2312"/>
      <w:sz w:val="32"/>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page number"/>
    <w:basedOn w:val="8"/>
    <w:qFormat/>
    <w:uiPriority w:val="0"/>
  </w:style>
  <w:style w:type="paragraph" w:customStyle="1" w:styleId="10">
    <w:name w:val="列出段落1"/>
    <w:basedOn w:val="1"/>
    <w:qFormat/>
    <w:uiPriority w:val="0"/>
    <w:pPr>
      <w:ind w:firstLine="420" w:firstLineChars="200"/>
    </w:pPr>
  </w:style>
  <w:style w:type="paragraph" w:customStyle="1" w:styleId="11">
    <w:name w:val="正文文本缩进1"/>
    <w:basedOn w:val="1"/>
    <w:qFormat/>
    <w:uiPriority w:val="0"/>
    <w:pPr>
      <w:spacing w:line="540" w:lineRule="exact"/>
      <w:ind w:firstLine="525"/>
    </w:pPr>
    <w:rPr>
      <w:rFonts w:ascii="仿宋_GB2312" w:eastAsia="仿宋_GB2312"/>
      <w:sz w:val="32"/>
    </w:rPr>
  </w:style>
  <w:style w:type="character" w:customStyle="1" w:styleId="12">
    <w:name w:val="正文文本缩进 Char"/>
    <w:basedOn w:val="8"/>
    <w:link w:val="2"/>
    <w:semiHidden/>
    <w:qFormat/>
    <w:locked/>
    <w:uiPriority w:val="0"/>
    <w:rPr>
      <w:rFonts w:ascii="仿宋_GB2312" w:eastAsia="仿宋_GB2312"/>
      <w:kern w:val="2"/>
      <w:sz w:val="32"/>
      <w:szCs w:val="24"/>
      <w:lang w:val="en-US" w:eastAsia="zh-CN" w:bidi="ar-SA"/>
    </w:rPr>
  </w:style>
  <w:style w:type="paragraph" w:customStyle="1" w:styleId="13">
    <w:name w:val="Char Char1"/>
    <w:basedOn w:val="1"/>
    <w:qFormat/>
    <w:uiPriority w:val="0"/>
    <w:pPr>
      <w:widowControl/>
      <w:jc w:val="left"/>
    </w:pPr>
    <w:rPr>
      <w:rFonts w:ascii="Verdana" w:hAnsi="Verdana" w:eastAsia="仿宋_GB2312"/>
      <w:kern w:val="0"/>
      <w:sz w:val="28"/>
      <w:szCs w:val="20"/>
      <w:lang w:eastAsia="en-US"/>
    </w:rPr>
  </w:style>
  <w:style w:type="paragraph" w:customStyle="1" w:styleId="14">
    <w:name w:val="Char Char11"/>
    <w:basedOn w:val="1"/>
    <w:qFormat/>
    <w:uiPriority w:val="0"/>
    <w:pPr>
      <w:widowControl/>
      <w:jc w:val="left"/>
    </w:pPr>
    <w:rPr>
      <w:rFonts w:ascii="Verdana" w:hAnsi="Verdana" w:eastAsia="仿宋_GB2312"/>
      <w:kern w:val="0"/>
      <w:sz w:val="28"/>
      <w:szCs w:val="20"/>
      <w:lang w:eastAsia="en-US"/>
    </w:rPr>
  </w:style>
  <w:style w:type="paragraph" w:customStyle="1" w:styleId="15">
    <w:name w:val="Char Char12"/>
    <w:basedOn w:val="1"/>
    <w:qFormat/>
    <w:uiPriority w:val="0"/>
    <w:pPr>
      <w:widowControl/>
      <w:jc w:val="left"/>
    </w:pPr>
    <w:rPr>
      <w:rFonts w:ascii="Verdana" w:hAnsi="Verdana" w:eastAsia="仿宋_GB2312"/>
      <w:kern w:val="0"/>
      <w:sz w:val="2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EB480-81C3-44A7-BB58-896AAD37F760}">
  <ds:schemaRefs/>
</ds:datastoreItem>
</file>

<file path=docProps/app.xml><?xml version="1.0" encoding="utf-8"?>
<Properties xmlns="http://schemas.openxmlformats.org/officeDocument/2006/extended-properties" xmlns:vt="http://schemas.openxmlformats.org/officeDocument/2006/docPropsVTypes">
  <Template>Normal</Template>
  <Pages>10</Pages>
  <Words>435</Words>
  <Characters>2480</Characters>
  <Lines>20</Lines>
  <Paragraphs>5</Paragraphs>
  <TotalTime>51</TotalTime>
  <ScaleCrop>false</ScaleCrop>
  <LinksUpToDate>false</LinksUpToDate>
  <CharactersWithSpaces>2910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2023-01-13T07:57:00Z</dcterms:created>
  <dc:creator>微软用户</dc:creator>
  <cp:lastModifiedBy>Administrator</cp:lastModifiedBy>
  <cp:lastPrinted>2024-01-30T07:29:00Z</cp:lastPrinted>
  <dcterms:modified xsi:type="dcterms:W3CDTF">2024-01-30T10:50:27Z</dcterms:modified>
  <dc:title>风雨坛街道办事处</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F01B8A6CC4A1479EA073E4280931DE75_13</vt:lpwstr>
  </property>
</Properties>
</file>