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rFonts w:ascii="楷体" w:hAnsi="楷体" w:eastAsia="楷体"/>
          <w:b/>
          <w:sz w:val="52"/>
          <w:szCs w:val="52"/>
        </w:rPr>
      </w:pPr>
      <w:r>
        <w:rPr>
          <w:rFonts w:hint="eastAsia" w:ascii="楷体" w:hAnsi="楷体" w:eastAsia="楷体"/>
          <w:b/>
          <w:sz w:val="52"/>
          <w:szCs w:val="52"/>
        </w:rPr>
        <w:t>沈阳市浑南区人民代表大会        常务委员会</w:t>
      </w:r>
    </w:p>
    <w:p>
      <w:pPr>
        <w:keepNext w:val="0"/>
        <w:keepLines w:val="0"/>
        <w:widowControl w:val="0"/>
        <w:kinsoku/>
        <w:wordWrap/>
        <w:overflowPunct/>
        <w:topLinePunct w:val="0"/>
        <w:autoSpaceDE/>
        <w:bidi w:val="0"/>
        <w:adjustRightInd/>
        <w:snapToGrid/>
        <w:spacing w:line="579" w:lineRule="exact"/>
        <w:jc w:val="center"/>
        <w:textAlignment w:val="auto"/>
        <w:rPr>
          <w:rFonts w:hint="eastAsia" w:ascii="黑体" w:eastAsia="楷体"/>
          <w:b/>
          <w:sz w:val="52"/>
          <w:szCs w:val="52"/>
          <w:lang w:val="en-US"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年部门预算</w:t>
      </w:r>
      <w:r>
        <w:rPr>
          <w:rFonts w:hint="eastAsia" w:ascii="楷体" w:hAnsi="楷体" w:eastAsia="楷体"/>
          <w:b/>
          <w:sz w:val="52"/>
          <w:szCs w:val="52"/>
          <w:lang w:val="en-US" w:eastAsia="zh-CN"/>
        </w:rPr>
        <w:t xml:space="preserve"> </w:t>
      </w:r>
    </w:p>
    <w:p>
      <w:pPr>
        <w:keepNext w:val="0"/>
        <w:keepLines w:val="0"/>
        <w:widowControl w:val="0"/>
        <w:kinsoku/>
        <w:wordWrap/>
        <w:overflowPunct/>
        <w:topLinePunct w:val="0"/>
        <w:autoSpaceDE/>
        <w:bidi w:val="0"/>
        <w:adjustRightInd/>
        <w:snapToGrid/>
        <w:spacing w:line="579" w:lineRule="exact"/>
        <w:jc w:val="center"/>
        <w:textAlignment w:val="auto"/>
        <w:rPr>
          <w:rFonts w:ascii="楷体" w:hAnsi="楷体" w:eastAsia="楷体"/>
          <w:b/>
          <w:sz w:val="52"/>
          <w:szCs w:val="52"/>
        </w:rPr>
      </w:pPr>
    </w:p>
    <w:p>
      <w:pPr>
        <w:keepNext w:val="0"/>
        <w:keepLines w:val="0"/>
        <w:widowControl w:val="0"/>
        <w:kinsoku/>
        <w:wordWrap/>
        <w:overflowPunct/>
        <w:topLinePunct w:val="0"/>
        <w:autoSpaceDE/>
        <w:bidi w:val="0"/>
        <w:adjustRightInd/>
        <w:snapToGrid/>
        <w:spacing w:line="579" w:lineRule="exact"/>
        <w:jc w:val="center"/>
        <w:textAlignment w:val="auto"/>
        <w:rPr>
          <w:rFonts w:ascii="黑体" w:hAnsi="楷体" w:eastAsia="黑体"/>
          <w:b/>
          <w:sz w:val="52"/>
          <w:szCs w:val="52"/>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u w:val="single"/>
        </w:rPr>
      </w:pPr>
    </w:p>
    <w:p>
      <w:pPr>
        <w:keepNext w:val="0"/>
        <w:keepLines w:val="0"/>
        <w:widowControl w:val="0"/>
        <w:kinsoku/>
        <w:wordWrap/>
        <w:overflowPunct/>
        <w:topLinePunct w:val="0"/>
        <w:autoSpaceDE/>
        <w:bidi w:val="0"/>
        <w:adjustRightInd/>
        <w:snapToGrid/>
        <w:spacing w:line="579" w:lineRule="exact"/>
        <w:jc w:val="center"/>
        <w:textAlignment w:val="auto"/>
        <w:rPr>
          <w:rFonts w:hint="eastAsia"/>
          <w:b/>
          <w:sz w:val="44"/>
          <w:szCs w:val="44"/>
        </w:rPr>
      </w:pPr>
    </w:p>
    <w:p>
      <w:pPr>
        <w:keepNext w:val="0"/>
        <w:keepLines w:val="0"/>
        <w:widowControl w:val="0"/>
        <w:kinsoku/>
        <w:wordWrap/>
        <w:overflowPunct/>
        <w:topLinePunct w:val="0"/>
        <w:autoSpaceDE/>
        <w:bidi w:val="0"/>
        <w:adjustRightInd/>
        <w:snapToGrid/>
        <w:spacing w:line="579" w:lineRule="exact"/>
        <w:jc w:val="center"/>
        <w:textAlignment w:val="auto"/>
        <w:rPr>
          <w:b/>
          <w:sz w:val="44"/>
          <w:szCs w:val="44"/>
        </w:rPr>
      </w:pPr>
      <w:r>
        <w:rPr>
          <w:rFonts w:hint="eastAsia"/>
          <w:b/>
          <w:sz w:val="44"/>
          <w:szCs w:val="44"/>
        </w:rPr>
        <w:t>目    录</w:t>
      </w:r>
    </w:p>
    <w:p>
      <w:pPr>
        <w:keepNext w:val="0"/>
        <w:keepLines w:val="0"/>
        <w:widowControl w:val="0"/>
        <w:kinsoku/>
        <w:wordWrap/>
        <w:overflowPunct/>
        <w:topLinePunct w:val="0"/>
        <w:autoSpaceDE/>
        <w:bidi w:val="0"/>
        <w:adjustRightInd/>
        <w:snapToGrid/>
        <w:spacing w:line="579" w:lineRule="exact"/>
        <w:textAlignment w:val="auto"/>
        <w:rPr>
          <w:b/>
          <w:sz w:val="44"/>
          <w:szCs w:val="44"/>
          <w:u w:val="single"/>
        </w:rPr>
      </w:pPr>
    </w:p>
    <w:p>
      <w:pPr>
        <w:keepNext w:val="0"/>
        <w:keepLines w:val="0"/>
        <w:widowControl w:val="0"/>
        <w:numPr>
          <w:ilvl w:val="0"/>
          <w:numId w:val="1"/>
        </w:numPr>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 xml:space="preserve"> 沈阳市浑南区人民代表大会常务委员会概况</w:t>
      </w:r>
    </w:p>
    <w:p>
      <w:pPr>
        <w:pStyle w:val="2"/>
        <w:keepNext w:val="0"/>
        <w:keepLines w:val="0"/>
        <w:widowControl w:val="0"/>
        <w:kinsoku/>
        <w:wordWrap/>
        <w:overflowPunct/>
        <w:topLinePunct w:val="0"/>
        <w:autoSpaceDE/>
        <w:bidi w:val="0"/>
        <w:adjustRightInd/>
        <w:snapToGrid/>
        <w:spacing w:line="579" w:lineRule="exact"/>
        <w:ind w:firstLine="0"/>
        <w:textAlignment w:val="auto"/>
        <w:rPr>
          <w:rFonts w:hAnsi="仿宋"/>
          <w:color w:val="000000"/>
          <w:szCs w:val="32"/>
        </w:rPr>
      </w:pPr>
      <w:r>
        <w:rPr>
          <w:rFonts w:hint="eastAsia" w:hAnsi="仿宋"/>
          <w:color w:val="000000"/>
          <w:szCs w:val="32"/>
        </w:rPr>
        <w:t>一、主要职责</w:t>
      </w:r>
    </w:p>
    <w:p>
      <w:pPr>
        <w:keepNext w:val="0"/>
        <w:keepLines w:val="0"/>
        <w:widowControl w:val="0"/>
        <w:kinsoku/>
        <w:wordWrap/>
        <w:overflowPunct/>
        <w:topLinePunct w:val="0"/>
        <w:autoSpaceDE/>
        <w:bidi w:val="0"/>
        <w:adjustRightInd/>
        <w:snapToGrid/>
        <w:spacing w:line="579" w:lineRule="exact"/>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二、部门预算单位构成</w:t>
      </w:r>
    </w:p>
    <w:p>
      <w:pPr>
        <w:keepNext w:val="0"/>
        <w:keepLines w:val="0"/>
        <w:widowControl w:val="0"/>
        <w:numPr>
          <w:ilvl w:val="0"/>
          <w:numId w:val="1"/>
        </w:numPr>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 xml:space="preserve"> 沈阳市浑南区人民代表大会常务委员会202</w:t>
      </w:r>
      <w:r>
        <w:rPr>
          <w:rFonts w:hint="eastAsia" w:ascii="黑体" w:hAnsi="黑体" w:eastAsia="黑体"/>
          <w:sz w:val="32"/>
          <w:szCs w:val="32"/>
          <w:lang w:val="en-US" w:eastAsia="zh-CN"/>
        </w:rPr>
        <w:t>4</w:t>
      </w:r>
      <w:r>
        <w:rPr>
          <w:rFonts w:hint="eastAsia" w:ascii="黑体" w:hAnsi="黑体" w:eastAsia="黑体"/>
          <w:sz w:val="32"/>
          <w:szCs w:val="32"/>
        </w:rPr>
        <w:t>年部门预算公开表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表1.收支预算总表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表2.收入预算总表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表3.支出预算总表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表4.财政拨款收支预算总表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表5.一般公共预算支出表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表6.一般公共预算基本支出表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表7.一般公共预算“三公”经费支出对比表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表8.政府性基金预算支出表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表9.项目支出预算表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表10.支出功能分类预算表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表11.支出经济分类预算表（政府预算）</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表12.支出经济分类预算表（部门预算）</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表13.债务支出预算表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表14.政府采购支出预算表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表15.政府购买服务支出预算表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表16.部门（单位）整体绩效目标表</w:t>
      </w:r>
    </w:p>
    <w:p>
      <w:pPr>
        <w:keepNext w:val="0"/>
        <w:keepLines w:val="0"/>
        <w:widowControl w:val="0"/>
        <w:kinsoku/>
        <w:wordWrap/>
        <w:overflowPunct/>
        <w:topLinePunct w:val="0"/>
        <w:autoSpaceDE/>
        <w:bidi w:val="0"/>
        <w:adjustRightInd/>
        <w:snapToGrid/>
        <w:spacing w:line="579" w:lineRule="exact"/>
        <w:textAlignment w:val="auto"/>
        <w:rPr>
          <w:rFonts w:ascii="仿宋_GB2312" w:hAnsi="黑体" w:eastAsia="仿宋_GB2312"/>
          <w:sz w:val="32"/>
          <w:szCs w:val="32"/>
        </w:rPr>
      </w:pPr>
      <w:r>
        <w:rPr>
          <w:rFonts w:hint="eastAsia" w:ascii="仿宋_GB2312" w:hAnsi="黑体" w:eastAsia="仿宋_GB2312"/>
          <w:sz w:val="32"/>
          <w:szCs w:val="32"/>
        </w:rPr>
        <w:t>表17.部门预算项目（政策）绩效目标表</w:t>
      </w:r>
    </w:p>
    <w:p>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第三部分  沈阳市浑南区人民代表大会常务委员会202</w:t>
      </w:r>
      <w:r>
        <w:rPr>
          <w:rFonts w:hint="eastAsia" w:ascii="黑体" w:hAnsi="黑体" w:eastAsia="黑体"/>
          <w:sz w:val="32"/>
          <w:szCs w:val="32"/>
          <w:lang w:val="en-US" w:eastAsia="zh-CN"/>
        </w:rPr>
        <w:t>4</w:t>
      </w:r>
      <w:r>
        <w:rPr>
          <w:rFonts w:hint="eastAsia" w:ascii="黑体" w:hAnsi="黑体" w:eastAsia="黑体"/>
          <w:sz w:val="32"/>
          <w:szCs w:val="32"/>
        </w:rPr>
        <w:t>年部门预算情况说明</w:t>
      </w:r>
    </w:p>
    <w:p>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r>
        <w:rPr>
          <w:rFonts w:hint="eastAsia" w:ascii="黑体" w:hAnsi="黑体" w:eastAsia="黑体"/>
          <w:sz w:val="32"/>
          <w:szCs w:val="32"/>
        </w:rPr>
        <w:t>第四部分  名词解释</w:t>
      </w:r>
    </w:p>
    <w:p>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p>
    <w:p>
      <w:pPr>
        <w:keepNext w:val="0"/>
        <w:keepLines w:val="0"/>
        <w:widowControl w:val="0"/>
        <w:kinsoku/>
        <w:wordWrap/>
        <w:overflowPunct/>
        <w:topLinePunct w:val="0"/>
        <w:autoSpaceDE/>
        <w:bidi w:val="0"/>
        <w:adjustRightInd/>
        <w:snapToGrid/>
        <w:spacing w:line="579" w:lineRule="exact"/>
        <w:textAlignment w:val="auto"/>
        <w:rPr>
          <w:rFonts w:ascii="黑体" w:hAnsi="黑体" w:eastAsia="黑体"/>
          <w:sz w:val="32"/>
          <w:szCs w:val="32"/>
        </w:rPr>
      </w:pPr>
    </w:p>
    <w:p>
      <w:pPr>
        <w:keepNext w:val="0"/>
        <w:keepLines w:val="0"/>
        <w:pageBreakBefore/>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第一部分 沈阳市浑南区人民代表大会常务委员会概况</w:t>
      </w:r>
    </w:p>
    <w:p>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宋体" w:hAnsi="宋体"/>
          <w:b/>
          <w:sz w:val="36"/>
          <w:szCs w:val="36"/>
        </w:rPr>
      </w:pPr>
      <w:r>
        <w:rPr>
          <w:rFonts w:hint="eastAsia" w:ascii="黑体" w:eastAsia="黑体"/>
          <w:sz w:val="32"/>
          <w:szCs w:val="32"/>
        </w:rPr>
        <w:t>一、主要职责</w:t>
      </w:r>
    </w:p>
    <w:p>
      <w:pPr>
        <w:keepNext w:val="0"/>
        <w:keepLines w:val="0"/>
        <w:widowControl w:val="0"/>
        <w:kinsoku/>
        <w:wordWrap/>
        <w:overflowPunct/>
        <w:topLinePunct w:val="0"/>
        <w:autoSpaceDE/>
        <w:bidi w:val="0"/>
        <w:adjustRightInd/>
        <w:snapToGrid/>
        <w:spacing w:line="579" w:lineRule="exact"/>
        <w:ind w:firstLine="640" w:firstLineChars="200"/>
        <w:jc w:val="left"/>
        <w:textAlignment w:val="auto"/>
        <w:rPr>
          <w:rFonts w:ascii="仿宋_GB2312" w:hAnsi="Calibri" w:eastAsia="仿宋_GB2312"/>
          <w:sz w:val="32"/>
          <w:szCs w:val="32"/>
        </w:rPr>
      </w:pPr>
      <w:r>
        <w:rPr>
          <w:rFonts w:hint="eastAsia" w:ascii="仿宋_GB2312" w:hAnsi="Calibri" w:eastAsia="仿宋_GB2312"/>
          <w:sz w:val="32"/>
          <w:szCs w:val="32"/>
        </w:rPr>
        <w:t>沈阳市浑南区人民代表大会常务委员会贯彻落实党中央关于财政工作的方针政策和决策部署及省委有关要求，在履行职责过程中坚持和加强党对财政工作的集中统一领导。主要职责是：</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（一）在本行政区域内，保证宪法、法律、行政法规和上级人民代表大会及其常务委员会决议的遵守和执行。</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（二）领导或者主持人民代表大会代表的选举。</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（三）召集人民代表大会会议。</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（四）讨论、决定本行政区域内的政治、经济、教育、科学、文化、卫生、环境和资源保护、民政、民族等工作的重大事项。</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（五）根据人民政府的建议，决定对本行政区域内的国民经济和社会发展计划、预算的部分变更。</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（六）监督人民政府、人民法院和人民检察院的工作，联系人民代表大会代表，受理人民群众对上述机关和国家工作人员的申诉和意见。</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（七）撤销人民政府的不适当的决定和命令。</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八）在人民代表大会闭会期间，决定副区长的个别任免；在区长和区人民法院院长、区人民检察院检察长因故不能担任职务的时候，从人民政府、人民法院、人民检察院副职领导人员中决定代理的人选；决定代理检察长，须报上一级人民检察院和人民代表大会常务委员会备案。</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（九）根据区长的提名，决定人民政府各部门负责人的任免。</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（十）按照人民法院组织法和人民检察院组织法的规定，任免区人民法院副院长、庭长、副庭长、审判委员会委员、审判员，任免区人民检察院副检察长、检察委员会委员、检察员。</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（十一）在人民代表大会闭会期间，补选上一级人民代表大会出缺的代表和罢免个别代表。</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_GB2312" w:hAnsi="仿宋" w:eastAsia="仿宋_GB2312" w:cs="仿宋_GB2312"/>
          <w:sz w:val="32"/>
          <w:szCs w:val="32"/>
        </w:rPr>
      </w:pPr>
      <w:r>
        <w:rPr>
          <w:rFonts w:hint="eastAsia" w:ascii="仿宋_GB2312" w:hAnsi="仿宋" w:eastAsia="仿宋_GB2312" w:cs="仿宋_GB2312"/>
          <w:sz w:val="32"/>
          <w:szCs w:val="32"/>
        </w:rPr>
        <w:t>（十二）决定授予地方的荣誉称号。</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 w:hAnsi="仿宋" w:eastAsia="仿宋" w:cs="仿宋_GB2312"/>
          <w:sz w:val="32"/>
          <w:szCs w:val="32"/>
        </w:rPr>
      </w:pPr>
      <w:r>
        <w:rPr>
          <w:rFonts w:hint="eastAsia" w:ascii="仿宋_GB2312" w:hAnsi="仿宋" w:eastAsia="仿宋_GB2312" w:cs="仿宋_GB2312"/>
          <w:sz w:val="32"/>
          <w:szCs w:val="32"/>
        </w:rPr>
        <w:t>（十三）承办人民代表大会闭会期间的其他日常工作</w:t>
      </w:r>
      <w:r>
        <w:rPr>
          <w:rFonts w:hint="eastAsia" w:ascii="仿宋" w:hAnsi="仿宋" w:eastAsia="仿宋" w:cs="仿宋_GB2312"/>
          <w:sz w:val="32"/>
          <w:szCs w:val="32"/>
        </w:rPr>
        <w:t>。</w:t>
      </w:r>
    </w:p>
    <w:p>
      <w:pPr>
        <w:keepNext w:val="0"/>
        <w:keepLines w:val="0"/>
        <w:widowControl w:val="0"/>
        <w:kinsoku/>
        <w:wordWrap/>
        <w:overflowPunct/>
        <w:topLinePunct w:val="0"/>
        <w:autoSpaceDE/>
        <w:bidi w:val="0"/>
        <w:adjustRightInd/>
        <w:snapToGrid/>
        <w:spacing w:line="579" w:lineRule="exact"/>
        <w:ind w:firstLine="640" w:firstLineChars="200"/>
        <w:jc w:val="left"/>
        <w:textAlignment w:val="auto"/>
        <w:rPr>
          <w:rFonts w:ascii="黑体" w:eastAsia="黑体"/>
          <w:sz w:val="32"/>
          <w:szCs w:val="32"/>
        </w:rPr>
      </w:pPr>
      <w:r>
        <w:rPr>
          <w:rFonts w:hint="eastAsia" w:ascii="黑体" w:eastAsia="黑体"/>
          <w:sz w:val="32"/>
          <w:szCs w:val="32"/>
        </w:rPr>
        <w:t>二、部门预算单位构成</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纳入沈阳市浑南区人民代表大会常务委员会202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年部门预算编制范围的单位包括：</w:t>
      </w:r>
    </w:p>
    <w:p>
      <w:pPr>
        <w:keepNext w:val="0"/>
        <w:keepLines w:val="0"/>
        <w:widowControl w:val="0"/>
        <w:kinsoku/>
        <w:wordWrap/>
        <w:overflowPunct/>
        <w:topLinePunct w:val="0"/>
        <w:autoSpaceDE/>
        <w:autoSpaceDN w:val="0"/>
        <w:bidi w:val="0"/>
        <w:adjustRightInd/>
        <w:snapToGrid/>
        <w:spacing w:line="579" w:lineRule="exact"/>
        <w:ind w:firstLine="645"/>
        <w:textAlignment w:val="auto"/>
        <w:rPr>
          <w:rFonts w:ascii="仿宋_GB2312" w:hAnsi="仿宋" w:eastAsia="仿宋_GB2312" w:cs="仿宋_GB2312"/>
          <w:sz w:val="32"/>
          <w:szCs w:val="32"/>
        </w:rPr>
      </w:pPr>
      <w:r>
        <w:rPr>
          <w:rFonts w:hint="eastAsia" w:ascii="仿宋_GB2312" w:hAnsi="仿宋" w:eastAsia="仿宋_GB2312" w:cs="仿宋_GB2312"/>
          <w:sz w:val="32"/>
          <w:szCs w:val="32"/>
        </w:rPr>
        <w:t>沈阳市浑南区人民代表大会常务委员会本级</w:t>
      </w:r>
    </w:p>
    <w:p>
      <w:pPr>
        <w:keepNext w:val="0"/>
        <w:keepLines w:val="0"/>
        <w:widowControl w:val="0"/>
        <w:kinsoku/>
        <w:wordWrap/>
        <w:overflowPunct/>
        <w:topLinePunct w:val="0"/>
        <w:autoSpaceDE/>
        <w:autoSpaceDN w:val="0"/>
        <w:bidi w:val="0"/>
        <w:adjustRightInd/>
        <w:snapToGrid/>
        <w:spacing w:line="579" w:lineRule="exact"/>
        <w:ind w:firstLine="640"/>
        <w:textAlignment w:val="auto"/>
        <w:rPr>
          <w:rFonts w:ascii="仿宋" w:hAnsi="仿宋" w:eastAsia="仿宋" w:cs="仿宋_GB2312"/>
          <w:sz w:val="32"/>
          <w:szCs w:val="32"/>
        </w:rPr>
      </w:pPr>
    </w:p>
    <w:p>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p>
    <w:p>
      <w:pPr>
        <w:keepNext w:val="0"/>
        <w:keepLines w:val="0"/>
        <w:widowControl w:val="0"/>
        <w:kinsoku/>
        <w:wordWrap/>
        <w:overflowPunct/>
        <w:topLinePunct w:val="0"/>
        <w:autoSpaceDE/>
        <w:bidi w:val="0"/>
        <w:adjustRightInd/>
        <w:snapToGrid/>
        <w:spacing w:line="579" w:lineRule="exact"/>
        <w:textAlignment w:val="auto"/>
        <w:rPr>
          <w:rFonts w:ascii="宋体" w:hAnsi="宋体"/>
          <w:b/>
          <w:sz w:val="36"/>
          <w:szCs w:val="36"/>
        </w:rPr>
      </w:pPr>
    </w:p>
    <w:p>
      <w:pPr>
        <w:keepNext w:val="0"/>
        <w:keepLines w:val="0"/>
        <w:widowControl w:val="0"/>
        <w:kinsoku/>
        <w:wordWrap/>
        <w:overflowPunct/>
        <w:topLinePunct w:val="0"/>
        <w:autoSpaceDE/>
        <w:bidi w:val="0"/>
        <w:adjustRightInd/>
        <w:snapToGrid/>
        <w:spacing w:line="579" w:lineRule="exact"/>
        <w:textAlignment w:val="auto"/>
        <w:rPr>
          <w:rFonts w:ascii="宋体" w:hAnsi="宋体"/>
          <w:b/>
          <w:sz w:val="36"/>
          <w:szCs w:val="36"/>
        </w:rPr>
      </w:pPr>
    </w:p>
    <w:p>
      <w:pPr>
        <w:keepNext w:val="0"/>
        <w:keepLines w:val="0"/>
        <w:pageBreakBefore/>
        <w:widowControl w:val="0"/>
        <w:kinsoku/>
        <w:wordWrap/>
        <w:overflowPunct/>
        <w:topLinePunct w:val="0"/>
        <w:autoSpaceDE/>
        <w:bidi w:val="0"/>
        <w:adjustRightInd/>
        <w:snapToGrid/>
        <w:spacing w:line="579" w:lineRule="exact"/>
        <w:jc w:val="center"/>
        <w:textAlignment w:val="auto"/>
        <w:rPr>
          <w:rFonts w:ascii="仿宋_GB2312" w:eastAsia="仿宋_GB2312"/>
          <w:sz w:val="32"/>
          <w:szCs w:val="32"/>
        </w:rPr>
      </w:pPr>
      <w:r>
        <w:rPr>
          <w:rFonts w:hint="eastAsia" w:ascii="宋体" w:hAnsi="宋体"/>
          <w:b/>
          <w:sz w:val="36"/>
          <w:szCs w:val="36"/>
        </w:rPr>
        <w:t>第二部分 沈阳市浑南区人民代表大会常务委员会202</w:t>
      </w:r>
      <w:r>
        <w:rPr>
          <w:rFonts w:hint="eastAsia" w:ascii="宋体" w:hAnsi="宋体"/>
          <w:b/>
          <w:sz w:val="36"/>
          <w:szCs w:val="36"/>
          <w:lang w:val="en-US" w:eastAsia="zh-CN"/>
        </w:rPr>
        <w:t>4</w:t>
      </w:r>
      <w:r>
        <w:rPr>
          <w:rFonts w:hint="eastAsia" w:ascii="宋体" w:hAnsi="宋体"/>
          <w:b/>
          <w:sz w:val="36"/>
          <w:szCs w:val="36"/>
        </w:rPr>
        <w:t>年部门预算公开表</w:t>
      </w:r>
    </w:p>
    <w:p>
      <w:pPr>
        <w:keepNext w:val="0"/>
        <w:keepLines w:val="0"/>
        <w:widowControl w:val="0"/>
        <w:kinsoku/>
        <w:wordWrap/>
        <w:overflowPunct/>
        <w:topLinePunct w:val="0"/>
        <w:autoSpaceDE/>
        <w:bidi w:val="0"/>
        <w:adjustRightInd/>
        <w:snapToGrid/>
        <w:spacing w:line="579" w:lineRule="exact"/>
        <w:ind w:firstLine="660"/>
        <w:textAlignment w:val="auto"/>
        <w:rPr>
          <w:rFonts w:ascii="仿宋_GB2312" w:hAnsi="宋体" w:eastAsia="仿宋_GB2312"/>
          <w:sz w:val="32"/>
          <w:szCs w:val="32"/>
        </w:rPr>
      </w:pPr>
      <w:r>
        <w:rPr>
          <w:rFonts w:hint="eastAsia" w:ascii="仿宋_GB2312" w:hAnsi="宋体" w:eastAsia="仿宋_GB2312"/>
          <w:sz w:val="32"/>
          <w:szCs w:val="32"/>
        </w:rPr>
        <w:t>见附表</w:t>
      </w:r>
    </w:p>
    <w:p>
      <w:pPr>
        <w:keepNext w:val="0"/>
        <w:keepLines w:val="0"/>
        <w:widowControl w:val="0"/>
        <w:kinsoku/>
        <w:wordWrap/>
        <w:overflowPunct/>
        <w:topLinePunct w:val="0"/>
        <w:autoSpaceDE/>
        <w:bidi w:val="0"/>
        <w:adjustRightInd/>
        <w:snapToGrid/>
        <w:spacing w:line="579" w:lineRule="exact"/>
        <w:textAlignment w:val="auto"/>
        <w:rPr>
          <w:rFonts w:ascii="黑体" w:eastAsia="黑体"/>
          <w:sz w:val="32"/>
          <w:szCs w:val="32"/>
        </w:rPr>
      </w:pPr>
    </w:p>
    <w:p>
      <w:pPr>
        <w:pStyle w:val="2"/>
        <w:keepNext w:val="0"/>
        <w:keepLines w:val="0"/>
        <w:pageBreakBefore/>
        <w:widowControl w:val="0"/>
        <w:kinsoku/>
        <w:wordWrap/>
        <w:overflowPunct/>
        <w:topLinePunct w:val="0"/>
        <w:autoSpaceDE/>
        <w:bidi w:val="0"/>
        <w:adjustRightInd/>
        <w:snapToGrid/>
        <w:spacing w:line="579" w:lineRule="exact"/>
        <w:ind w:firstLine="527"/>
        <w:textAlignment w:val="auto"/>
        <w:rPr>
          <w:rFonts w:ascii="宋体" w:hAnsi="宋体" w:eastAsia="宋体"/>
          <w:b/>
          <w:sz w:val="36"/>
          <w:szCs w:val="36"/>
        </w:rPr>
      </w:pPr>
      <w:r>
        <w:rPr>
          <w:rFonts w:hint="eastAsia" w:ascii="宋体" w:hAnsi="宋体" w:eastAsia="宋体"/>
          <w:b/>
          <w:sz w:val="36"/>
          <w:szCs w:val="36"/>
        </w:rPr>
        <w:t>第三部分沈阳市浑南区人民代表大会常务委员会</w:t>
      </w:r>
    </w:p>
    <w:p>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年部门预算情况说明</w:t>
      </w:r>
    </w:p>
    <w:p>
      <w:pPr>
        <w:keepNext w:val="0"/>
        <w:keepLines w:val="0"/>
        <w:widowControl w:val="0"/>
        <w:kinsoku/>
        <w:wordWrap/>
        <w:overflowPunct/>
        <w:topLinePunct w:val="0"/>
        <w:autoSpaceDE/>
        <w:bidi w:val="0"/>
        <w:adjustRightInd/>
        <w:snapToGrid/>
        <w:spacing w:line="579" w:lineRule="exact"/>
        <w:jc w:val="center"/>
        <w:textAlignment w:val="auto"/>
        <w:rPr>
          <w:rFonts w:ascii="宋体" w:hAnsi="宋体"/>
          <w:b/>
          <w:sz w:val="36"/>
          <w:szCs w:val="36"/>
        </w:rPr>
      </w:pPr>
    </w:p>
    <w:p>
      <w:pPr>
        <w:pStyle w:val="2"/>
        <w:keepNext w:val="0"/>
        <w:keepLines w:val="0"/>
        <w:widowControl w:val="0"/>
        <w:kinsoku/>
        <w:wordWrap/>
        <w:overflowPunct/>
        <w:topLinePunct w:val="0"/>
        <w:autoSpaceDE/>
        <w:bidi w:val="0"/>
        <w:adjustRightInd/>
        <w:snapToGrid/>
        <w:spacing w:line="579" w:lineRule="exact"/>
        <w:textAlignment w:val="auto"/>
        <w:rPr>
          <w:rFonts w:ascii="黑体" w:hAnsi="黑体" w:eastAsia="黑体"/>
          <w:szCs w:val="32"/>
        </w:rPr>
      </w:pPr>
      <w:r>
        <w:rPr>
          <w:rFonts w:hint="eastAsia" w:ascii="黑体" w:hAnsi="黑体" w:eastAsia="黑体"/>
          <w:szCs w:val="32"/>
        </w:rPr>
        <w:t>一、关于沈阳市浑南区人民代表大会常务委员会</w:t>
      </w:r>
      <w:r>
        <w:rPr>
          <w:rFonts w:hint="eastAsia" w:ascii="黑体" w:hAnsi="黑体" w:eastAsia="黑体"/>
          <w:szCs w:val="32"/>
          <w:lang w:eastAsia="zh-CN"/>
        </w:rPr>
        <w:t>2024</w:t>
      </w:r>
      <w:r>
        <w:rPr>
          <w:rFonts w:hint="eastAsia" w:ascii="黑体" w:hAnsi="黑体" w:eastAsia="黑体"/>
          <w:szCs w:val="32"/>
        </w:rPr>
        <w:t>年收支预算的总体说明</w:t>
      </w:r>
    </w:p>
    <w:p>
      <w:pPr>
        <w:keepNext w:val="0"/>
        <w:keepLines w:val="0"/>
        <w:widowControl w:val="0"/>
        <w:kinsoku/>
        <w:wordWrap/>
        <w:overflowPunct/>
        <w:topLinePunct w:val="0"/>
        <w:autoSpaceDE/>
        <w:bidi w:val="0"/>
        <w:adjustRightInd/>
        <w:snapToGrid/>
        <w:spacing w:line="579" w:lineRule="exact"/>
        <w:ind w:firstLine="660"/>
        <w:textAlignment w:val="auto"/>
        <w:rPr>
          <w:rFonts w:ascii="仿宋_GB2312" w:hAnsi="宋体" w:eastAsia="仿宋_GB2312"/>
          <w:sz w:val="32"/>
          <w:szCs w:val="32"/>
        </w:rPr>
      </w:pPr>
      <w:r>
        <w:rPr>
          <w:rFonts w:hint="eastAsia" w:ascii="仿宋_GB2312" w:hAnsi="宋体" w:eastAsia="仿宋_GB2312"/>
          <w:sz w:val="32"/>
          <w:szCs w:val="32"/>
        </w:rPr>
        <w:t>按照综合预算的原则，沈阳市浑南区人民代表大会常务委员会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沈阳市浑南区人民代表大会常务委员会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950.43</w:t>
      </w:r>
      <w:r>
        <w:rPr>
          <w:rFonts w:hint="eastAsia" w:ascii="仿宋_GB2312" w:hAnsi="宋体" w:eastAsia="仿宋_GB2312"/>
          <w:sz w:val="32"/>
          <w:szCs w:val="32"/>
        </w:rPr>
        <w:t>万元，比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983.07</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减少32.64</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经费压缩</w:t>
      </w:r>
      <w:r>
        <w:rPr>
          <w:rFonts w:hint="eastAsia" w:ascii="仿宋_GB2312" w:hAnsi="宋体" w:eastAsia="仿宋_GB2312"/>
          <w:sz w:val="32"/>
          <w:szCs w:val="32"/>
        </w:rPr>
        <w:t>。</w:t>
      </w:r>
    </w:p>
    <w:p>
      <w:pPr>
        <w:keepNext w:val="0"/>
        <w:keepLines w:val="0"/>
        <w:widowControl w:val="0"/>
        <w:kinsoku/>
        <w:wordWrap/>
        <w:overflowPunct/>
        <w:topLinePunct w:val="0"/>
        <w:autoSpaceDE/>
        <w:bidi w:val="0"/>
        <w:adjustRightInd/>
        <w:snapToGrid/>
        <w:spacing w:line="579" w:lineRule="exact"/>
        <w:ind w:firstLine="660"/>
        <w:textAlignment w:val="auto"/>
        <w:rPr>
          <w:rFonts w:ascii="黑体" w:hAnsi="黑体" w:eastAsia="黑体"/>
          <w:sz w:val="32"/>
          <w:szCs w:val="32"/>
        </w:rPr>
      </w:pPr>
      <w:r>
        <w:rPr>
          <w:rFonts w:hint="eastAsia" w:ascii="黑体" w:hAnsi="黑体" w:eastAsia="黑体"/>
          <w:sz w:val="32"/>
          <w:szCs w:val="32"/>
        </w:rPr>
        <w:t>二、关于沈阳市浑南区人民代表大会常务委员会一般公共预算202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keepNext w:val="0"/>
        <w:keepLines w:val="0"/>
        <w:widowControl w:val="0"/>
        <w:kinsoku/>
        <w:wordWrap/>
        <w:overflowPunct/>
        <w:topLinePunct w:val="0"/>
        <w:autoSpaceDE/>
        <w:bidi w:val="0"/>
        <w:adjustRightInd/>
        <w:snapToGrid/>
        <w:spacing w:line="579" w:lineRule="exact"/>
        <w:ind w:firstLine="645"/>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2024</w:t>
      </w:r>
      <w:r>
        <w:rPr>
          <w:rFonts w:hint="eastAsia" w:ascii="仿宋_GB2312" w:hAnsi="宋体" w:eastAsia="仿宋_GB2312"/>
          <w:sz w:val="32"/>
          <w:szCs w:val="32"/>
        </w:rPr>
        <w:t>年一般公共预算“三公”经费预算数0万元，其中：因公出国（境）费0万元；公务接待费0万元；公务用车购置及运行费0万元。</w:t>
      </w:r>
      <w:r>
        <w:rPr>
          <w:rFonts w:hint="eastAsia" w:ascii="仿宋_GB2312" w:hAnsi="宋体" w:eastAsia="仿宋_GB2312"/>
          <w:sz w:val="32"/>
          <w:szCs w:val="32"/>
          <w:lang w:eastAsia="zh-CN"/>
        </w:rPr>
        <w:t>2024</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与2023</w:t>
      </w:r>
      <w:r>
        <w:rPr>
          <w:rFonts w:hint="eastAsia" w:ascii="仿宋_GB2312" w:hAnsi="宋体" w:eastAsia="仿宋_GB2312"/>
          <w:sz w:val="32"/>
          <w:szCs w:val="32"/>
        </w:rPr>
        <w:t>年预算数</w:t>
      </w:r>
      <w:r>
        <w:rPr>
          <w:rFonts w:hint="eastAsia" w:ascii="仿宋_GB2312" w:hAnsi="宋体" w:eastAsia="仿宋_GB2312"/>
          <w:sz w:val="32"/>
          <w:szCs w:val="32"/>
          <w:lang w:eastAsia="zh-CN"/>
        </w:rPr>
        <w:t>相同。</w:t>
      </w:r>
    </w:p>
    <w:p>
      <w:pPr>
        <w:keepNext w:val="0"/>
        <w:keepLines w:val="0"/>
        <w:widowControl w:val="0"/>
        <w:kinsoku/>
        <w:wordWrap/>
        <w:overflowPunct/>
        <w:topLinePunct w:val="0"/>
        <w:autoSpaceDE/>
        <w:bidi w:val="0"/>
        <w:adjustRightInd/>
        <w:snapToGrid/>
        <w:spacing w:line="579" w:lineRule="exact"/>
        <w:ind w:firstLine="627" w:firstLineChars="196"/>
        <w:textAlignment w:val="auto"/>
        <w:rPr>
          <w:rFonts w:ascii="黑体" w:hAnsi="黑体" w:eastAsia="黑体"/>
          <w:sz w:val="32"/>
          <w:szCs w:val="32"/>
        </w:rPr>
      </w:pPr>
      <w:r>
        <w:rPr>
          <w:rFonts w:hint="eastAsia" w:ascii="黑体" w:hAnsi="黑体" w:eastAsia="黑体"/>
          <w:sz w:val="32"/>
          <w:szCs w:val="32"/>
        </w:rPr>
        <w:t>三、其他重要事项的情况说明</w:t>
      </w:r>
    </w:p>
    <w:p>
      <w:pPr>
        <w:keepNext w:val="0"/>
        <w:keepLines w:val="0"/>
        <w:widowControl w:val="0"/>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（一）机关运行经费安排情况。</w:t>
      </w:r>
    </w:p>
    <w:p>
      <w:pPr>
        <w:keepNext w:val="0"/>
        <w:keepLines w:val="0"/>
        <w:widowControl w:val="0"/>
        <w:kinsoku/>
        <w:wordWrap/>
        <w:overflowPunct/>
        <w:topLinePunct w:val="0"/>
        <w:autoSpaceDE/>
        <w:bidi w:val="0"/>
        <w:adjustRightInd/>
        <w:snapToGrid/>
        <w:spacing w:line="579" w:lineRule="exact"/>
        <w:ind w:firstLine="645"/>
        <w:textAlignment w:val="auto"/>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年沈阳市浑南区人民代表大会常务委员会</w:t>
      </w:r>
      <w:r>
        <w:rPr>
          <w:rFonts w:hint="eastAsia" w:ascii="仿宋_GB2312" w:hAnsi="宋体" w:eastAsia="仿宋_GB2312"/>
          <w:sz w:val="32"/>
          <w:szCs w:val="32"/>
          <w:lang w:eastAsia="zh-CN"/>
        </w:rPr>
        <w:t>本级</w:t>
      </w:r>
      <w:r>
        <w:rPr>
          <w:rFonts w:hint="eastAsia" w:ascii="仿宋_GB2312" w:hAnsi="宋体" w:eastAsia="仿宋_GB2312"/>
          <w:sz w:val="32"/>
          <w:szCs w:val="32"/>
        </w:rPr>
        <w:t>机关运行经费财政拨款预算</w:t>
      </w:r>
      <w:r>
        <w:rPr>
          <w:rFonts w:hint="eastAsia" w:ascii="仿宋_GB2312" w:hAnsi="宋体" w:eastAsia="仿宋_GB2312"/>
          <w:sz w:val="32"/>
          <w:szCs w:val="32"/>
          <w:lang w:val="en-US" w:eastAsia="zh-CN"/>
        </w:rPr>
        <w:t>47.83</w:t>
      </w:r>
      <w:r>
        <w:rPr>
          <w:rFonts w:hint="eastAsia" w:ascii="仿宋_GB2312" w:hAnsi="宋体" w:eastAsia="仿宋_GB2312"/>
          <w:sz w:val="32"/>
          <w:szCs w:val="32"/>
        </w:rPr>
        <w:t>万元，比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w:t>
      </w:r>
      <w:r>
        <w:rPr>
          <w:rFonts w:hint="eastAsia" w:ascii="仿宋_GB2312" w:hAnsi="宋体" w:eastAsia="仿宋_GB2312"/>
          <w:sz w:val="32"/>
          <w:szCs w:val="32"/>
          <w:lang w:eastAsia="zh-CN"/>
        </w:rPr>
        <w:t>增加</w:t>
      </w:r>
      <w:r>
        <w:rPr>
          <w:rFonts w:hint="eastAsia" w:ascii="仿宋_GB2312" w:hAnsi="宋体" w:eastAsia="仿宋_GB2312"/>
          <w:sz w:val="32"/>
          <w:szCs w:val="32"/>
        </w:rPr>
        <w:t>了</w:t>
      </w:r>
      <w:r>
        <w:rPr>
          <w:rFonts w:hint="eastAsia" w:ascii="仿宋_GB2312" w:hAnsi="宋体" w:eastAsia="仿宋_GB2312"/>
          <w:sz w:val="32"/>
          <w:szCs w:val="32"/>
          <w:lang w:val="en-US" w:eastAsia="zh-CN"/>
        </w:rPr>
        <w:t>3.51</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7</w:t>
      </w:r>
      <w:r>
        <w:rPr>
          <w:rFonts w:hint="eastAsia" w:ascii="仿宋_GB2312" w:hAnsi="宋体" w:eastAsia="仿宋_GB2312"/>
          <w:sz w:val="32"/>
          <w:szCs w:val="32"/>
        </w:rPr>
        <w:t>%</w:t>
      </w:r>
      <w:r>
        <w:rPr>
          <w:rFonts w:hint="eastAsia" w:ascii="仿宋_GB2312" w:hAnsi="宋体" w:eastAsia="仿宋_GB2312"/>
          <w:sz w:val="32"/>
          <w:szCs w:val="32"/>
          <w:lang w:eastAsia="zh-CN"/>
        </w:rPr>
        <w:t>，主要是人员增加</w:t>
      </w:r>
      <w:r>
        <w:rPr>
          <w:rFonts w:hint="eastAsia" w:ascii="仿宋_GB2312" w:hAnsi="宋体" w:eastAsia="仿宋_GB2312"/>
          <w:sz w:val="32"/>
          <w:szCs w:val="32"/>
        </w:rPr>
        <w:t>。</w:t>
      </w:r>
    </w:p>
    <w:p>
      <w:pPr>
        <w:keepNext w:val="0"/>
        <w:keepLines w:val="0"/>
        <w:widowControl w:val="0"/>
        <w:numPr>
          <w:ilvl w:val="0"/>
          <w:numId w:val="2"/>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政府采购预算安排情况。</w:t>
      </w:r>
    </w:p>
    <w:p>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2024</w:t>
      </w:r>
      <w:r>
        <w:rPr>
          <w:rFonts w:hint="eastAsia" w:ascii="仿宋_GB2312" w:hAnsi="宋体" w:eastAsia="仿宋_GB2312"/>
          <w:sz w:val="32"/>
          <w:szCs w:val="32"/>
        </w:rPr>
        <w:t>年沈阳市浑南区人民代表大会</w:t>
      </w:r>
      <w:bookmarkStart w:id="1" w:name="_GoBack"/>
      <w:bookmarkEnd w:id="1"/>
      <w:r>
        <w:rPr>
          <w:rFonts w:hint="eastAsia" w:ascii="仿宋_GB2312" w:hAnsi="宋体" w:eastAsia="仿宋_GB2312"/>
          <w:sz w:val="32"/>
          <w:szCs w:val="32"/>
        </w:rPr>
        <w:t>常务委员会政府采购预算总额0万元，其中：政府采购货物预算0万元、政府采购工程预算0万元、政府采购服务预算0万元。</w:t>
      </w:r>
    </w:p>
    <w:p>
      <w:pPr>
        <w:keepNext w:val="0"/>
        <w:keepLines w:val="0"/>
        <w:widowControl w:val="0"/>
        <w:numPr>
          <w:ilvl w:val="0"/>
          <w:numId w:val="2"/>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国有资产占有使用情况。</w:t>
      </w:r>
    </w:p>
    <w:p>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2023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月31日，沈阳市浑南区人民代表大会常务委员会共有车辆0辆。单位价值200 万元以上大型设备0台（套）。</w:t>
      </w:r>
    </w:p>
    <w:p>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lang w:eastAsia="zh-CN"/>
        </w:rPr>
        <w:t>2024</w:t>
      </w:r>
      <w:r>
        <w:rPr>
          <w:rFonts w:hint="eastAsia" w:ascii="仿宋_GB2312" w:hAnsi="宋体" w:eastAsia="仿宋_GB2312"/>
          <w:sz w:val="32"/>
          <w:szCs w:val="32"/>
        </w:rPr>
        <w:t>年部门预算安排购置车辆0台，安排单位价值200 万元以上大型设备0台。</w:t>
      </w:r>
    </w:p>
    <w:p>
      <w:pPr>
        <w:keepNext w:val="0"/>
        <w:keepLines w:val="0"/>
        <w:widowControl w:val="0"/>
        <w:numPr>
          <w:ilvl w:val="0"/>
          <w:numId w:val="3"/>
        </w:numPr>
        <w:kinsoku/>
        <w:wordWrap/>
        <w:overflowPunct/>
        <w:topLinePunct w:val="0"/>
        <w:autoSpaceDE/>
        <w:bidi w:val="0"/>
        <w:adjustRightInd/>
        <w:snapToGrid/>
        <w:spacing w:line="579" w:lineRule="exact"/>
        <w:ind w:firstLine="645"/>
        <w:textAlignment w:val="auto"/>
        <w:rPr>
          <w:rFonts w:ascii="楷体_GB2312" w:hAnsi="宋体" w:eastAsia="楷体_GB2312"/>
          <w:sz w:val="32"/>
          <w:szCs w:val="32"/>
        </w:rPr>
      </w:pPr>
      <w:r>
        <w:rPr>
          <w:rFonts w:hint="eastAsia" w:ascii="楷体_GB2312" w:hAnsi="宋体" w:eastAsia="楷体_GB2312"/>
          <w:sz w:val="32"/>
          <w:szCs w:val="32"/>
        </w:rPr>
        <w:t>绩效目标设置情况。</w:t>
      </w:r>
    </w:p>
    <w:p>
      <w:pPr>
        <w:keepNext w:val="0"/>
        <w:keepLines w:val="0"/>
        <w:pageBreakBefore w:val="0"/>
        <w:widowControl w:val="0"/>
        <w:kinsoku/>
        <w:wordWrap/>
        <w:overflowPunct/>
        <w:topLinePunct w:val="0"/>
        <w:autoSpaceDE/>
        <w:autoSpaceDN/>
        <w:bidi w:val="0"/>
        <w:adjustRightInd/>
        <w:snapToGrid/>
        <w:spacing w:line="579" w:lineRule="exact"/>
        <w:ind w:firstLine="645"/>
        <w:textAlignment w:val="auto"/>
        <w:rPr>
          <w:rFonts w:hint="eastAsia" w:ascii="仿宋_GB2312" w:hAnsi="宋体" w:eastAsia="仿宋_GB2312" w:cs="Times New Roman"/>
          <w:sz w:val="32"/>
          <w:szCs w:val="32"/>
        </w:rPr>
      </w:pPr>
      <w:r>
        <w:rPr>
          <w:rFonts w:hint="eastAsia" w:ascii="仿宋_GB2312" w:hAnsi="宋体" w:eastAsia="仿宋_GB2312"/>
          <w:sz w:val="32"/>
          <w:szCs w:val="32"/>
        </w:rPr>
        <w:t>根据预算绩效管理要求，沈阳市浑南区人民代表大会常务委员会在</w:t>
      </w:r>
      <w:r>
        <w:rPr>
          <w:rFonts w:hint="eastAsia" w:ascii="仿宋_GB2312" w:hAnsi="宋体" w:eastAsia="仿宋_GB2312"/>
          <w:sz w:val="32"/>
          <w:szCs w:val="32"/>
          <w:lang w:eastAsia="zh-CN"/>
        </w:rPr>
        <w:t>2024</w:t>
      </w:r>
      <w:r>
        <w:rPr>
          <w:rFonts w:hint="eastAsia" w:ascii="仿宋_GB2312" w:hAnsi="宋体" w:eastAsia="仿宋_GB2312"/>
          <w:sz w:val="32"/>
          <w:szCs w:val="32"/>
        </w:rPr>
        <w:t>年应编制部门整体绩效目标</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14</w:t>
      </w:r>
      <w:r>
        <w:rPr>
          <w:rFonts w:hint="eastAsia" w:ascii="仿宋_GB2312" w:hAnsi="宋体" w:eastAsia="仿宋_GB2312"/>
          <w:sz w:val="32"/>
          <w:szCs w:val="32"/>
        </w:rPr>
        <w:t>个，编制部门整体绩效目标覆盖率为100%。</w:t>
      </w:r>
      <w:r>
        <w:rPr>
          <w:rFonts w:hint="eastAsia" w:ascii="仿宋_GB2312" w:hAnsi="宋体" w:eastAsia="仿宋_GB2312" w:cs="Times New Roman"/>
          <w:sz w:val="32"/>
          <w:szCs w:val="32"/>
        </w:rPr>
        <w:t>202</w:t>
      </w:r>
      <w:r>
        <w:rPr>
          <w:rFonts w:hint="eastAsia" w:ascii="仿宋_GB2312" w:hAnsi="宋体" w:eastAsia="仿宋_GB2312" w:cs="Times New Roman"/>
          <w:sz w:val="32"/>
          <w:szCs w:val="32"/>
          <w:lang w:val="en-US" w:eastAsia="zh-CN"/>
        </w:rPr>
        <w:t>4</w:t>
      </w:r>
      <w:r>
        <w:rPr>
          <w:rFonts w:hint="eastAsia" w:ascii="仿宋_GB2312" w:hAnsi="宋体" w:eastAsia="仿宋_GB2312" w:cs="Times New Roman"/>
          <w:sz w:val="32"/>
          <w:szCs w:val="32"/>
        </w:rPr>
        <w:t>年应编制绩效目标的特定目标类项目共0个，实际编制绩效目标的特定目标类项目共0个，编制特定目标类项目绩效目标覆盖率为0。</w:t>
      </w:r>
    </w:p>
    <w:p>
      <w:pPr>
        <w:keepNext w:val="0"/>
        <w:keepLines w:val="0"/>
        <w:widowControl w:val="0"/>
        <w:kinsoku/>
        <w:wordWrap/>
        <w:overflowPunct/>
        <w:topLinePunct w:val="0"/>
        <w:autoSpaceDE/>
        <w:bidi w:val="0"/>
        <w:adjustRightInd/>
        <w:snapToGrid/>
        <w:spacing w:line="579" w:lineRule="exact"/>
        <w:ind w:firstLine="645"/>
        <w:textAlignment w:val="auto"/>
        <w:rPr>
          <w:rFonts w:hint="eastAsia" w:ascii="仿宋_GB2312" w:hAnsi="宋体" w:eastAsia="仿宋_GB2312"/>
          <w:sz w:val="32"/>
          <w:szCs w:val="32"/>
        </w:rPr>
      </w:pPr>
    </w:p>
    <w:p>
      <w:pPr>
        <w:keepNext w:val="0"/>
        <w:keepLines w:val="0"/>
        <w:widowControl w:val="0"/>
        <w:kinsoku/>
        <w:wordWrap/>
        <w:overflowPunct/>
        <w:topLinePunct w:val="0"/>
        <w:autoSpaceDE/>
        <w:bidi w:val="0"/>
        <w:adjustRightInd/>
        <w:snapToGrid/>
        <w:spacing w:line="579" w:lineRule="exact"/>
        <w:ind w:firstLine="640" w:firstLineChars="200"/>
        <w:textAlignment w:val="auto"/>
        <w:rPr>
          <w:rFonts w:ascii="仿宋_GB2312" w:hAnsi="宋体" w:eastAsia="仿宋_GB2312"/>
          <w:sz w:val="32"/>
          <w:szCs w:val="32"/>
        </w:rPr>
      </w:pPr>
    </w:p>
    <w:p>
      <w:pPr>
        <w:keepNext w:val="0"/>
        <w:keepLines w:val="0"/>
        <w:pageBreakBefore/>
        <w:widowControl w:val="0"/>
        <w:kinsoku/>
        <w:wordWrap/>
        <w:overflowPunct/>
        <w:topLinePunct w:val="0"/>
        <w:autoSpaceDE/>
        <w:bidi w:val="0"/>
        <w:adjustRightInd/>
        <w:snapToGrid/>
        <w:spacing w:line="579" w:lineRule="exact"/>
        <w:jc w:val="center"/>
        <w:textAlignment w:val="auto"/>
        <w:rPr>
          <w:rFonts w:ascii="宋体" w:hAnsi="宋体"/>
          <w:b/>
          <w:sz w:val="36"/>
          <w:szCs w:val="36"/>
        </w:rPr>
      </w:pPr>
      <w:r>
        <w:rPr>
          <w:rFonts w:hint="eastAsia" w:ascii="宋体" w:hAnsi="宋体"/>
          <w:b/>
          <w:sz w:val="36"/>
          <w:szCs w:val="36"/>
        </w:rPr>
        <w:t>第四部分 名词解释</w:t>
      </w:r>
    </w:p>
    <w:p>
      <w:pPr>
        <w:keepNext w:val="0"/>
        <w:keepLines w:val="0"/>
        <w:widowControl w:val="0"/>
        <w:kinsoku/>
        <w:wordWrap/>
        <w:overflowPunct/>
        <w:topLinePunct w:val="0"/>
        <w:autoSpaceDE/>
        <w:bidi w:val="0"/>
        <w:adjustRightInd/>
        <w:snapToGrid/>
        <w:spacing w:line="579" w:lineRule="exact"/>
        <w:jc w:val="center"/>
        <w:textAlignment w:val="auto"/>
        <w:rPr>
          <w:rFonts w:ascii="黑体" w:eastAsia="黑体"/>
          <w:sz w:val="36"/>
          <w:szCs w:val="36"/>
        </w:rPr>
      </w:pP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17.项目支出：</w:t>
      </w:r>
      <w:r>
        <w:rPr>
          <w:rFonts w:hint="eastAsia" w:ascii="仿宋_GB2312" w:eastAsia="仿宋_GB2312"/>
          <w:sz w:val="32"/>
          <w:szCs w:val="32"/>
        </w:rPr>
        <w:t>指在基本支出之外为完成特定行政任务和事业发展目标所发生的支出。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widowControl w:val="0"/>
        <w:kinsoku/>
        <w:wordWrap/>
        <w:overflowPunct/>
        <w:topLinePunct w:val="0"/>
        <w:autoSpaceDE/>
        <w:bidi w:val="0"/>
        <w:adjustRightInd/>
        <w:snapToGrid/>
        <w:spacing w:line="579" w:lineRule="exact"/>
        <w:ind w:firstLine="643" w:firstLineChars="200"/>
        <w:jc w:val="left"/>
        <w:textAlignment w:val="auto"/>
        <w:rPr>
          <w:rFonts w:ascii="仿宋_GB2312" w:eastAsia="仿宋_GB2312"/>
          <w:b/>
          <w:sz w:val="32"/>
          <w:szCs w:val="32"/>
        </w:rPr>
      </w:pPr>
    </w:p>
    <w:sectPr>
      <w:headerReference r:id="rId3" w:type="default"/>
      <w:footerReference r:id="rId4"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3ECBB1"/>
    <w:multiLevelType w:val="singleLevel"/>
    <w:tmpl w:val="993ECBB1"/>
    <w:lvl w:ilvl="0" w:tentative="0">
      <w:start w:val="2"/>
      <w:numFmt w:val="chineseCounting"/>
      <w:suff w:val="nothing"/>
      <w:lvlText w:val="（%1）"/>
      <w:lvlJc w:val="left"/>
      <w:rPr>
        <w:rFonts w:hint="eastAsia"/>
      </w:rPr>
    </w:lvl>
  </w:abstractNum>
  <w:abstractNum w:abstractNumId="1">
    <w:nsid w:val="1030B244"/>
    <w:multiLevelType w:val="singleLevel"/>
    <w:tmpl w:val="1030B244"/>
    <w:lvl w:ilvl="0" w:tentative="0">
      <w:start w:val="1"/>
      <w:numFmt w:val="chineseCounting"/>
      <w:suff w:val="space"/>
      <w:lvlText w:val="第%1部分"/>
      <w:lvlJc w:val="left"/>
      <w:rPr>
        <w:rFonts w:hint="eastAsia"/>
      </w:rPr>
    </w:lvl>
  </w:abstractNum>
  <w:abstractNum w:abstractNumId="2">
    <w:nsid w:val="6D1D0CDB"/>
    <w:multiLevelType w:val="singleLevel"/>
    <w:tmpl w:val="6D1D0CDB"/>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mNjFiOGJiYjBhNTQ1YzEwOTAwMWQ4ODFlYjU1OTA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A6DF0"/>
    <w:rsid w:val="000B3BE6"/>
    <w:rsid w:val="000B6EA5"/>
    <w:rsid w:val="000C25F9"/>
    <w:rsid w:val="000C5586"/>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153A"/>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3DB2"/>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0E91"/>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E387F"/>
    <w:rsid w:val="007F3E2E"/>
    <w:rsid w:val="007F3F92"/>
    <w:rsid w:val="007F778A"/>
    <w:rsid w:val="008028C5"/>
    <w:rsid w:val="00802CAA"/>
    <w:rsid w:val="00804577"/>
    <w:rsid w:val="0080500F"/>
    <w:rsid w:val="00813618"/>
    <w:rsid w:val="00822456"/>
    <w:rsid w:val="00832715"/>
    <w:rsid w:val="00832E30"/>
    <w:rsid w:val="00836384"/>
    <w:rsid w:val="008369B0"/>
    <w:rsid w:val="008479C3"/>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0A8F"/>
    <w:rsid w:val="0095395F"/>
    <w:rsid w:val="00954AA1"/>
    <w:rsid w:val="00960C9E"/>
    <w:rsid w:val="00962CF5"/>
    <w:rsid w:val="00963607"/>
    <w:rsid w:val="00966852"/>
    <w:rsid w:val="00975CF6"/>
    <w:rsid w:val="00982362"/>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0AE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B7D32"/>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49"/>
    <w:rsid w:val="00E54C91"/>
    <w:rsid w:val="00E578B5"/>
    <w:rsid w:val="00E6159D"/>
    <w:rsid w:val="00E6439A"/>
    <w:rsid w:val="00E66107"/>
    <w:rsid w:val="00E71CCC"/>
    <w:rsid w:val="00E9427A"/>
    <w:rsid w:val="00E972C9"/>
    <w:rsid w:val="00E97862"/>
    <w:rsid w:val="00EA0C9B"/>
    <w:rsid w:val="00EA3A86"/>
    <w:rsid w:val="00EA4380"/>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26735B9"/>
    <w:rsid w:val="14104275"/>
    <w:rsid w:val="157D677A"/>
    <w:rsid w:val="1D690460"/>
    <w:rsid w:val="1EE016F0"/>
    <w:rsid w:val="1F391B8E"/>
    <w:rsid w:val="20513851"/>
    <w:rsid w:val="22285514"/>
    <w:rsid w:val="266670A1"/>
    <w:rsid w:val="2D933C47"/>
    <w:rsid w:val="346F7900"/>
    <w:rsid w:val="35655560"/>
    <w:rsid w:val="418B70F9"/>
    <w:rsid w:val="4F5072C9"/>
    <w:rsid w:val="52A34F90"/>
    <w:rsid w:val="53D11ADA"/>
    <w:rsid w:val="55451E8B"/>
    <w:rsid w:val="57B154FC"/>
    <w:rsid w:val="5E2A5682"/>
    <w:rsid w:val="66710FC0"/>
    <w:rsid w:val="790F78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 w:type="paragraph" w:customStyle="1" w:styleId="10">
    <w:name w:val="_Style 2"/>
    <w:basedOn w:val="1"/>
    <w:qFormat/>
    <w:uiPriority w:val="0"/>
    <w:pPr>
      <w:widowControl/>
      <w:jc w:val="left"/>
    </w:pPr>
    <w:rPr>
      <w:rFonts w:ascii="Verdana" w:hAnsi="Verdana" w:eastAsia="仿宋_GB2312"/>
      <w:kern w:val="0"/>
      <w:sz w:val="28"/>
      <w:szCs w:val="20"/>
      <w:lang w:eastAsia="en-US"/>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12</Pages>
  <Words>3296</Words>
  <Characters>3456</Characters>
  <Lines>25</Lines>
  <Paragraphs>7</Paragraphs>
  <TotalTime>1693</TotalTime>
  <ScaleCrop>false</ScaleCrop>
  <LinksUpToDate>false</LinksUpToDate>
  <CharactersWithSpaces>3483</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11922</cp:lastModifiedBy>
  <cp:lastPrinted>2024-01-31T02:08:25Z</cp:lastPrinted>
  <dcterms:modified xsi:type="dcterms:W3CDTF">2024-01-31T02:48:25Z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D94068F49CF24C6A86198457928AF05D</vt:lpwstr>
  </property>
</Properties>
</file>