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p>
    <w:p>
      <w:pPr>
        <w:jc w:val="center"/>
        <w:rPr>
          <w:rFonts w:hint="eastAsia" w:ascii="楷体" w:hAnsi="楷体" w:eastAsia="楷体"/>
          <w:b/>
          <w:sz w:val="52"/>
          <w:szCs w:val="52"/>
          <w:lang w:val="en-US" w:eastAsia="zh-CN"/>
        </w:rPr>
      </w:pPr>
    </w:p>
    <w:p>
      <w:pPr>
        <w:ind w:firstLine="1566" w:firstLineChars="300"/>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沈阳理工大学附属学校</w:t>
      </w:r>
    </w:p>
    <w:p>
      <w:pPr>
        <w:jc w:val="center"/>
        <w:rPr>
          <w:rFonts w:hint="eastAsia" w:ascii="楷体" w:hAnsi="楷体" w:eastAsia="楷体"/>
          <w:b/>
          <w:sz w:val="52"/>
          <w:szCs w:val="52"/>
        </w:rPr>
      </w:pPr>
      <w:r>
        <w:rPr>
          <w:rFonts w:hint="eastAsia" w:ascii="楷体" w:hAnsi="楷体" w:eastAsia="楷体"/>
          <w:b/>
          <w:sz w:val="52"/>
          <w:szCs w:val="52"/>
          <w:lang w:val="en-US" w:eastAsia="zh-CN"/>
        </w:rPr>
        <w:t>2025</w:t>
      </w:r>
      <w:r>
        <w:rPr>
          <w:rFonts w:hint="eastAsia" w:ascii="楷体" w:hAnsi="楷体" w:eastAsia="楷体"/>
          <w:b/>
          <w:sz w:val="52"/>
          <w:szCs w:val="52"/>
        </w:rPr>
        <w:t>年</w:t>
      </w:r>
      <w:r>
        <w:rPr>
          <w:rFonts w:hint="eastAsia" w:ascii="楷体" w:hAnsi="楷体" w:eastAsia="楷体"/>
          <w:b/>
          <w:sz w:val="52"/>
          <w:szCs w:val="52"/>
          <w:lang w:val="en-US" w:eastAsia="zh-CN"/>
        </w:rPr>
        <w:t>度</w:t>
      </w:r>
      <w:r>
        <w:rPr>
          <w:rFonts w:hint="eastAsia" w:ascii="楷体" w:hAnsi="楷体" w:eastAsia="楷体"/>
          <w:b/>
          <w:sz w:val="52"/>
          <w:szCs w:val="52"/>
        </w:rPr>
        <w:t>部门预算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default" w:eastAsia="宋体"/>
          <w:b/>
          <w:sz w:val="44"/>
          <w:szCs w:val="44"/>
          <w:u w:val="single"/>
          <w:lang w:val="en-US" w:eastAsia="zh-CN"/>
        </w:rPr>
      </w:pPr>
    </w:p>
    <w:p>
      <w:pPr>
        <w:jc w:val="center"/>
        <w:rPr>
          <w:rFonts w:hint="eastAsia"/>
          <w:b/>
          <w:sz w:val="44"/>
          <w:szCs w:val="44"/>
          <w:u w:val="single"/>
        </w:rPr>
      </w:pPr>
    </w:p>
    <w:p>
      <w:pPr>
        <w:jc w:val="center"/>
        <w:rPr>
          <w:rFonts w:hint="eastAsia"/>
          <w:b/>
          <w:sz w:val="44"/>
          <w:szCs w:val="44"/>
        </w:rPr>
      </w:pPr>
    </w:p>
    <w:p>
      <w:pPr>
        <w:jc w:val="both"/>
        <w:rPr>
          <w:rFonts w:hint="eastAsia"/>
          <w:b/>
          <w:sz w:val="44"/>
          <w:szCs w:val="44"/>
        </w:rPr>
      </w:pPr>
    </w:p>
    <w:p>
      <w:pPr>
        <w:jc w:val="both"/>
        <w:rPr>
          <w:rFonts w:hint="eastAsia"/>
          <w:b/>
          <w:sz w:val="44"/>
          <w:szCs w:val="44"/>
        </w:rPr>
      </w:pPr>
    </w:p>
    <w:p>
      <w:pPr>
        <w:jc w:val="center"/>
        <w:rPr>
          <w:rFonts w:hint="eastAsia"/>
          <w:b/>
          <w:sz w:val="44"/>
          <w:szCs w:val="44"/>
        </w:rPr>
      </w:pPr>
      <w:r>
        <w:rPr>
          <w:rFonts w:hint="eastAsia"/>
          <w:b/>
          <w:sz w:val="44"/>
          <w:szCs w:val="44"/>
        </w:rPr>
        <w:t>目    录</w:t>
      </w:r>
    </w:p>
    <w:p>
      <w:pPr>
        <w:numPr>
          <w:ilvl w:val="0"/>
          <w:numId w:val="1"/>
        </w:numPr>
        <w:rPr>
          <w:rFonts w:hint="eastAsia" w:ascii="黑体" w:hAnsi="黑体" w:eastAsia="黑体"/>
          <w:sz w:val="32"/>
          <w:szCs w:val="32"/>
          <w:lang w:val="en-US" w:eastAsia="zh-CN"/>
        </w:rPr>
      </w:pPr>
      <w:r>
        <w:rPr>
          <w:rFonts w:hint="eastAsia" w:ascii="黑体" w:hAnsi="黑体" w:eastAsia="黑体"/>
          <w:sz w:val="32"/>
          <w:szCs w:val="32"/>
        </w:rPr>
        <w:t xml:space="preserve"> </w:t>
      </w:r>
      <w:r>
        <w:rPr>
          <w:rFonts w:hint="eastAsia" w:ascii="黑体" w:hAnsi="黑体" w:eastAsia="黑体"/>
          <w:sz w:val="32"/>
          <w:szCs w:val="32"/>
          <w:lang w:val="en-US" w:eastAsia="zh-CN"/>
        </w:rPr>
        <w:t>部门预算公开管理文件</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rPr>
        <w:t xml:space="preserve"> </w:t>
      </w:r>
      <w:r>
        <w:rPr>
          <w:rFonts w:hint="eastAsia" w:ascii="黑体" w:hAnsi="黑体" w:eastAsia="黑体"/>
          <w:sz w:val="32"/>
          <w:szCs w:val="32"/>
          <w:lang w:val="en-US" w:eastAsia="zh-CN"/>
        </w:rPr>
        <w:t>沈阳理工大学附属学校</w:t>
      </w:r>
      <w:r>
        <w:rPr>
          <w:rFonts w:hint="eastAsia" w:ascii="黑体" w:hAnsi="黑体" w:eastAsia="黑体"/>
          <w:sz w:val="32"/>
          <w:szCs w:val="32"/>
        </w:rPr>
        <w:t>概况</w:t>
      </w:r>
    </w:p>
    <w:p>
      <w:pPr>
        <w:numPr>
          <w:ilvl w:val="0"/>
          <w:numId w:val="2"/>
        </w:numPr>
        <w:rPr>
          <w:rFonts w:hint="eastAsia" w:ascii="仿宋_GB2312" w:hAnsi="黑体" w:eastAsia="仿宋_GB2312"/>
          <w:b w:val="0"/>
          <w:bCs w:val="0"/>
          <w:sz w:val="32"/>
          <w:szCs w:val="32"/>
        </w:rPr>
      </w:pPr>
      <w:r>
        <w:rPr>
          <w:rFonts w:hint="eastAsia" w:ascii="仿宋_GB2312" w:hAnsi="黑体" w:eastAsia="仿宋_GB2312"/>
          <w:b w:val="0"/>
          <w:bCs w:val="0"/>
          <w:sz w:val="32"/>
          <w:szCs w:val="32"/>
        </w:rPr>
        <w:t>主要职责</w:t>
      </w:r>
    </w:p>
    <w:p>
      <w:pPr>
        <w:numPr>
          <w:ilvl w:val="0"/>
          <w:numId w:val="2"/>
        </w:numPr>
        <w:rPr>
          <w:rFonts w:hint="eastAsia" w:ascii="黑体" w:hAnsi="黑体" w:eastAsia="黑体"/>
          <w:b w:val="0"/>
          <w:bCs w:val="0"/>
          <w:sz w:val="32"/>
          <w:szCs w:val="32"/>
        </w:rPr>
      </w:pPr>
      <w:r>
        <w:rPr>
          <w:rFonts w:hint="eastAsia" w:ascii="仿宋_GB2312" w:hAnsi="黑体" w:eastAsia="仿宋_GB2312"/>
          <w:b w:val="0"/>
          <w:bCs w:val="0"/>
          <w:sz w:val="32"/>
          <w:szCs w:val="32"/>
          <w:lang w:eastAsia="zh-CN"/>
        </w:rPr>
        <w:t>机构设置</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沈阳理工大学附属学校</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年单位预算公开表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表1.收支预算总表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表2.收入预算总表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表3.支出预算总表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表4.财政拨款收支预算总表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表5.一般公共预算支出表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表6.一般公共预算基本支出表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表7.部门支出总体情况表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表8.政府性基金预算支出表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表9.项目支出预算表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表10.支出功能分类预算表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表13.债务支出预算表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表14.政府采购支出预算表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表15.政府购买服务支出预算表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表16.部门（单位）整体绩效目标表</w:t>
      </w:r>
    </w:p>
    <w:p>
      <w:p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p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表1</w:t>
      </w:r>
      <w:r>
        <w:rPr>
          <w:rFonts w:hint="eastAsia" w:ascii="仿宋_GB2312" w:hAnsi="黑体" w:eastAsia="仿宋_GB2312"/>
          <w:sz w:val="32"/>
          <w:szCs w:val="32"/>
          <w:lang w:val="en-US" w:eastAsia="zh-CN"/>
        </w:rPr>
        <w:t>8</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管理专项资金</w:t>
      </w:r>
      <w:r>
        <w:rPr>
          <w:rFonts w:hint="eastAsia" w:ascii="仿宋_GB2312" w:hAnsi="黑体" w:eastAsia="仿宋_GB2312"/>
          <w:sz w:val="32"/>
          <w:szCs w:val="32"/>
        </w:rPr>
        <w:t>预算表</w:t>
      </w:r>
    </w:p>
    <w:p>
      <w:pPr>
        <w:spacing w:line="560" w:lineRule="exact"/>
        <w:ind w:firstLine="640" w:firstLineChars="200"/>
        <w:rPr>
          <w:rFonts w:hint="eastAsia" w:ascii="仿宋_GB2312" w:hAnsi="黑体" w:eastAsia="仿宋_GB2312"/>
          <w:sz w:val="32"/>
          <w:szCs w:val="32"/>
          <w:lang w:eastAsia="zh-CN"/>
        </w:rPr>
      </w:pPr>
    </w:p>
    <w:p>
      <w:pPr>
        <w:numPr>
          <w:ilvl w:val="0"/>
          <w:numId w:val="3"/>
        </w:numP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沈阳市浑南区第五</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numPr>
          <w:ilvl w:val="0"/>
          <w:numId w:val="0"/>
        </w:numPr>
        <w:rPr>
          <w:rFonts w:hint="eastAsia" w:ascii="黑体" w:hAnsi="黑体" w:eastAsia="黑体"/>
          <w:sz w:val="32"/>
          <w:szCs w:val="32"/>
        </w:rPr>
      </w:pPr>
    </w:p>
    <w:p>
      <w:pPr>
        <w:numPr>
          <w:ilvl w:val="0"/>
          <w:numId w:val="3"/>
        </w:numPr>
        <w:ind w:left="0" w:leftChars="0" w:firstLine="0" w:firstLineChars="0"/>
        <w:rPr>
          <w:rFonts w:hint="eastAsia" w:ascii="黑体" w:hAnsi="黑体" w:eastAsia="黑体"/>
          <w:sz w:val="32"/>
          <w:szCs w:val="32"/>
        </w:rPr>
      </w:pPr>
      <w:r>
        <w:rPr>
          <w:rFonts w:hint="eastAsia" w:ascii="黑体" w:hAnsi="黑体" w:eastAsia="黑体"/>
          <w:sz w:val="32"/>
          <w:szCs w:val="32"/>
        </w:rPr>
        <w:t xml:space="preserve"> 名词解释</w:t>
      </w: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widowControl w:val="0"/>
        <w:numPr>
          <w:ilvl w:val="0"/>
          <w:numId w:val="0"/>
        </w:numPr>
        <w:jc w:val="both"/>
        <w:rPr>
          <w:rFonts w:hint="eastAsia" w:ascii="黑体" w:hAnsi="黑体" w:eastAsia="黑体"/>
          <w:sz w:val="32"/>
          <w:szCs w:val="32"/>
        </w:rPr>
      </w:pPr>
    </w:p>
    <w:p>
      <w:pPr>
        <w:rPr>
          <w:rFonts w:hint="eastAsia" w:ascii="黑体" w:hAnsi="黑体" w:eastAsia="黑体"/>
          <w:sz w:val="32"/>
          <w:szCs w:val="32"/>
        </w:rPr>
      </w:pPr>
    </w:p>
    <w:p>
      <w:pPr>
        <w:jc w:val="center"/>
        <w:rPr>
          <w:rFonts w:hint="eastAsia"/>
          <w:b/>
          <w:sz w:val="44"/>
          <w:szCs w:val="44"/>
        </w:rPr>
      </w:pPr>
    </w:p>
    <w:p>
      <w:pPr>
        <w:numPr>
          <w:ilvl w:val="0"/>
          <w:numId w:val="4"/>
        </w:numPr>
        <w:jc w:val="center"/>
        <w:rPr>
          <w:rFonts w:hint="eastAsia" w:ascii="黑体" w:hAnsi="黑体" w:eastAsia="黑体"/>
          <w:sz w:val="36"/>
          <w:szCs w:val="36"/>
          <w:lang w:val="en-US" w:eastAsia="zh-CN"/>
        </w:rPr>
      </w:pPr>
      <w:r>
        <w:rPr>
          <w:rFonts w:hint="eastAsia" w:ascii="黑体" w:hAnsi="黑体" w:eastAsia="黑体"/>
          <w:sz w:val="36"/>
          <w:szCs w:val="36"/>
          <w:lang w:val="en-US" w:eastAsia="zh-CN"/>
        </w:rPr>
        <w:t>部门预算公开管理文件</w:t>
      </w:r>
    </w:p>
    <w:p>
      <w:pPr>
        <w:bidi w:val="0"/>
        <w:jc w:val="center"/>
        <w:rPr>
          <w:rFonts w:ascii="Arial"/>
          <w:sz w:val="21"/>
        </w:rPr>
      </w:pPr>
      <w:r>
        <w:rPr>
          <w:rFonts w:hint="eastAsia" w:ascii="宋体" w:hAnsi="宋体" w:eastAsia="宋体" w:cs="宋体"/>
          <w:b/>
          <w:bCs/>
          <w:spacing w:val="9"/>
          <w:position w:val="1"/>
          <w:sz w:val="31"/>
          <w:szCs w:val="31"/>
          <w:lang w:val="en-US" w:eastAsia="zh-CN"/>
        </w:rPr>
        <w:t xml:space="preserve"> 沈阳市浑南区教育局</w:t>
      </w:r>
      <w:r>
        <w:rPr>
          <w:rFonts w:ascii="宋体" w:hAnsi="宋体" w:eastAsia="宋体" w:cs="宋体"/>
          <w:b/>
          <w:bCs/>
          <w:spacing w:val="9"/>
          <w:position w:val="1"/>
          <w:sz w:val="31"/>
          <w:szCs w:val="31"/>
        </w:rPr>
        <w:t>预决算公开管理办法（试行）</w:t>
      </w:r>
    </w:p>
    <w:p>
      <w:pPr>
        <w:spacing w:before="101" w:line="227" w:lineRule="auto"/>
        <w:jc w:val="center"/>
        <w:rPr>
          <w:rFonts w:ascii="黑体" w:hAnsi="黑体" w:eastAsia="黑体" w:cs="黑体"/>
          <w:sz w:val="31"/>
          <w:szCs w:val="31"/>
        </w:rPr>
      </w:pPr>
      <w:r>
        <w:rPr>
          <w:rFonts w:ascii="黑体" w:hAnsi="黑体" w:eastAsia="黑体" w:cs="黑体"/>
          <w:spacing w:val="5"/>
          <w:sz w:val="31"/>
          <w:szCs w:val="31"/>
        </w:rPr>
        <w:t>第一章</w:t>
      </w:r>
      <w:r>
        <w:rPr>
          <w:rFonts w:ascii="黑体" w:hAnsi="黑体" w:eastAsia="黑体" w:cs="黑体"/>
          <w:spacing w:val="17"/>
          <w:sz w:val="31"/>
          <w:szCs w:val="31"/>
        </w:rPr>
        <w:t xml:space="preserve">  </w:t>
      </w:r>
      <w:r>
        <w:rPr>
          <w:rFonts w:ascii="黑体" w:hAnsi="黑体" w:eastAsia="黑体" w:cs="黑体"/>
          <w:spacing w:val="5"/>
          <w:sz w:val="31"/>
          <w:szCs w:val="31"/>
        </w:rPr>
        <w:t>总则</w:t>
      </w:r>
    </w:p>
    <w:p>
      <w:pPr>
        <w:pStyle w:val="2"/>
        <w:spacing w:before="237" w:line="363" w:lineRule="auto"/>
        <w:ind w:left="34" w:right="4" w:firstLine="660"/>
      </w:pPr>
      <w:r>
        <w:rPr>
          <w:b/>
          <w:bCs/>
          <w:spacing w:val="7"/>
        </w:rPr>
        <w:t>第一条</w:t>
      </w:r>
      <w:r>
        <w:rPr>
          <w:spacing w:val="7"/>
        </w:rPr>
        <w:t xml:space="preserve">  为进一步推进和规范预决算</w:t>
      </w:r>
      <w:r>
        <w:rPr>
          <w:rFonts w:hint="eastAsia" w:ascii="宋体" w:hAnsi="宋体" w:eastAsia="宋体" w:cs="宋体"/>
          <w:b/>
          <w:bCs/>
          <w:spacing w:val="9"/>
          <w:position w:val="1"/>
          <w:sz w:val="31"/>
          <w:szCs w:val="31"/>
          <w:lang w:val="en-US" w:eastAsia="zh-CN"/>
        </w:rPr>
        <w:t>沈</w:t>
      </w:r>
      <w:r>
        <w:rPr>
          <w:spacing w:val="7"/>
        </w:rPr>
        <w:t>信息公开工作，建</w:t>
      </w:r>
      <w:r>
        <w:rPr>
          <w:spacing w:val="2"/>
        </w:rPr>
        <w:t xml:space="preserve"> </w:t>
      </w:r>
      <w:r>
        <w:rPr>
          <w:spacing w:val="9"/>
        </w:rPr>
        <w:t>立全面规范、公开透明的预决算制度，根据</w:t>
      </w:r>
      <w:r>
        <w:rPr>
          <w:spacing w:val="8"/>
        </w:rPr>
        <w:t>《中华人民共和</w:t>
      </w:r>
      <w:r>
        <w:t xml:space="preserve"> </w:t>
      </w:r>
      <w:r>
        <w:rPr>
          <w:spacing w:val="9"/>
        </w:rPr>
        <w:t>国预算法》《转发财政部关于印发地方预决</w:t>
      </w:r>
      <w:r>
        <w:rPr>
          <w:spacing w:val="8"/>
        </w:rPr>
        <w:t>算公开操作规程</w:t>
      </w:r>
      <w:r>
        <w:t xml:space="preserve"> </w:t>
      </w:r>
      <w:r>
        <w:rPr>
          <w:spacing w:val="9"/>
        </w:rPr>
        <w:t>的通知》（辽财预〔2016〕717</w:t>
      </w:r>
      <w:r>
        <w:rPr>
          <w:spacing w:val="-27"/>
        </w:rPr>
        <w:t xml:space="preserve"> </w:t>
      </w:r>
      <w:r>
        <w:rPr>
          <w:spacing w:val="9"/>
        </w:rPr>
        <w:t>号）等有关规定，结合</w:t>
      </w:r>
      <w:r>
        <w:rPr>
          <w:rFonts w:hint="eastAsia"/>
          <w:spacing w:val="9"/>
          <w:lang w:val="en-US" w:eastAsia="zh-CN"/>
        </w:rPr>
        <w:t>沈阳市浑南区教育局</w:t>
      </w:r>
      <w:r>
        <w:rPr>
          <w:spacing w:val="10"/>
        </w:rPr>
        <w:t>实际，制定本办法。</w:t>
      </w:r>
    </w:p>
    <w:p>
      <w:pPr>
        <w:pStyle w:val="2"/>
        <w:spacing w:before="52" w:line="354" w:lineRule="auto"/>
        <w:ind w:left="64" w:right="11" w:firstLine="630"/>
      </w:pPr>
      <w:r>
        <w:rPr>
          <w:b/>
          <w:bCs/>
          <w:spacing w:val="20"/>
        </w:rPr>
        <w:t>第二条</w:t>
      </w:r>
      <w:r>
        <w:rPr>
          <w:spacing w:val="20"/>
        </w:rPr>
        <w:t xml:space="preserve">  本办法所称预决算是指经</w:t>
      </w:r>
      <w:r>
        <w:rPr>
          <w:rFonts w:hint="eastAsia"/>
          <w:spacing w:val="20"/>
          <w:lang w:val="en-US" w:eastAsia="zh-CN"/>
        </w:rPr>
        <w:t>区财政局</w:t>
      </w:r>
      <w:r>
        <w:rPr>
          <w:spacing w:val="20"/>
        </w:rPr>
        <w:t>批复的部</w:t>
      </w:r>
      <w:r>
        <w:rPr>
          <w:spacing w:val="7"/>
        </w:rPr>
        <w:t xml:space="preserve"> </w:t>
      </w:r>
      <w:r>
        <w:rPr>
          <w:spacing w:val="8"/>
        </w:rPr>
        <w:t>门预算、决算及报表（以下简称“部门预决</w:t>
      </w:r>
      <w:r>
        <w:rPr>
          <w:spacing w:val="7"/>
        </w:rPr>
        <w:t>算</w:t>
      </w:r>
      <w:r>
        <w:rPr>
          <w:spacing w:val="-110"/>
        </w:rPr>
        <w:t xml:space="preserve"> </w:t>
      </w:r>
      <w:r>
        <w:rPr>
          <w:spacing w:val="7"/>
        </w:rPr>
        <w:t>”）。</w:t>
      </w:r>
    </w:p>
    <w:p>
      <w:pPr>
        <w:pStyle w:val="2"/>
        <w:spacing w:before="53" w:line="359" w:lineRule="auto"/>
        <w:ind w:left="36" w:right="11" w:firstLine="657"/>
      </w:pPr>
      <w:r>
        <w:rPr>
          <w:b/>
          <w:bCs/>
          <w:spacing w:val="7"/>
        </w:rPr>
        <w:t>第三条</w:t>
      </w:r>
      <w:r>
        <w:rPr>
          <w:spacing w:val="7"/>
        </w:rPr>
        <w:t xml:space="preserve">  预决算信息公开坚持公开为常态、不公开为例</w:t>
      </w:r>
      <w:r>
        <w:rPr>
          <w:spacing w:val="2"/>
        </w:rPr>
        <w:t xml:space="preserve"> </w:t>
      </w:r>
      <w:r>
        <w:rPr>
          <w:spacing w:val="8"/>
        </w:rPr>
        <w:t>外，依法依规、内容全面、真实准确、形式规范、公开及时</w:t>
      </w:r>
      <w:r>
        <w:rPr>
          <w:spacing w:val="17"/>
        </w:rPr>
        <w:t xml:space="preserve"> </w:t>
      </w:r>
      <w:r>
        <w:rPr>
          <w:spacing w:val="2"/>
        </w:rPr>
        <w:t>的原则。</w:t>
      </w:r>
    </w:p>
    <w:p>
      <w:pPr>
        <w:spacing w:before="51" w:line="226" w:lineRule="auto"/>
        <w:ind w:left="2402"/>
        <w:rPr>
          <w:rFonts w:ascii="黑体" w:hAnsi="黑体" w:eastAsia="黑体" w:cs="黑体"/>
          <w:sz w:val="31"/>
          <w:szCs w:val="31"/>
        </w:rPr>
      </w:pPr>
      <w:r>
        <w:rPr>
          <w:rFonts w:ascii="黑体" w:hAnsi="黑体" w:eastAsia="黑体" w:cs="黑体"/>
          <w:spacing w:val="10"/>
          <w:sz w:val="31"/>
          <w:szCs w:val="31"/>
        </w:rPr>
        <w:t>第二章  公开主体和职责</w:t>
      </w:r>
    </w:p>
    <w:p>
      <w:pPr>
        <w:pStyle w:val="2"/>
        <w:spacing w:before="238" w:line="354" w:lineRule="auto"/>
        <w:ind w:left="32" w:right="11" w:firstLine="661"/>
      </w:pPr>
      <w:r>
        <w:rPr>
          <w:b/>
          <w:bCs/>
          <w:spacing w:val="20"/>
        </w:rPr>
        <w:t>第四条</w:t>
      </w:r>
      <w:r>
        <w:rPr>
          <w:spacing w:val="20"/>
        </w:rPr>
        <w:t xml:space="preserve">  </w:t>
      </w:r>
      <w:r>
        <w:rPr>
          <w:rFonts w:hint="eastAsia"/>
          <w:spacing w:val="20"/>
          <w:lang w:val="en-US" w:eastAsia="zh-CN"/>
        </w:rPr>
        <w:t>区教育局</w:t>
      </w:r>
      <w:r>
        <w:rPr>
          <w:spacing w:val="20"/>
        </w:rPr>
        <w:t>作为本部门预决算信息公</w:t>
      </w:r>
      <w:r>
        <w:rPr>
          <w:spacing w:val="9"/>
        </w:rPr>
        <w:t>开的主体，履行下列职责：</w:t>
      </w:r>
    </w:p>
    <w:p>
      <w:pPr>
        <w:pStyle w:val="2"/>
        <w:spacing w:before="53" w:line="227" w:lineRule="auto"/>
        <w:ind w:left="685"/>
      </w:pPr>
      <w:r>
        <w:rPr>
          <w:spacing w:val="10"/>
        </w:rPr>
        <w:t>（一）制定预决算信息公开管理制度；</w:t>
      </w:r>
    </w:p>
    <w:p>
      <w:pPr>
        <w:pStyle w:val="2"/>
        <w:spacing w:before="237" w:line="299" w:lineRule="auto"/>
        <w:ind w:left="39" w:right="11" w:firstLine="646"/>
      </w:pPr>
      <w:r>
        <w:rPr>
          <w:spacing w:val="8"/>
        </w:rPr>
        <w:t>（二）负责组织开展本部门预决算公开工作，负责按规</w:t>
      </w:r>
      <w:r>
        <w:rPr>
          <w:spacing w:val="4"/>
        </w:rPr>
        <w:t xml:space="preserve"> </w:t>
      </w:r>
      <w:r>
        <w:rPr>
          <w:spacing w:val="10"/>
        </w:rPr>
        <w:t>定向社会公开本部门预决算信息；</w:t>
      </w:r>
    </w:p>
    <w:p>
      <w:pPr>
        <w:pStyle w:val="2"/>
        <w:spacing w:before="238" w:line="297" w:lineRule="auto"/>
        <w:ind w:left="32" w:right="11" w:firstLine="652"/>
      </w:pPr>
      <w:r>
        <w:rPr>
          <w:spacing w:val="8"/>
        </w:rPr>
        <w:t>（三）对所属单位预决算信息公开工作进行指导、监督</w:t>
      </w:r>
      <w:r>
        <w:rPr>
          <w:spacing w:val="4"/>
        </w:rPr>
        <w:t xml:space="preserve"> </w:t>
      </w:r>
      <w:r>
        <w:rPr>
          <w:spacing w:val="3"/>
        </w:rPr>
        <w:t>和检查；</w:t>
      </w:r>
    </w:p>
    <w:p>
      <w:pPr>
        <w:pStyle w:val="2"/>
        <w:spacing w:before="243" w:line="226" w:lineRule="auto"/>
        <w:ind w:right="13"/>
        <w:jc w:val="right"/>
      </w:pPr>
      <w:r>
        <w:rPr>
          <w:spacing w:val="5"/>
        </w:rPr>
        <w:t>（</w:t>
      </w:r>
      <w:r>
        <w:rPr>
          <w:spacing w:val="-81"/>
        </w:rPr>
        <w:t xml:space="preserve"> </w:t>
      </w:r>
      <w:r>
        <w:rPr>
          <w:spacing w:val="5"/>
        </w:rPr>
        <w:t>四）按规定做好公民、法人或者其他组织依申请公开</w:t>
      </w:r>
    </w:p>
    <w:p>
      <w:pPr>
        <w:spacing w:line="226" w:lineRule="auto"/>
        <w:sectPr>
          <w:footerReference r:id="rId3" w:type="default"/>
          <w:pgSz w:w="11906" w:h="16839"/>
          <w:pgMar w:top="1429" w:right="1785" w:bottom="1434" w:left="1785" w:header="0" w:footer="994" w:gutter="0"/>
          <w:cols w:space="720" w:num="1"/>
        </w:sectPr>
      </w:pPr>
    </w:p>
    <w:p>
      <w:pPr>
        <w:pStyle w:val="2"/>
        <w:spacing w:before="231" w:line="226" w:lineRule="auto"/>
        <w:ind w:left="34"/>
      </w:pPr>
      <w:r>
        <w:rPr>
          <w:spacing w:val="10"/>
        </w:rPr>
        <w:t>政府预决算信息的答复工作；</w:t>
      </w:r>
    </w:p>
    <w:p>
      <w:pPr>
        <w:pStyle w:val="2"/>
        <w:spacing w:before="241" w:line="352" w:lineRule="auto"/>
        <w:ind w:left="2887" w:right="1587" w:hanging="2202"/>
        <w:rPr>
          <w:rFonts w:ascii="黑体" w:hAnsi="黑体" w:eastAsia="黑体" w:cs="黑体"/>
        </w:rPr>
      </w:pPr>
      <w:r>
        <w:rPr>
          <w:spacing w:val="9"/>
        </w:rPr>
        <w:t>（五）法律、法规、规章规定的其他职责。</w:t>
      </w:r>
      <w:r>
        <w:t xml:space="preserve"> </w:t>
      </w:r>
      <w:r>
        <w:rPr>
          <w:rFonts w:ascii="黑体" w:hAnsi="黑体" w:eastAsia="黑体" w:cs="黑体"/>
          <w:spacing w:val="7"/>
        </w:rPr>
        <w:t>第三章</w:t>
      </w:r>
      <w:r>
        <w:rPr>
          <w:rFonts w:ascii="黑体" w:hAnsi="黑体" w:eastAsia="黑体" w:cs="黑体"/>
          <w:spacing w:val="18"/>
        </w:rPr>
        <w:t xml:space="preserve">  </w:t>
      </w:r>
      <w:r>
        <w:rPr>
          <w:rFonts w:ascii="黑体" w:hAnsi="黑体" w:eastAsia="黑体" w:cs="黑体"/>
          <w:spacing w:val="7"/>
        </w:rPr>
        <w:t>公开内容</w:t>
      </w:r>
    </w:p>
    <w:p>
      <w:pPr>
        <w:pStyle w:val="2"/>
        <w:spacing w:before="56" w:line="354" w:lineRule="auto"/>
        <w:ind w:left="34" w:right="9" w:firstLine="660"/>
      </w:pPr>
      <w:r>
        <w:rPr>
          <w:b/>
          <w:bCs/>
          <w:spacing w:val="7"/>
        </w:rPr>
        <w:t>第五条</w:t>
      </w:r>
      <w:r>
        <w:rPr>
          <w:spacing w:val="7"/>
        </w:rPr>
        <w:t xml:space="preserve">  部门预决算信息（涉密信息除外）公开内容包</w:t>
      </w:r>
      <w:r>
        <w:rPr>
          <w:spacing w:val="4"/>
        </w:rPr>
        <w:t xml:space="preserve"> </w:t>
      </w:r>
      <w:r>
        <w:rPr>
          <w:spacing w:val="-7"/>
        </w:rPr>
        <w:t>括：</w:t>
      </w:r>
    </w:p>
    <w:p>
      <w:pPr>
        <w:pStyle w:val="2"/>
        <w:spacing w:before="50" w:line="227" w:lineRule="auto"/>
        <w:ind w:left="685"/>
      </w:pPr>
      <w:r>
        <w:rPr>
          <w:spacing w:val="10"/>
        </w:rPr>
        <w:t>（一）本部门预决算公开管理文件；</w:t>
      </w:r>
    </w:p>
    <w:p>
      <w:pPr>
        <w:pStyle w:val="2"/>
        <w:spacing w:before="240" w:line="353" w:lineRule="auto"/>
        <w:ind w:left="34" w:right="11" w:firstLine="651"/>
      </w:pPr>
      <w:r>
        <w:rPr>
          <w:spacing w:val="8"/>
        </w:rPr>
        <w:t>（二）预决算报表。按要求口径公开经省财政批复的本</w:t>
      </w:r>
      <w:r>
        <w:rPr>
          <w:spacing w:val="4"/>
        </w:rPr>
        <w:t xml:space="preserve"> </w:t>
      </w:r>
      <w:r>
        <w:rPr>
          <w:spacing w:val="8"/>
        </w:rPr>
        <w:t>部门预决算报表；</w:t>
      </w:r>
    </w:p>
    <w:p>
      <w:pPr>
        <w:pStyle w:val="2"/>
        <w:spacing w:before="53" w:line="227" w:lineRule="auto"/>
        <w:ind w:left="685"/>
      </w:pPr>
      <w:r>
        <w:rPr>
          <w:spacing w:val="10"/>
        </w:rPr>
        <w:t>（三）部门职责、机构设置等情况；</w:t>
      </w:r>
    </w:p>
    <w:p>
      <w:pPr>
        <w:pStyle w:val="2"/>
        <w:spacing w:before="243" w:line="333" w:lineRule="auto"/>
        <w:ind w:left="35" w:right="9" w:firstLine="649"/>
      </w:pPr>
      <w:r>
        <w:rPr>
          <w:spacing w:val="5"/>
        </w:rPr>
        <w:t>（</w:t>
      </w:r>
      <w:r>
        <w:rPr>
          <w:spacing w:val="-77"/>
        </w:rPr>
        <w:t xml:space="preserve"> </w:t>
      </w:r>
      <w:r>
        <w:rPr>
          <w:spacing w:val="5"/>
        </w:rPr>
        <w:t>四）文字说明。公开部门预决算同时，一并对预决算</w:t>
      </w:r>
      <w:r>
        <w:t xml:space="preserve"> </w:t>
      </w:r>
      <w:r>
        <w:rPr>
          <w:spacing w:val="7"/>
        </w:rPr>
        <w:t>收支增减变化、机关运行经费安排、政府采购、</w:t>
      </w:r>
      <w:r>
        <w:rPr>
          <w:rFonts w:ascii="宋体" w:hAnsi="宋体" w:eastAsia="宋体" w:cs="宋体"/>
          <w:spacing w:val="7"/>
        </w:rPr>
        <w:t>“</w:t>
      </w:r>
      <w:r>
        <w:rPr>
          <w:spacing w:val="7"/>
        </w:rPr>
        <w:t>三公</w:t>
      </w:r>
      <w:r>
        <w:rPr>
          <w:spacing w:val="-110"/>
        </w:rPr>
        <w:t xml:space="preserve"> </w:t>
      </w:r>
      <w:r>
        <w:rPr>
          <w:rFonts w:ascii="宋体" w:hAnsi="宋体" w:eastAsia="宋体" w:cs="宋体"/>
          <w:spacing w:val="7"/>
        </w:rPr>
        <w:t>”</w:t>
      </w:r>
      <w:r>
        <w:rPr>
          <w:spacing w:val="7"/>
        </w:rPr>
        <w:t>经</w:t>
      </w:r>
      <w:r>
        <w:t xml:space="preserve"> </w:t>
      </w:r>
      <w:r>
        <w:rPr>
          <w:spacing w:val="8"/>
        </w:rPr>
        <w:t>费预算安排、国有资产占用和绩效目标等情况进行说明，并</w:t>
      </w:r>
      <w:r>
        <w:rPr>
          <w:spacing w:val="18"/>
        </w:rPr>
        <w:t xml:space="preserve"> </w:t>
      </w:r>
      <w:r>
        <w:rPr>
          <w:spacing w:val="10"/>
        </w:rPr>
        <w:t>对专业性较强的名词进行解释。</w:t>
      </w:r>
    </w:p>
    <w:p>
      <w:pPr>
        <w:spacing w:before="241" w:line="226" w:lineRule="auto"/>
        <w:ind w:left="2402"/>
        <w:rPr>
          <w:rFonts w:ascii="黑体" w:hAnsi="黑体" w:eastAsia="黑体" w:cs="黑体"/>
          <w:sz w:val="31"/>
          <w:szCs w:val="31"/>
        </w:rPr>
      </w:pPr>
      <w:r>
        <w:rPr>
          <w:rFonts w:ascii="黑体" w:hAnsi="黑体" w:eastAsia="黑体" w:cs="黑体"/>
          <w:spacing w:val="10"/>
          <w:sz w:val="31"/>
          <w:szCs w:val="31"/>
        </w:rPr>
        <w:t>第四章  公开方式和时间</w:t>
      </w:r>
    </w:p>
    <w:p>
      <w:pPr>
        <w:pStyle w:val="2"/>
        <w:spacing w:before="241" w:line="358" w:lineRule="auto"/>
        <w:ind w:left="6" w:right="11" w:firstLine="688"/>
        <w:jc w:val="both"/>
        <w:rPr>
          <w:rFonts w:hint="default"/>
          <w:spacing w:val="20"/>
          <w:lang w:val="en-US" w:eastAsia="zh-CN"/>
        </w:rPr>
      </w:pPr>
      <w:r>
        <w:rPr>
          <w:b/>
          <w:bCs/>
          <w:spacing w:val="20"/>
        </w:rPr>
        <w:t>第六条</w:t>
      </w:r>
      <w:r>
        <w:rPr>
          <w:spacing w:val="20"/>
        </w:rPr>
        <w:t xml:space="preserve">  预决算信息公开应在</w:t>
      </w:r>
      <w:r>
        <w:rPr>
          <w:rFonts w:hint="eastAsia"/>
          <w:spacing w:val="20"/>
          <w:lang w:val="en-US" w:eastAsia="zh-CN"/>
        </w:rPr>
        <w:t>浑南区政府门户网站公开专栏对本级部门预算和单位预算进行公开。</w:t>
      </w:r>
    </w:p>
    <w:p>
      <w:pPr>
        <w:pStyle w:val="2"/>
        <w:spacing w:before="241" w:line="358" w:lineRule="auto"/>
        <w:ind w:left="6" w:right="11" w:firstLine="688"/>
        <w:jc w:val="both"/>
      </w:pPr>
      <w:r>
        <w:rPr>
          <w:b/>
          <w:bCs/>
          <w:spacing w:val="3"/>
        </w:rPr>
        <w:t>第七条</w:t>
      </w:r>
      <w:r>
        <w:rPr>
          <w:spacing w:val="3"/>
        </w:rPr>
        <w:t xml:space="preserve">  部门</w:t>
      </w:r>
      <w:r>
        <w:rPr>
          <w:rFonts w:hint="eastAsia"/>
          <w:spacing w:val="3"/>
          <w:lang w:val="en-US" w:eastAsia="zh-CN"/>
        </w:rPr>
        <w:t>所属单位的</w:t>
      </w:r>
      <w:r>
        <w:rPr>
          <w:spacing w:val="3"/>
        </w:rPr>
        <w:t>预决算</w:t>
      </w:r>
      <w:r>
        <w:rPr>
          <w:rFonts w:hint="eastAsia"/>
          <w:spacing w:val="3"/>
          <w:lang w:val="en-US" w:eastAsia="zh-CN"/>
        </w:rPr>
        <w:t>及报表</w:t>
      </w:r>
      <w:r>
        <w:rPr>
          <w:spacing w:val="3"/>
        </w:rPr>
        <w:t>应在</w:t>
      </w:r>
      <w:r>
        <w:rPr>
          <w:rFonts w:hint="eastAsia"/>
          <w:spacing w:val="3"/>
          <w:lang w:val="en-US" w:eastAsia="zh-CN"/>
        </w:rPr>
        <w:t>部门</w:t>
      </w:r>
      <w:r>
        <w:rPr>
          <w:spacing w:val="3"/>
        </w:rPr>
        <w:t>批复后</w:t>
      </w:r>
      <w:r>
        <w:rPr>
          <w:spacing w:val="-54"/>
        </w:rPr>
        <w:t xml:space="preserve"> </w:t>
      </w:r>
      <w:r>
        <w:rPr>
          <w:spacing w:val="3"/>
        </w:rPr>
        <w:t>20日内向社</w:t>
      </w:r>
      <w:r>
        <w:t>会公开。</w:t>
      </w:r>
    </w:p>
    <w:p>
      <w:pPr>
        <w:spacing w:before="53" w:line="227" w:lineRule="auto"/>
        <w:ind w:left="3211"/>
        <w:rPr>
          <w:rFonts w:ascii="黑体" w:hAnsi="黑体" w:eastAsia="黑体" w:cs="黑体"/>
          <w:sz w:val="31"/>
          <w:szCs w:val="31"/>
        </w:rPr>
      </w:pPr>
      <w:r>
        <w:rPr>
          <w:rFonts w:ascii="黑体" w:hAnsi="黑体" w:eastAsia="黑体" w:cs="黑体"/>
          <w:spacing w:val="3"/>
          <w:sz w:val="31"/>
          <w:szCs w:val="31"/>
        </w:rPr>
        <w:t>第</w:t>
      </w:r>
      <w:r>
        <w:rPr>
          <w:rFonts w:hint="eastAsia" w:ascii="黑体" w:hAnsi="黑体" w:eastAsia="黑体" w:cs="黑体"/>
          <w:spacing w:val="3"/>
          <w:sz w:val="31"/>
          <w:szCs w:val="31"/>
          <w:lang w:val="en-US" w:eastAsia="zh-CN"/>
        </w:rPr>
        <w:t>五</w:t>
      </w:r>
      <w:r>
        <w:rPr>
          <w:rFonts w:ascii="黑体" w:hAnsi="黑体" w:eastAsia="黑体" w:cs="黑体"/>
          <w:spacing w:val="3"/>
          <w:sz w:val="31"/>
          <w:szCs w:val="31"/>
        </w:rPr>
        <w:t>章</w:t>
      </w:r>
      <w:r>
        <w:rPr>
          <w:rFonts w:ascii="黑体" w:hAnsi="黑体" w:eastAsia="黑体" w:cs="黑体"/>
          <w:spacing w:val="23"/>
          <w:sz w:val="31"/>
          <w:szCs w:val="31"/>
        </w:rPr>
        <w:t xml:space="preserve">  </w:t>
      </w:r>
      <w:r>
        <w:rPr>
          <w:rFonts w:ascii="黑体" w:hAnsi="黑体" w:eastAsia="黑体" w:cs="黑体"/>
          <w:spacing w:val="3"/>
          <w:sz w:val="31"/>
          <w:szCs w:val="31"/>
        </w:rPr>
        <w:t>附则</w:t>
      </w:r>
    </w:p>
    <w:p>
      <w:pPr>
        <w:pStyle w:val="2"/>
        <w:spacing w:before="241" w:line="226" w:lineRule="auto"/>
        <w:ind w:left="694"/>
      </w:pPr>
      <w:r>
        <w:rPr>
          <w:b/>
          <w:bCs/>
          <w:spacing w:val="8"/>
        </w:rPr>
        <w:t>第</w:t>
      </w:r>
      <w:r>
        <w:rPr>
          <w:rFonts w:hint="eastAsia"/>
          <w:b/>
          <w:bCs/>
          <w:spacing w:val="8"/>
          <w:lang w:val="en-US" w:eastAsia="zh-CN"/>
        </w:rPr>
        <w:t>八</w:t>
      </w:r>
      <w:r>
        <w:rPr>
          <w:b/>
          <w:bCs/>
          <w:spacing w:val="8"/>
        </w:rPr>
        <w:t>条</w:t>
      </w:r>
      <w:r>
        <w:rPr>
          <w:spacing w:val="8"/>
        </w:rPr>
        <w:t xml:space="preserve">  本办法自印发之日起试行。</w:t>
      </w:r>
    </w:p>
    <w:p>
      <w:pPr>
        <w:numPr>
          <w:ilvl w:val="0"/>
          <w:numId w:val="0"/>
        </w:numPr>
        <w:rPr>
          <w:rFonts w:hint="eastAsia" w:ascii="黑体" w:hAnsi="黑体" w:eastAsia="黑体"/>
          <w:sz w:val="36"/>
          <w:szCs w:val="36"/>
          <w:lang w:val="en-US" w:eastAsia="zh-CN"/>
        </w:rPr>
      </w:pPr>
    </w:p>
    <w:p>
      <w:pPr>
        <w:jc w:val="center"/>
        <w:rPr>
          <w:rFonts w:hint="eastAsia" w:ascii="黑体" w:hAnsi="黑体" w:eastAsia="黑体"/>
          <w:sz w:val="36"/>
          <w:szCs w:val="36"/>
        </w:rPr>
      </w:pPr>
      <w:r>
        <w:rPr>
          <w:rFonts w:hint="eastAsia" w:ascii="黑体" w:hAnsi="黑体" w:eastAsia="黑体"/>
          <w:sz w:val="36"/>
          <w:szCs w:val="36"/>
        </w:rPr>
        <w:t>第二部分</w:t>
      </w:r>
      <w:r>
        <w:rPr>
          <w:rFonts w:hint="eastAsia" w:ascii="黑体" w:hAnsi="黑体" w:eastAsia="黑体"/>
          <w:sz w:val="36"/>
          <w:szCs w:val="36"/>
          <w:lang w:val="en-US" w:eastAsia="zh-CN"/>
        </w:rPr>
        <w:t xml:space="preserve">  </w:t>
      </w:r>
      <w:r>
        <w:rPr>
          <w:rFonts w:hint="eastAsia" w:ascii="黑体" w:hAnsi="黑体" w:eastAsia="黑体"/>
          <w:sz w:val="36"/>
          <w:szCs w:val="36"/>
          <w:lang w:eastAsia="zh-CN"/>
        </w:rPr>
        <w:t>沈阳理工大学附属学校</w:t>
      </w:r>
      <w:r>
        <w:rPr>
          <w:rFonts w:hint="eastAsia" w:ascii="黑体" w:hAnsi="黑体" w:eastAsia="黑体"/>
          <w:sz w:val="36"/>
          <w:szCs w:val="36"/>
        </w:rPr>
        <w:t>概况</w:t>
      </w:r>
    </w:p>
    <w:p>
      <w:pPr>
        <w:numPr>
          <w:ilvl w:val="0"/>
          <w:numId w:val="2"/>
        </w:numPr>
        <w:rPr>
          <w:rFonts w:hint="eastAsia" w:ascii="仿宋_GB2312" w:hAnsi="黑体" w:eastAsia="仿宋_GB2312"/>
          <w:sz w:val="32"/>
          <w:szCs w:val="32"/>
        </w:rPr>
      </w:pPr>
      <w:r>
        <w:rPr>
          <w:rFonts w:hint="eastAsia" w:ascii="仿宋_GB2312" w:hAnsi="黑体" w:eastAsia="仿宋_GB2312" w:cs="Times New Roman"/>
          <w:sz w:val="32"/>
          <w:szCs w:val="32"/>
          <w:lang w:eastAsia="zh-CN"/>
        </w:rPr>
        <w:t>沈阳理工大学附属学校</w:t>
      </w:r>
      <w:r>
        <w:rPr>
          <w:rFonts w:hint="eastAsia" w:ascii="仿宋_GB2312" w:hAnsi="黑体" w:eastAsia="仿宋_GB2312"/>
          <w:sz w:val="32"/>
          <w:szCs w:val="32"/>
        </w:rPr>
        <w:t>主要职责</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（一）组织教育教学、科学研究活动，保证教育教学质量。维护教职工利益，保障教职工合法权益，以教职工和学生的人生幸福和生命质量作为重点。</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（二）制定学校发展规划，并抓好组织实施和落实情况。</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（三）科学管理、合理使用学校的设施和经费，并积极筹措办学资金，改善办学条件。</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（四）依法接受各级教育行政部门的检查指导和人民群众的监督。</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（五）财务管理方面：</w:t>
      </w:r>
    </w:p>
    <w:p>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660"/>
        <w:rPr>
          <w:rFonts w:hint="eastAsia" w:ascii="仿宋_GB2312" w:hAnsi="宋体" w:eastAsia="仿宋_GB2312" w:cs="Times New Roman"/>
          <w:sz w:val="32"/>
          <w:szCs w:val="32"/>
        </w:rPr>
      </w:pPr>
    </w:p>
    <w:p>
      <w:pPr>
        <w:ind w:firstLine="660"/>
        <w:rPr>
          <w:rFonts w:hint="eastAsia" w:ascii="仿宋_GB2312" w:hAnsi="黑体" w:eastAsia="仿宋_GB2312"/>
          <w:sz w:val="32"/>
          <w:szCs w:val="32"/>
        </w:rPr>
      </w:pPr>
      <w:r>
        <w:rPr>
          <w:rFonts w:hint="eastAsia" w:ascii="仿宋_GB2312" w:hAnsi="宋体" w:eastAsia="仿宋_GB2312" w:cs="Times New Roman"/>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numPr>
          <w:ilvl w:val="0"/>
          <w:numId w:val="2"/>
        </w:numPr>
        <w:rPr>
          <w:rFonts w:hint="eastAsia" w:ascii="仿宋_GB2312" w:hAnsi="黑体" w:eastAsia="仿宋_GB2312"/>
          <w:sz w:val="32"/>
          <w:szCs w:val="32"/>
        </w:rPr>
      </w:pPr>
      <w:r>
        <w:rPr>
          <w:rFonts w:hint="eastAsia" w:ascii="仿宋_GB2312" w:hAnsi="黑体" w:eastAsia="仿宋_GB2312" w:cs="Times New Roman"/>
          <w:sz w:val="32"/>
          <w:szCs w:val="32"/>
          <w:lang w:eastAsia="zh-CN"/>
        </w:rPr>
        <w:t>沈阳理工大学附属学校</w:t>
      </w:r>
      <w:r>
        <w:rPr>
          <w:rFonts w:hint="eastAsia" w:ascii="仿宋_GB2312" w:hAnsi="黑体" w:eastAsia="仿宋_GB2312"/>
          <w:sz w:val="32"/>
          <w:szCs w:val="32"/>
          <w:lang w:eastAsia="zh-CN"/>
        </w:rPr>
        <w:t>机构设置</w:t>
      </w:r>
    </w:p>
    <w:p>
      <w:pPr>
        <w:keepNext w:val="0"/>
        <w:keepLines w:val="0"/>
        <w:widowControl/>
        <w:suppressLineNumbers w:val="0"/>
        <w:ind w:firstLine="640" w:firstLineChars="200"/>
        <w:jc w:val="left"/>
        <w:rPr>
          <w:rFonts w:hint="eastAsia" w:ascii="Times New Roman" w:hAnsi="Times New Roman" w:eastAsia="仿宋_GB2312" w:cs="宋体"/>
          <w:b/>
          <w:bCs/>
          <w:kern w:val="0"/>
          <w:sz w:val="32"/>
          <w:szCs w:val="32"/>
          <w:lang w:eastAsia="zh-CN"/>
        </w:rPr>
      </w:pPr>
      <w:r>
        <w:rPr>
          <w:rFonts w:hint="eastAsia" w:ascii="仿宋_GB2312" w:hAnsi="黑体" w:eastAsia="仿宋_GB2312" w:cs="Times New Roman"/>
          <w:sz w:val="32"/>
          <w:szCs w:val="32"/>
          <w:lang w:eastAsia="zh-CN"/>
        </w:rPr>
        <w:t>沈阳理工大学附属学校</w:t>
      </w:r>
      <w:r>
        <w:rPr>
          <w:rFonts w:hint="eastAsia" w:ascii="仿宋_GB2312" w:hAnsi="宋体" w:eastAsia="仿宋_GB2312" w:cs="Times New Roman"/>
          <w:sz w:val="32"/>
          <w:szCs w:val="32"/>
          <w:lang w:val="en-US" w:eastAsia="zh-CN"/>
        </w:rPr>
        <w:t>是纳入浑南区教育</w:t>
      </w:r>
      <w:bookmarkStart w:id="1" w:name="_GoBack"/>
      <w:bookmarkEnd w:id="1"/>
      <w:r>
        <w:rPr>
          <w:rFonts w:hint="eastAsia" w:ascii="仿宋_GB2312" w:hAnsi="宋体" w:eastAsia="仿宋_GB2312" w:cs="Times New Roman"/>
          <w:sz w:val="32"/>
          <w:szCs w:val="32"/>
          <w:lang w:val="en-US" w:eastAsia="zh-CN"/>
        </w:rPr>
        <w:t>局本级2025年部门预算编制范围的二级预算单位,</w:t>
      </w:r>
      <w:r>
        <w:rPr>
          <w:rFonts w:hint="eastAsia" w:ascii="仿宋_GB2312" w:hAnsi="宋体" w:eastAsia="仿宋_GB2312" w:cs="Times New Roman"/>
          <w:sz w:val="32"/>
          <w:szCs w:val="32"/>
        </w:rPr>
        <w:t>本单位无下设机构</w:t>
      </w:r>
      <w:r>
        <w:rPr>
          <w:rFonts w:hint="eastAsia" w:ascii="Times New Roman" w:hAnsi="Times New Roman" w:eastAsia="仿宋_GB2312" w:cs="宋体"/>
          <w:b/>
          <w:bCs/>
          <w:kern w:val="0"/>
          <w:sz w:val="32"/>
          <w:szCs w:val="32"/>
          <w:lang w:eastAsia="zh-CN"/>
        </w:rPr>
        <w:t>。</w:t>
      </w: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keepNext w:val="0"/>
        <w:keepLines w:val="0"/>
        <w:widowControl/>
        <w:suppressLineNumbers w:val="0"/>
        <w:ind w:firstLine="643" w:firstLineChars="200"/>
        <w:jc w:val="left"/>
        <w:rPr>
          <w:rFonts w:hint="eastAsia" w:ascii="Times New Roman" w:hAnsi="Times New Roman" w:eastAsia="仿宋_GB2312" w:cs="宋体"/>
          <w:b/>
          <w:bCs/>
          <w:kern w:val="0"/>
          <w:sz w:val="32"/>
          <w:szCs w:val="32"/>
          <w:lang w:eastAsia="zh-CN"/>
        </w:rPr>
      </w:pPr>
    </w:p>
    <w:p>
      <w:pPr>
        <w:rPr>
          <w:rFonts w:hint="eastAsia" w:ascii="黑体" w:hAnsi="黑体" w:eastAsia="黑体"/>
          <w:sz w:val="32"/>
          <w:szCs w:val="32"/>
        </w:rPr>
      </w:pPr>
    </w:p>
    <w:p>
      <w:pPr>
        <w:rPr>
          <w:rFonts w:hint="eastAsia" w:ascii="黑体" w:hAnsi="黑体" w:eastAsia="黑体"/>
          <w:sz w:val="32"/>
          <w:szCs w:val="32"/>
        </w:rPr>
      </w:pPr>
    </w:p>
    <w:p>
      <w:pPr>
        <w:jc w:val="center"/>
        <w:rPr>
          <w:rFonts w:hint="eastAsia" w:ascii="黑体" w:hAnsi="黑体" w:eastAsia="黑体"/>
          <w:sz w:val="36"/>
          <w:szCs w:val="36"/>
          <w:lang w:val="en-US" w:eastAsia="zh-CN"/>
        </w:rPr>
      </w:pPr>
      <w:r>
        <w:rPr>
          <w:rFonts w:hint="eastAsia" w:ascii="黑体" w:hAnsi="黑体" w:eastAsia="黑体"/>
          <w:sz w:val="36"/>
          <w:szCs w:val="36"/>
        </w:rPr>
        <w:t>第</w:t>
      </w:r>
      <w:r>
        <w:rPr>
          <w:rFonts w:hint="eastAsia" w:ascii="黑体" w:hAnsi="黑体" w:eastAsia="黑体"/>
          <w:sz w:val="36"/>
          <w:szCs w:val="36"/>
          <w:lang w:val="en-US" w:eastAsia="zh-CN"/>
        </w:rPr>
        <w:t>三</w:t>
      </w:r>
      <w:r>
        <w:rPr>
          <w:rFonts w:hint="eastAsia" w:ascii="黑体" w:hAnsi="黑体" w:eastAsia="黑体"/>
          <w:sz w:val="36"/>
          <w:szCs w:val="36"/>
        </w:rPr>
        <w:t xml:space="preserve">部分 </w:t>
      </w:r>
      <w:r>
        <w:rPr>
          <w:rFonts w:hint="eastAsia" w:ascii="黑体" w:hAnsi="黑体" w:eastAsia="黑体"/>
          <w:sz w:val="36"/>
          <w:szCs w:val="36"/>
          <w:lang w:val="en-US" w:eastAsia="zh-CN"/>
        </w:rPr>
        <w:t xml:space="preserve"> 沈阳理工大学附属学校2025年度部门        预算公开表</w:t>
      </w: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rPr>
          <w:rFonts w:hint="eastAsia" w:ascii="仿宋_GB2312" w:hAnsi="黑体" w:eastAsia="仿宋_GB2312"/>
          <w:sz w:val="32"/>
          <w:szCs w:val="32"/>
        </w:rPr>
      </w:pPr>
    </w:p>
    <w:p>
      <w:pPr>
        <w:numPr>
          <w:ilvl w:val="0"/>
          <w:numId w:val="5"/>
        </w:numPr>
        <w:jc w:val="center"/>
        <w:rPr>
          <w:rFonts w:hint="eastAsia" w:ascii="黑体" w:hAnsi="黑体" w:eastAsia="黑体"/>
          <w:sz w:val="36"/>
          <w:szCs w:val="36"/>
          <w:lang w:val="en-US" w:eastAsia="zh-CN"/>
        </w:rPr>
      </w:pPr>
      <w:r>
        <w:rPr>
          <w:rFonts w:hint="eastAsia" w:ascii="宋体" w:hAnsi="宋体"/>
          <w:b/>
          <w:sz w:val="36"/>
          <w:szCs w:val="36"/>
          <w:lang w:val="en-US" w:eastAsia="zh-CN"/>
        </w:rPr>
        <w:t xml:space="preserve"> </w:t>
      </w:r>
      <w:r>
        <w:rPr>
          <w:rFonts w:hint="eastAsia" w:ascii="黑体" w:hAnsi="黑体" w:eastAsia="黑体"/>
          <w:sz w:val="36"/>
          <w:szCs w:val="36"/>
          <w:lang w:val="en-US" w:eastAsia="zh-CN"/>
        </w:rPr>
        <w:t>沈阳理工大学附属学校                   2025年度部门预算情况说明</w:t>
      </w:r>
    </w:p>
    <w:p>
      <w:pPr>
        <w:ind w:firstLine="640" w:firstLineChars="200"/>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沈阳理工大学附属学校</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收支预算的总体说明</w:t>
      </w:r>
    </w:p>
    <w:p>
      <w:pPr>
        <w:ind w:firstLine="660"/>
        <w:rPr>
          <w:rFonts w:hint="eastAsia" w:ascii="仿宋_GB2312" w:hAnsi="宋体" w:eastAsia="仿宋_GB2312"/>
          <w:sz w:val="32"/>
          <w:szCs w:val="32"/>
          <w:lang w:eastAsia="zh-CN"/>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沈阳理工大学附属学校</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hAnsi="宋体" w:eastAsia="仿宋_GB2312"/>
          <w:sz w:val="32"/>
          <w:szCs w:val="32"/>
          <w:lang w:eastAsia="zh-CN"/>
        </w:rPr>
        <w:t>沈阳理工大学附属学校</w:t>
      </w: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3552.01</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年收支总预算3183.88万元</w:t>
      </w:r>
      <w:r>
        <w:rPr>
          <w:rFonts w:hint="eastAsia" w:ascii="仿宋_GB2312" w:hAnsi="宋体" w:eastAsia="仿宋_GB2312"/>
          <w:sz w:val="32"/>
          <w:szCs w:val="32"/>
          <w:lang w:val="en-US" w:eastAsia="zh-CN"/>
        </w:rPr>
        <w:t>增加368.13</w:t>
      </w:r>
      <w:r>
        <w:rPr>
          <w:rFonts w:hint="eastAsia" w:ascii="仿宋_GB2312" w:hAnsi="宋体" w:eastAsia="仿宋_GB2312"/>
          <w:sz w:val="32"/>
          <w:szCs w:val="32"/>
        </w:rPr>
        <w:t>万元，主要是学生</w:t>
      </w:r>
      <w:r>
        <w:rPr>
          <w:rFonts w:hint="eastAsia" w:ascii="仿宋_GB2312" w:hAnsi="宋体" w:eastAsia="仿宋_GB2312"/>
          <w:sz w:val="32"/>
          <w:szCs w:val="32"/>
          <w:lang w:eastAsia="zh-CN"/>
        </w:rPr>
        <w:t>及</w:t>
      </w:r>
      <w:r>
        <w:rPr>
          <w:rFonts w:hint="eastAsia" w:ascii="仿宋_GB2312" w:hAnsi="宋体" w:eastAsia="仿宋_GB2312"/>
          <w:sz w:val="32"/>
          <w:szCs w:val="32"/>
        </w:rPr>
        <w:t>教师人数增加，因此</w:t>
      </w:r>
      <w:r>
        <w:rPr>
          <w:rFonts w:hint="eastAsia" w:ascii="仿宋_GB2312" w:hAnsi="宋体" w:eastAsia="仿宋_GB2312"/>
          <w:sz w:val="32"/>
          <w:szCs w:val="32"/>
          <w:lang w:eastAsia="zh-CN"/>
        </w:rPr>
        <w:t>人员经费和公用经费</w:t>
      </w:r>
      <w:r>
        <w:rPr>
          <w:rFonts w:hint="eastAsia" w:ascii="仿宋_GB2312" w:hAnsi="宋体" w:eastAsia="仿宋_GB2312"/>
          <w:sz w:val="32"/>
          <w:szCs w:val="32"/>
        </w:rPr>
        <w:t>预算总额相应增加</w:t>
      </w:r>
      <w:r>
        <w:rPr>
          <w:rFonts w:hint="eastAsia" w:ascii="仿宋_GB2312" w:hAnsi="宋体" w:eastAsia="仿宋_GB2312"/>
          <w:sz w:val="32"/>
          <w:szCs w:val="32"/>
          <w:lang w:eastAsia="zh-CN"/>
        </w:rPr>
        <w:t>。</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lang w:val="en-US" w:eastAsia="zh-CN"/>
        </w:rPr>
        <w:t>3210.59</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lang w:val="en-US" w:eastAsia="zh-CN"/>
        </w:rPr>
        <w:t>3210.59</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万元，其中上年财政专户管理资金</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lang w:val="en-US" w:eastAsia="zh-CN"/>
        </w:rPr>
        <w:t>3210.59</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2869.18</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341.41</w:t>
      </w:r>
      <w:r>
        <w:rPr>
          <w:rFonts w:hint="eastAsia" w:ascii="FangSong_GB2312" w:hAnsi="FangSong_GB2312" w:eastAsia="FangSong_GB2312"/>
          <w:sz w:val="32"/>
        </w:rPr>
        <w:t>万元。</w:t>
      </w:r>
    </w:p>
    <w:p>
      <w:pPr>
        <w:spacing w:beforeLines="0" w:afterLines="0"/>
        <w:ind w:firstLine="640" w:firstLineChars="200"/>
        <w:jc w:val="left"/>
        <w:rPr>
          <w:rFonts w:hint="eastAsia" w:ascii="仿宋_GB2312" w:hAnsi="宋体" w:eastAsia="仿宋_GB2312"/>
          <w:sz w:val="32"/>
          <w:szCs w:val="32"/>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1</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341.41</w:t>
      </w:r>
      <w:r>
        <w:rPr>
          <w:rFonts w:hint="eastAsia" w:ascii="FangSong_GB2312" w:hAnsi="FangSong_GB2312" w:eastAsia="FangSong_GB2312"/>
          <w:sz w:val="32"/>
        </w:rPr>
        <w:t>万元。</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沈阳理工大学附属学校</w:t>
      </w:r>
      <w:r>
        <w:rPr>
          <w:rFonts w:hint="eastAsia" w:ascii="黑体" w:hAnsi="黑体" w:eastAsia="黑体"/>
          <w:sz w:val="32"/>
          <w:szCs w:val="32"/>
          <w:lang w:val="en-US" w:eastAsia="zh-CN"/>
        </w:rPr>
        <w:t>2025年度财政拨款</w:t>
      </w:r>
      <w:r>
        <w:rPr>
          <w:rFonts w:hint="eastAsia" w:ascii="黑体" w:hAnsi="黑体" w:eastAsia="黑体"/>
          <w:sz w:val="32"/>
          <w:szCs w:val="32"/>
        </w:rPr>
        <w:t>“三公”经费预算支出情况说明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黑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rPr>
          <w:rFonts w:hint="eastAsia" w:ascii="仿宋_GB2312" w:hAnsi="宋体" w:eastAsia="仿宋_GB2312"/>
          <w:sz w:val="32"/>
          <w:szCs w:val="32"/>
        </w:rPr>
      </w:pP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rPr>
        <w:t>年</w:t>
      </w:r>
      <w:r>
        <w:rPr>
          <w:rFonts w:hint="eastAsia" w:ascii="仿宋_GB2312" w:hAnsi="宋体" w:eastAsia="仿宋_GB2312" w:cs="Times New Roman"/>
          <w:sz w:val="32"/>
          <w:szCs w:val="32"/>
          <w:lang w:eastAsia="zh-CN"/>
        </w:rPr>
        <w:t>沈阳理工大学附属学校</w:t>
      </w:r>
      <w:r>
        <w:rPr>
          <w:rFonts w:hint="eastAsia" w:ascii="仿宋_GB2312" w:hAnsi="宋体" w:eastAsia="仿宋_GB2312" w:cs="Times New Roman"/>
          <w:sz w:val="32"/>
          <w:szCs w:val="32"/>
        </w:rPr>
        <w:t>属于事业单位，无机关运行经费。</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cs="Times New Roman"/>
          <w:sz w:val="32"/>
          <w:szCs w:val="32"/>
          <w:lang w:eastAsia="zh-CN"/>
        </w:rPr>
        <w:t>沈阳理工大学附属学校</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spacing w:beforeLines="0" w:afterLines="0"/>
        <w:ind w:firstLine="640" w:firstLineChars="200"/>
        <w:jc w:val="left"/>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w:t>
      </w:r>
      <w:r>
        <w:rPr>
          <w:rFonts w:hint="eastAsia" w:ascii="仿宋_GB2312" w:hAnsi="宋体" w:eastAsia="仿宋_GB2312" w:cs="Times New Roman"/>
          <w:sz w:val="32"/>
          <w:szCs w:val="32"/>
          <w:lang w:eastAsia="zh-CN"/>
        </w:rPr>
        <w:t>沈阳理工大学附属学校</w:t>
      </w:r>
      <w:r>
        <w:rPr>
          <w:rFonts w:hint="eastAsia" w:ascii="仿宋_GB2312" w:hAnsi="宋体" w:eastAsia="仿宋_GB2312"/>
          <w:sz w:val="32"/>
          <w:szCs w:val="32"/>
        </w:rPr>
        <w:t>所属各预算单位共有车辆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hAnsi="宋体" w:eastAsia="仿宋_GB2312"/>
          <w:sz w:val="32"/>
          <w:szCs w:val="32"/>
          <w:lang w:eastAsia="zh-CN"/>
        </w:rPr>
        <w:t>沈阳理工大学附属学校</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spacing w:beforeLines="0" w:afterLines="0"/>
        <w:jc w:val="left"/>
        <w:rPr>
          <w:rFonts w:hint="eastAsia" w:ascii="仿宋_GB2312" w:hAnsi="宋体" w:eastAsia="仿宋_GB2312"/>
          <w:sz w:val="32"/>
          <w:szCs w:val="32"/>
        </w:rPr>
      </w:pPr>
    </w:p>
    <w:p>
      <w:pPr>
        <w:spacing w:beforeLines="0" w:afterLines="0"/>
        <w:ind w:firstLine="640" w:firstLineChars="200"/>
        <w:jc w:val="left"/>
        <w:rPr>
          <w:rFonts w:hint="eastAsia" w:ascii="仿宋_GB2312" w:hAnsi="宋体" w:eastAsia="仿宋_GB2312"/>
          <w:sz w:val="32"/>
          <w:szCs w:val="32"/>
        </w:rPr>
      </w:pPr>
    </w:p>
    <w:p>
      <w:pPr>
        <w:spacing w:beforeLines="0" w:afterLines="0"/>
        <w:ind w:firstLine="640" w:firstLineChars="200"/>
        <w:jc w:val="center"/>
        <w:rPr>
          <w:rFonts w:hint="eastAsia" w:ascii="仿宋_GB2312" w:hAnsi="宋体" w:eastAsia="仿宋_GB2312"/>
          <w:sz w:val="32"/>
          <w:szCs w:val="32"/>
        </w:rPr>
      </w:pPr>
    </w:p>
    <w:p>
      <w:pPr>
        <w:jc w:val="center"/>
        <w:rPr>
          <w:rFonts w:hint="eastAsia" w:ascii="黑体" w:hAnsi="黑体" w:eastAsia="黑体"/>
          <w:sz w:val="36"/>
          <w:szCs w:val="36"/>
        </w:rPr>
      </w:pPr>
    </w:p>
    <w:p>
      <w:pPr>
        <w:jc w:val="center"/>
        <w:rPr>
          <w:rFonts w:hint="eastAsia" w:ascii="黑体" w:hAnsi="黑体" w:eastAsia="黑体"/>
          <w:sz w:val="36"/>
          <w:szCs w:val="36"/>
        </w:rPr>
      </w:pPr>
    </w:p>
    <w:p>
      <w:pPr>
        <w:jc w:val="center"/>
        <w:rPr>
          <w:rFonts w:hint="eastAsia" w:ascii="黑体" w:hAnsi="黑体" w:eastAsia="黑体"/>
          <w:sz w:val="36"/>
          <w:szCs w:val="36"/>
        </w:rPr>
      </w:pPr>
    </w:p>
    <w:p>
      <w:pPr>
        <w:jc w:val="center"/>
        <w:rPr>
          <w:rFonts w:hint="eastAsia" w:ascii="黑体" w:eastAsia="黑体"/>
          <w:sz w:val="36"/>
          <w:szCs w:val="36"/>
        </w:rPr>
      </w:pPr>
      <w:r>
        <w:rPr>
          <w:rFonts w:hint="eastAsia" w:ascii="黑体" w:hAnsi="黑体" w:eastAsia="黑体"/>
          <w:sz w:val="36"/>
          <w:szCs w:val="36"/>
        </w:rPr>
        <w:t>第</w:t>
      </w:r>
      <w:r>
        <w:rPr>
          <w:rFonts w:hint="eastAsia" w:ascii="黑体" w:hAnsi="黑体" w:eastAsia="黑体"/>
          <w:sz w:val="36"/>
          <w:szCs w:val="36"/>
          <w:lang w:val="en-US" w:eastAsia="zh-CN"/>
        </w:rPr>
        <w:t>五</w:t>
      </w:r>
      <w:r>
        <w:rPr>
          <w:rFonts w:hint="eastAsia" w:ascii="黑体" w:hAnsi="黑体" w:eastAsia="黑体"/>
          <w:sz w:val="36"/>
          <w:szCs w:val="36"/>
        </w:rPr>
        <w:t>部分  名词解释</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157"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FangSong_GB2312">
    <w:altName w:val="仿宋"/>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131"/>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F06C49"/>
    <w:multiLevelType w:val="singleLevel"/>
    <w:tmpl w:val="A0F06C49"/>
    <w:lvl w:ilvl="0" w:tentative="0">
      <w:start w:val="1"/>
      <w:numFmt w:val="chineseCounting"/>
      <w:suff w:val="space"/>
      <w:lvlText w:val="第%1部分"/>
      <w:lvlJc w:val="left"/>
      <w:rPr>
        <w:rFonts w:hint="eastAsia"/>
      </w:rPr>
    </w:lvl>
  </w:abstractNum>
  <w:abstractNum w:abstractNumId="1">
    <w:nsid w:val="DAF6BF38"/>
    <w:multiLevelType w:val="singleLevel"/>
    <w:tmpl w:val="DAF6BF38"/>
    <w:lvl w:ilvl="0" w:tentative="0">
      <w:start w:val="4"/>
      <w:numFmt w:val="chineseCounting"/>
      <w:suff w:val="space"/>
      <w:lvlText w:val="第%1部分"/>
      <w:lvlJc w:val="left"/>
      <w:rPr>
        <w:rFonts w:hint="eastAsia"/>
      </w:rPr>
    </w:lvl>
  </w:abstractNum>
  <w:abstractNum w:abstractNumId="2">
    <w:nsid w:val="428484F3"/>
    <w:multiLevelType w:val="singleLevel"/>
    <w:tmpl w:val="428484F3"/>
    <w:lvl w:ilvl="0" w:tentative="0">
      <w:start w:val="4"/>
      <w:numFmt w:val="chineseCounting"/>
      <w:suff w:val="space"/>
      <w:lvlText w:val="第%1部分"/>
      <w:lvlJc w:val="left"/>
      <w:rPr>
        <w:rFonts w:hint="eastAsia"/>
      </w:rPr>
    </w:lvl>
  </w:abstractNum>
  <w:abstractNum w:abstractNumId="3">
    <w:nsid w:val="61652E0C"/>
    <w:multiLevelType w:val="singleLevel"/>
    <w:tmpl w:val="61652E0C"/>
    <w:lvl w:ilvl="0" w:tentative="0">
      <w:start w:val="1"/>
      <w:numFmt w:val="chineseCounting"/>
      <w:suff w:val="space"/>
      <w:lvlText w:val="第%1部分"/>
      <w:lvlJc w:val="left"/>
      <w:rPr>
        <w:rFonts w:hint="eastAsia"/>
        <w:sz w:val="36"/>
        <w:szCs w:val="36"/>
      </w:rPr>
    </w:lvl>
  </w:abstractNum>
  <w:abstractNum w:abstractNumId="4">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0NTliZjk0YWNlYmFhM2Q3ZDJkMGIzOTgwY2NkMzAifQ=="/>
  </w:docVars>
  <w:rsids>
    <w:rsidRoot w:val="00000000"/>
    <w:rsid w:val="0EB34DFE"/>
    <w:rsid w:val="181700C3"/>
    <w:rsid w:val="19E33B64"/>
    <w:rsid w:val="42130842"/>
    <w:rsid w:val="711C4A33"/>
    <w:rsid w:val="75893DE7"/>
    <w:rsid w:val="774C7B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4308</Words>
  <Characters>4497</Characters>
  <Lines>0</Lines>
  <Paragraphs>0</Paragraphs>
  <TotalTime>3</TotalTime>
  <ScaleCrop>false</ScaleCrop>
  <LinksUpToDate>false</LinksUpToDate>
  <CharactersWithSpaces>4593</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2025-02-13T02:57:58Z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KSOTemplateDocerSaveRecord">
    <vt:lpwstr>eyJoZGlkIjoiMTIwZWU0ZDIxNjQ1MTVjMzljNjZiMzRkMDRjYzczMmYiLCJ1c2VySWQiOiI2OTM3NjA3OTcifQ==</vt:lpwstr>
  </property>
  <property fmtid="{D5CDD505-2E9C-101B-9397-08002B2CF9AE}" pid="4" name="ICV">
    <vt:lpwstr>147B7DD0E39B40729EA85CFD4944D58B_12</vt:lpwstr>
  </property>
</Properties>
</file>