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b/>
          <w:sz w:val="44"/>
          <w:szCs w:val="44"/>
          <w:u w:val="single"/>
        </w:rPr>
      </w:pPr>
    </w:p>
    <w:p>
      <w:pPr>
        <w:jc w:val="center"/>
        <w:rPr>
          <w:rFonts w:hint="eastAsia"/>
          <w:b/>
          <w:sz w:val="44"/>
          <w:szCs w:val="44"/>
          <w:u w:val="single"/>
        </w:rPr>
      </w:pPr>
    </w:p>
    <w:p>
      <w:pPr>
        <w:jc w:val="center"/>
        <w:rPr>
          <w:rFonts w:hint="eastAsia"/>
          <w:b/>
          <w:sz w:val="44"/>
          <w:szCs w:val="44"/>
          <w:u w:val="single"/>
        </w:rPr>
      </w:pPr>
    </w:p>
    <w:p>
      <w:pPr>
        <w:jc w:val="center"/>
        <w:rPr>
          <w:rFonts w:hint="eastAsia"/>
          <w:b/>
          <w:sz w:val="44"/>
          <w:szCs w:val="44"/>
          <w:u w:val="single"/>
        </w:rPr>
      </w:pPr>
    </w:p>
    <w:p>
      <w:pPr>
        <w:jc w:val="both"/>
        <w:rPr>
          <w:rFonts w:hint="eastAsia" w:ascii="楷体" w:hAnsi="楷体" w:eastAsia="楷体"/>
          <w:b/>
          <w:sz w:val="52"/>
          <w:szCs w:val="52"/>
          <w:lang w:val="en-US" w:eastAsia="zh-CN"/>
        </w:rPr>
      </w:pPr>
      <w:r>
        <w:rPr>
          <w:rFonts w:hint="eastAsia" w:ascii="楷体" w:hAnsi="楷体" w:eastAsia="楷体"/>
          <w:b/>
          <w:sz w:val="52"/>
          <w:szCs w:val="52"/>
          <w:lang w:val="en-US" w:eastAsia="zh-CN"/>
        </w:rPr>
        <w:t xml:space="preserve"> </w:t>
      </w:r>
    </w:p>
    <w:p>
      <w:pPr>
        <w:jc w:val="center"/>
        <w:rPr>
          <w:rFonts w:hint="eastAsia" w:ascii="楷体" w:hAnsi="楷体" w:eastAsia="楷体"/>
          <w:b/>
          <w:sz w:val="48"/>
          <w:szCs w:val="48"/>
          <w:lang w:val="en-US" w:eastAsia="zh-CN"/>
        </w:rPr>
      </w:pPr>
      <w:r>
        <w:rPr>
          <w:rFonts w:hint="eastAsia" w:ascii="楷体" w:hAnsi="楷体" w:eastAsia="楷体"/>
          <w:b/>
          <w:sz w:val="48"/>
          <w:szCs w:val="48"/>
        </w:rPr>
        <w:t>沈阳市</w:t>
      </w:r>
      <w:r>
        <w:rPr>
          <w:rFonts w:hint="eastAsia" w:ascii="楷体" w:hAnsi="楷体" w:eastAsia="楷体"/>
          <w:b/>
          <w:sz w:val="48"/>
          <w:szCs w:val="48"/>
          <w:lang w:eastAsia="zh-CN"/>
        </w:rPr>
        <w:t>浑南区文化旅游和广播电视局</w:t>
      </w:r>
    </w:p>
    <w:p>
      <w:pPr>
        <w:jc w:val="center"/>
        <w:rPr>
          <w:rFonts w:hint="eastAsia" w:ascii="楷体" w:hAnsi="楷体" w:eastAsia="楷体"/>
          <w:b/>
          <w:sz w:val="52"/>
          <w:szCs w:val="52"/>
        </w:rPr>
      </w:pPr>
      <w:r>
        <w:rPr>
          <w:rFonts w:hint="eastAsia" w:ascii="楷体" w:hAnsi="楷体" w:eastAsia="楷体"/>
          <w:b/>
          <w:sz w:val="52"/>
          <w:szCs w:val="52"/>
          <w:lang w:val="en-US" w:eastAsia="zh-CN"/>
        </w:rPr>
        <w:t>2025</w:t>
      </w:r>
      <w:r>
        <w:rPr>
          <w:rFonts w:hint="eastAsia" w:ascii="楷体" w:hAnsi="楷体" w:eastAsia="楷体"/>
          <w:b/>
          <w:sz w:val="52"/>
          <w:szCs w:val="52"/>
        </w:rPr>
        <w:t>年部门预算</w:t>
      </w:r>
    </w:p>
    <w:p>
      <w:pPr>
        <w:jc w:val="center"/>
        <w:rPr>
          <w:rFonts w:hint="eastAsia"/>
          <w:b/>
          <w:sz w:val="44"/>
          <w:szCs w:val="44"/>
          <w:u w:val="single"/>
        </w:rPr>
      </w:pPr>
    </w:p>
    <w:p>
      <w:pPr>
        <w:jc w:val="center"/>
        <w:rPr>
          <w:rFonts w:hint="eastAsia"/>
          <w:b/>
          <w:sz w:val="44"/>
          <w:szCs w:val="44"/>
          <w:u w:val="single"/>
        </w:rPr>
      </w:pPr>
    </w:p>
    <w:p>
      <w:pPr>
        <w:jc w:val="center"/>
        <w:rPr>
          <w:rFonts w:hint="eastAsia"/>
          <w:b/>
          <w:sz w:val="44"/>
          <w:szCs w:val="44"/>
          <w:u w:val="single"/>
        </w:rPr>
      </w:pPr>
    </w:p>
    <w:p>
      <w:pPr>
        <w:jc w:val="center"/>
        <w:rPr>
          <w:rFonts w:hint="eastAsia"/>
          <w:b/>
          <w:sz w:val="44"/>
          <w:szCs w:val="44"/>
          <w:u w:val="single"/>
        </w:rPr>
      </w:pPr>
    </w:p>
    <w:p>
      <w:pPr>
        <w:jc w:val="center"/>
        <w:rPr>
          <w:rFonts w:hint="eastAsia"/>
          <w:b/>
          <w:sz w:val="44"/>
          <w:szCs w:val="44"/>
          <w:u w:val="single"/>
        </w:rPr>
      </w:pPr>
    </w:p>
    <w:p>
      <w:pPr>
        <w:jc w:val="center"/>
        <w:rPr>
          <w:rFonts w:hint="eastAsia"/>
          <w:b/>
          <w:sz w:val="44"/>
          <w:szCs w:val="44"/>
          <w:u w:val="single"/>
        </w:rPr>
      </w:pPr>
    </w:p>
    <w:p>
      <w:pPr>
        <w:jc w:val="center"/>
        <w:rPr>
          <w:rFonts w:hint="eastAsia"/>
          <w:b/>
          <w:sz w:val="44"/>
          <w:szCs w:val="44"/>
          <w:u w:val="single"/>
        </w:rPr>
      </w:pPr>
    </w:p>
    <w:p>
      <w:pPr>
        <w:jc w:val="center"/>
        <w:rPr>
          <w:rFonts w:hint="eastAsia"/>
          <w:b/>
          <w:sz w:val="44"/>
          <w:szCs w:val="44"/>
          <w:u w:val="single"/>
        </w:rPr>
      </w:pPr>
    </w:p>
    <w:p>
      <w:pPr>
        <w:jc w:val="center"/>
        <w:rPr>
          <w:rFonts w:hint="eastAsia"/>
          <w:b/>
          <w:sz w:val="44"/>
          <w:szCs w:val="44"/>
          <w:u w:val="single"/>
        </w:rPr>
      </w:pPr>
    </w:p>
    <w:p>
      <w:pPr>
        <w:jc w:val="center"/>
        <w:rPr>
          <w:rFonts w:hint="eastAsia"/>
          <w:b/>
          <w:sz w:val="44"/>
          <w:szCs w:val="44"/>
          <w:u w:val="single"/>
        </w:rPr>
      </w:pPr>
    </w:p>
    <w:p>
      <w:pPr>
        <w:jc w:val="center"/>
        <w:rPr>
          <w:rFonts w:hint="eastAsia"/>
          <w:b/>
          <w:sz w:val="44"/>
          <w:szCs w:val="44"/>
          <w:u w:val="single"/>
        </w:rPr>
      </w:pPr>
    </w:p>
    <w:p>
      <w:pPr>
        <w:jc w:val="center"/>
        <w:rPr>
          <w:rFonts w:hint="eastAsia"/>
          <w:b/>
          <w:sz w:val="44"/>
          <w:szCs w:val="44"/>
          <w:u w:val="single"/>
        </w:rPr>
      </w:pPr>
    </w:p>
    <w:p>
      <w:pPr>
        <w:jc w:val="center"/>
        <w:rPr>
          <w:rFonts w:hint="eastAsia"/>
          <w:b/>
          <w:sz w:val="44"/>
          <w:szCs w:val="44"/>
          <w:u w:val="single"/>
        </w:rPr>
      </w:pPr>
    </w:p>
    <w:p>
      <w:pPr>
        <w:rPr>
          <w:rFonts w:hint="eastAsia"/>
          <w:b/>
          <w:sz w:val="44"/>
          <w:szCs w:val="44"/>
        </w:rPr>
      </w:pPr>
    </w:p>
    <w:p>
      <w:pPr>
        <w:jc w:val="center"/>
        <w:rPr>
          <w:rFonts w:hint="eastAsia"/>
          <w:b/>
          <w:sz w:val="44"/>
          <w:szCs w:val="44"/>
        </w:rPr>
      </w:pPr>
      <w:r>
        <w:rPr>
          <w:rFonts w:hint="eastAsia"/>
          <w:b/>
          <w:sz w:val="44"/>
          <w:szCs w:val="44"/>
        </w:rPr>
        <w:t>目    录</w:t>
      </w:r>
    </w:p>
    <w:p>
      <w:pPr>
        <w:rPr>
          <w:rFonts w:hint="eastAsia"/>
          <w:b/>
          <w:sz w:val="44"/>
          <w:szCs w:val="44"/>
          <w:u w:val="single"/>
        </w:rPr>
      </w:pPr>
    </w:p>
    <w:p>
      <w:pPr>
        <w:rPr>
          <w:rFonts w:hint="eastAsia" w:ascii="黑体" w:hAnsi="黑体" w:eastAsia="黑体"/>
          <w:sz w:val="32"/>
          <w:szCs w:val="32"/>
        </w:rPr>
      </w:pPr>
      <w:r>
        <w:rPr>
          <w:rFonts w:hint="eastAsia" w:ascii="黑体" w:hAnsi="黑体" w:eastAsia="黑体"/>
          <w:sz w:val="32"/>
          <w:szCs w:val="32"/>
        </w:rPr>
        <w:t xml:space="preserve">第一部分  </w:t>
      </w:r>
      <w:r>
        <w:rPr>
          <w:rFonts w:hint="eastAsia" w:ascii="黑体" w:hAnsi="黑体" w:eastAsia="黑体"/>
          <w:sz w:val="32"/>
          <w:szCs w:val="32"/>
          <w:lang w:val="en-US" w:eastAsia="zh-CN"/>
        </w:rPr>
        <w:t>部门预算公开管理文件</w:t>
      </w:r>
    </w:p>
    <w:p>
      <w:pPr>
        <w:rPr>
          <w:rFonts w:hint="eastAsia" w:ascii="黑体" w:hAnsi="黑体" w:eastAsia="黑体"/>
          <w:sz w:val="32"/>
          <w:szCs w:val="32"/>
        </w:rPr>
      </w:pPr>
      <w:r>
        <w:rPr>
          <w:rFonts w:hint="eastAsia" w:ascii="黑体" w:hAnsi="黑体" w:eastAsia="黑体"/>
          <w:sz w:val="32"/>
          <w:szCs w:val="32"/>
        </w:rPr>
        <w:t>第</w:t>
      </w:r>
      <w:r>
        <w:rPr>
          <w:rFonts w:hint="eastAsia" w:ascii="黑体" w:hAnsi="黑体" w:eastAsia="黑体"/>
          <w:sz w:val="32"/>
          <w:szCs w:val="32"/>
          <w:lang w:val="en-US" w:eastAsia="zh-CN"/>
        </w:rPr>
        <w:t>二</w:t>
      </w:r>
      <w:r>
        <w:rPr>
          <w:rFonts w:hint="eastAsia" w:ascii="黑体" w:hAnsi="黑体" w:eastAsia="黑体"/>
          <w:sz w:val="32"/>
          <w:szCs w:val="32"/>
        </w:rPr>
        <w:t>部分  沈阳市</w:t>
      </w:r>
      <w:r>
        <w:rPr>
          <w:rFonts w:hint="eastAsia" w:ascii="黑体" w:hAnsi="黑体" w:eastAsia="黑体"/>
          <w:sz w:val="32"/>
          <w:szCs w:val="32"/>
          <w:lang w:eastAsia="zh-CN"/>
        </w:rPr>
        <w:t>浑南区文化旅游和广播电视局</w:t>
      </w:r>
      <w:r>
        <w:rPr>
          <w:rFonts w:hint="eastAsia" w:ascii="黑体" w:hAnsi="黑体" w:eastAsia="黑体"/>
          <w:sz w:val="32"/>
          <w:szCs w:val="32"/>
        </w:rPr>
        <w:t>概况</w:t>
      </w:r>
    </w:p>
    <w:p>
      <w:pPr>
        <w:numPr>
          <w:ilvl w:val="0"/>
          <w:numId w:val="1"/>
        </w:numPr>
        <w:rPr>
          <w:rFonts w:hint="eastAsia" w:ascii="仿宋_GB2312" w:hAnsi="黑体" w:eastAsia="仿宋_GB2312"/>
          <w:sz w:val="32"/>
          <w:szCs w:val="32"/>
        </w:rPr>
      </w:pPr>
      <w:r>
        <w:rPr>
          <w:rFonts w:hint="eastAsia" w:ascii="仿宋_GB2312" w:hAnsi="黑体" w:eastAsia="仿宋_GB2312"/>
          <w:sz w:val="32"/>
          <w:szCs w:val="32"/>
        </w:rPr>
        <w:t>主要职责</w:t>
      </w:r>
    </w:p>
    <w:p>
      <w:pPr>
        <w:numPr>
          <w:ilvl w:val="0"/>
          <w:numId w:val="1"/>
        </w:numPr>
        <w:rPr>
          <w:rFonts w:hint="eastAsia" w:ascii="仿宋_GB2312" w:hAnsi="黑体" w:eastAsia="仿宋_GB2312"/>
          <w:sz w:val="32"/>
          <w:szCs w:val="32"/>
        </w:rPr>
      </w:pPr>
      <w:r>
        <w:rPr>
          <w:rFonts w:hint="eastAsia" w:ascii="仿宋_GB2312" w:hAnsi="黑体" w:eastAsia="仿宋_GB2312"/>
          <w:sz w:val="32"/>
          <w:szCs w:val="32"/>
          <w:lang w:eastAsia="zh-CN"/>
        </w:rPr>
        <w:t>机构设置</w:t>
      </w:r>
    </w:p>
    <w:p>
      <w:pPr>
        <w:rPr>
          <w:rFonts w:hint="eastAsia" w:ascii="黑体" w:hAnsi="黑体" w:eastAsia="黑体"/>
          <w:sz w:val="32"/>
          <w:szCs w:val="32"/>
        </w:rPr>
      </w:pPr>
      <w:r>
        <w:rPr>
          <w:rFonts w:hint="eastAsia" w:ascii="黑体" w:hAnsi="黑体" w:eastAsia="黑体"/>
          <w:sz w:val="32"/>
          <w:szCs w:val="32"/>
        </w:rPr>
        <w:t>第</w:t>
      </w:r>
      <w:r>
        <w:rPr>
          <w:rFonts w:hint="eastAsia" w:ascii="黑体" w:hAnsi="黑体" w:eastAsia="黑体"/>
          <w:sz w:val="32"/>
          <w:szCs w:val="32"/>
          <w:lang w:val="en-US" w:eastAsia="zh-CN"/>
        </w:rPr>
        <w:t>三</w:t>
      </w:r>
      <w:r>
        <w:rPr>
          <w:rFonts w:hint="eastAsia" w:ascii="黑体" w:hAnsi="黑体" w:eastAsia="黑体"/>
          <w:sz w:val="32"/>
          <w:szCs w:val="32"/>
        </w:rPr>
        <w:t>部分  沈阳市</w:t>
      </w:r>
      <w:r>
        <w:rPr>
          <w:rFonts w:hint="eastAsia" w:ascii="黑体" w:hAnsi="黑体" w:eastAsia="黑体"/>
          <w:sz w:val="32"/>
          <w:szCs w:val="32"/>
          <w:lang w:eastAsia="zh-CN"/>
        </w:rPr>
        <w:t>浑南区文化旅游和广播电视局</w:t>
      </w:r>
      <w:r>
        <w:rPr>
          <w:rFonts w:hint="eastAsia" w:ascii="黑体" w:hAnsi="黑体" w:eastAsia="黑体"/>
          <w:sz w:val="32"/>
          <w:szCs w:val="32"/>
          <w:lang w:val="en-US" w:eastAsia="zh-CN"/>
        </w:rPr>
        <w:t>2025年</w:t>
      </w:r>
      <w:r>
        <w:rPr>
          <w:rFonts w:hint="eastAsia" w:ascii="黑体" w:hAnsi="黑体" w:eastAsia="黑体"/>
          <w:sz w:val="32"/>
          <w:szCs w:val="32"/>
        </w:rPr>
        <w:t>部门预算公开表</w:t>
      </w:r>
    </w:p>
    <w:p>
      <w:pPr>
        <w:rPr>
          <w:rFonts w:ascii="仿宋_GB2312" w:hAnsi="黑体" w:eastAsia="仿宋_GB2312"/>
          <w:sz w:val="32"/>
          <w:szCs w:val="32"/>
        </w:rPr>
      </w:pPr>
      <w:r>
        <w:rPr>
          <w:rFonts w:hint="eastAsia" w:ascii="仿宋_GB2312" w:hAnsi="黑体" w:eastAsia="仿宋_GB2312"/>
          <w:sz w:val="32"/>
          <w:szCs w:val="32"/>
        </w:rPr>
        <w:t>表1.收支预算总表</w:t>
      </w:r>
    </w:p>
    <w:p>
      <w:pPr>
        <w:rPr>
          <w:rFonts w:hint="eastAsia" w:ascii="仿宋_GB2312" w:hAnsi="黑体" w:eastAsia="仿宋_GB2312" w:cs="Times New Roman"/>
          <w:sz w:val="32"/>
          <w:szCs w:val="32"/>
        </w:rPr>
      </w:pPr>
      <w:r>
        <w:rPr>
          <w:rFonts w:hint="eastAsia" w:ascii="仿宋_GB2312" w:hAnsi="黑体" w:eastAsia="仿宋_GB2312" w:cs="Times New Roman"/>
          <w:sz w:val="32"/>
          <w:szCs w:val="32"/>
        </w:rPr>
        <w:t>表2.收入预算总表</w:t>
      </w:r>
    </w:p>
    <w:p>
      <w:pPr>
        <w:rPr>
          <w:rFonts w:hint="eastAsia" w:ascii="仿宋_GB2312" w:hAnsi="黑体" w:eastAsia="仿宋_GB2312" w:cs="Times New Roman"/>
          <w:sz w:val="32"/>
          <w:szCs w:val="32"/>
        </w:rPr>
      </w:pPr>
      <w:r>
        <w:rPr>
          <w:rFonts w:hint="eastAsia" w:ascii="仿宋_GB2312" w:hAnsi="黑体" w:eastAsia="仿宋_GB2312" w:cs="Times New Roman"/>
          <w:sz w:val="32"/>
          <w:szCs w:val="32"/>
        </w:rPr>
        <w:t>表3.支出预算总表</w:t>
      </w:r>
    </w:p>
    <w:p>
      <w:pPr>
        <w:rPr>
          <w:rFonts w:hint="eastAsia" w:ascii="仿宋_GB2312" w:hAnsi="黑体" w:eastAsia="仿宋_GB2312" w:cs="Times New Roman"/>
          <w:sz w:val="32"/>
          <w:szCs w:val="32"/>
        </w:rPr>
      </w:pPr>
      <w:r>
        <w:rPr>
          <w:rFonts w:hint="eastAsia" w:ascii="仿宋_GB2312" w:hAnsi="黑体" w:eastAsia="仿宋_GB2312" w:cs="Times New Roman"/>
          <w:sz w:val="32"/>
          <w:szCs w:val="32"/>
        </w:rPr>
        <w:t>表4.财政拨款收支预算总表</w:t>
      </w:r>
    </w:p>
    <w:p>
      <w:pPr>
        <w:rPr>
          <w:rFonts w:hint="eastAsia" w:ascii="仿宋_GB2312" w:hAnsi="黑体" w:eastAsia="仿宋_GB2312" w:cs="Times New Roman"/>
          <w:sz w:val="32"/>
          <w:szCs w:val="32"/>
        </w:rPr>
      </w:pPr>
      <w:r>
        <w:rPr>
          <w:rFonts w:hint="eastAsia" w:ascii="仿宋_GB2312" w:hAnsi="黑体" w:eastAsia="仿宋_GB2312" w:cs="Times New Roman"/>
          <w:sz w:val="32"/>
          <w:szCs w:val="32"/>
        </w:rPr>
        <w:t>表5.一般公共预算支出表</w:t>
      </w:r>
    </w:p>
    <w:p>
      <w:pPr>
        <w:rPr>
          <w:rFonts w:hint="eastAsia" w:ascii="仿宋_GB2312" w:hAnsi="黑体" w:eastAsia="仿宋_GB2312" w:cs="Times New Roman"/>
          <w:sz w:val="32"/>
          <w:szCs w:val="32"/>
        </w:rPr>
      </w:pPr>
      <w:r>
        <w:rPr>
          <w:rFonts w:hint="eastAsia" w:ascii="仿宋_GB2312" w:hAnsi="黑体" w:eastAsia="仿宋_GB2312" w:cs="Times New Roman"/>
          <w:sz w:val="32"/>
          <w:szCs w:val="32"/>
        </w:rPr>
        <w:t>表6.一般公共预算基本支出表</w:t>
      </w:r>
    </w:p>
    <w:p>
      <w:pPr>
        <w:rPr>
          <w:rFonts w:hint="eastAsia" w:ascii="仿宋_GB2312" w:hAnsi="黑体" w:eastAsia="仿宋_GB2312" w:cs="Times New Roman"/>
          <w:sz w:val="32"/>
          <w:szCs w:val="32"/>
        </w:rPr>
      </w:pPr>
      <w:r>
        <w:rPr>
          <w:rFonts w:hint="eastAsia" w:ascii="仿宋_GB2312" w:hAnsi="黑体" w:eastAsia="仿宋_GB2312" w:cs="Times New Roman"/>
          <w:sz w:val="32"/>
          <w:szCs w:val="32"/>
        </w:rPr>
        <w:t>表7.一般公共预算“三公”经费支出对比表</w:t>
      </w:r>
    </w:p>
    <w:p>
      <w:pPr>
        <w:rPr>
          <w:rFonts w:hint="eastAsia" w:ascii="仿宋_GB2312" w:hAnsi="黑体" w:eastAsia="仿宋_GB2312" w:cs="Times New Roman"/>
          <w:sz w:val="32"/>
          <w:szCs w:val="32"/>
        </w:rPr>
      </w:pPr>
      <w:r>
        <w:rPr>
          <w:rFonts w:hint="eastAsia" w:ascii="仿宋_GB2312" w:hAnsi="黑体" w:eastAsia="仿宋_GB2312" w:cs="Times New Roman"/>
          <w:sz w:val="32"/>
          <w:szCs w:val="32"/>
        </w:rPr>
        <w:t>表8.政府性基金预算支出表</w:t>
      </w:r>
    </w:p>
    <w:p>
      <w:pPr>
        <w:rPr>
          <w:rFonts w:hint="eastAsia" w:ascii="仿宋_GB2312" w:hAnsi="黑体" w:eastAsia="仿宋_GB2312" w:cs="Times New Roman"/>
          <w:sz w:val="32"/>
          <w:szCs w:val="32"/>
        </w:rPr>
      </w:pPr>
      <w:r>
        <w:rPr>
          <w:rFonts w:hint="eastAsia" w:ascii="仿宋_GB2312" w:hAnsi="黑体" w:eastAsia="仿宋_GB2312" w:cs="Times New Roman"/>
          <w:sz w:val="32"/>
          <w:szCs w:val="32"/>
        </w:rPr>
        <w:t>表9.项目支出预算表</w:t>
      </w:r>
    </w:p>
    <w:p>
      <w:pPr>
        <w:rPr>
          <w:rFonts w:hint="eastAsia" w:ascii="仿宋_GB2312" w:hAnsi="黑体" w:eastAsia="仿宋_GB2312" w:cs="Times New Roman"/>
          <w:sz w:val="32"/>
          <w:szCs w:val="32"/>
        </w:rPr>
      </w:pPr>
      <w:r>
        <w:rPr>
          <w:rFonts w:hint="eastAsia" w:ascii="仿宋_GB2312" w:hAnsi="黑体" w:eastAsia="仿宋_GB2312" w:cs="Times New Roman"/>
          <w:sz w:val="32"/>
          <w:szCs w:val="32"/>
        </w:rPr>
        <w:t>表10.支出功能分类预算表</w:t>
      </w:r>
    </w:p>
    <w:p>
      <w:pPr>
        <w:rPr>
          <w:rFonts w:hint="eastAsia" w:ascii="仿宋_GB2312" w:hAnsi="黑体" w:eastAsia="仿宋_GB2312" w:cs="Times New Roman"/>
          <w:sz w:val="32"/>
          <w:szCs w:val="32"/>
        </w:rPr>
      </w:pPr>
      <w:r>
        <w:rPr>
          <w:rFonts w:hint="eastAsia" w:ascii="仿宋_GB2312" w:hAnsi="黑体" w:eastAsia="仿宋_GB2312" w:cs="Times New Roman"/>
          <w:sz w:val="32"/>
          <w:szCs w:val="32"/>
        </w:rPr>
        <w:t>表11.支出经济分类预算表（政府预算）</w:t>
      </w:r>
    </w:p>
    <w:p>
      <w:pPr>
        <w:rPr>
          <w:rFonts w:hint="eastAsia" w:ascii="仿宋_GB2312" w:hAnsi="黑体" w:eastAsia="仿宋_GB2312" w:cs="Times New Roman"/>
          <w:sz w:val="32"/>
          <w:szCs w:val="32"/>
        </w:rPr>
      </w:pPr>
      <w:r>
        <w:rPr>
          <w:rFonts w:hint="eastAsia" w:ascii="仿宋_GB2312" w:hAnsi="黑体" w:eastAsia="仿宋_GB2312" w:cs="Times New Roman"/>
          <w:sz w:val="32"/>
          <w:szCs w:val="32"/>
        </w:rPr>
        <w:t>表12.支出经济分类预算表（部门预算）</w:t>
      </w:r>
    </w:p>
    <w:p>
      <w:pPr>
        <w:rPr>
          <w:rFonts w:hint="eastAsia" w:ascii="仿宋_GB2312" w:hAnsi="黑体" w:eastAsia="仿宋_GB2312" w:cs="Times New Roman"/>
          <w:sz w:val="32"/>
          <w:szCs w:val="32"/>
        </w:rPr>
      </w:pPr>
      <w:r>
        <w:rPr>
          <w:rFonts w:hint="eastAsia" w:ascii="仿宋_GB2312" w:hAnsi="黑体" w:eastAsia="仿宋_GB2312" w:cs="Times New Roman"/>
          <w:sz w:val="32"/>
          <w:szCs w:val="32"/>
        </w:rPr>
        <w:t>表13.债务支出预算表</w:t>
      </w:r>
    </w:p>
    <w:p>
      <w:pPr>
        <w:rPr>
          <w:rFonts w:hint="eastAsia" w:ascii="仿宋_GB2312" w:hAnsi="黑体" w:eastAsia="仿宋_GB2312" w:cs="Times New Roman"/>
          <w:sz w:val="32"/>
          <w:szCs w:val="32"/>
        </w:rPr>
      </w:pPr>
      <w:r>
        <w:rPr>
          <w:rFonts w:hint="eastAsia" w:ascii="仿宋_GB2312" w:hAnsi="黑体" w:eastAsia="仿宋_GB2312" w:cs="Times New Roman"/>
          <w:sz w:val="32"/>
          <w:szCs w:val="32"/>
        </w:rPr>
        <w:t>表14.政府采购支出预算表</w:t>
      </w:r>
    </w:p>
    <w:p>
      <w:pPr>
        <w:rPr>
          <w:rFonts w:hint="eastAsia" w:ascii="仿宋_GB2312" w:hAnsi="黑体" w:eastAsia="仿宋_GB2312" w:cs="Times New Roman"/>
          <w:sz w:val="32"/>
          <w:szCs w:val="32"/>
        </w:rPr>
      </w:pPr>
      <w:r>
        <w:rPr>
          <w:rFonts w:hint="eastAsia" w:ascii="仿宋_GB2312" w:hAnsi="黑体" w:eastAsia="仿宋_GB2312" w:cs="Times New Roman"/>
          <w:sz w:val="32"/>
          <w:szCs w:val="32"/>
        </w:rPr>
        <w:t>表15.政府购买服务支出预算表</w:t>
      </w:r>
    </w:p>
    <w:p>
      <w:pPr>
        <w:rPr>
          <w:rFonts w:hint="eastAsia" w:ascii="仿宋_GB2312" w:hAnsi="黑体" w:eastAsia="仿宋_GB2312" w:cs="Times New Roman"/>
          <w:sz w:val="32"/>
          <w:szCs w:val="32"/>
        </w:rPr>
      </w:pPr>
      <w:r>
        <w:rPr>
          <w:rFonts w:hint="eastAsia" w:ascii="仿宋_GB2312" w:hAnsi="黑体" w:eastAsia="仿宋_GB2312" w:cs="Times New Roman"/>
          <w:sz w:val="32"/>
          <w:szCs w:val="32"/>
        </w:rPr>
        <w:t>表16.部门（单位）整体绩效目标表</w:t>
      </w:r>
    </w:p>
    <w:p>
      <w:pPr>
        <w:rPr>
          <w:rFonts w:hint="eastAsia" w:ascii="仿宋_GB2312" w:hAnsi="宋体" w:eastAsia="仿宋_GB2312"/>
          <w:sz w:val="32"/>
          <w:szCs w:val="32"/>
        </w:rPr>
      </w:pPr>
      <w:r>
        <w:rPr>
          <w:rFonts w:hint="eastAsia" w:ascii="仿宋_GB2312" w:hAnsi="黑体" w:eastAsia="仿宋_GB2312" w:cs="Times New Roman"/>
          <w:sz w:val="32"/>
          <w:szCs w:val="32"/>
        </w:rPr>
        <w:t>表17.部门预算项目（政策）绩效目标表</w:t>
      </w:r>
    </w:p>
    <w:p>
      <w:pPr>
        <w:rPr>
          <w:rFonts w:hint="eastAsia" w:ascii="黑体" w:hAnsi="黑体" w:eastAsia="黑体"/>
          <w:sz w:val="32"/>
          <w:szCs w:val="32"/>
        </w:rPr>
      </w:pPr>
      <w:r>
        <w:rPr>
          <w:rFonts w:hint="eastAsia" w:ascii="黑体" w:hAnsi="黑体" w:eastAsia="黑体"/>
          <w:sz w:val="32"/>
          <w:szCs w:val="32"/>
        </w:rPr>
        <w:t>第</w:t>
      </w:r>
      <w:r>
        <w:rPr>
          <w:rFonts w:hint="eastAsia" w:ascii="黑体" w:hAnsi="黑体" w:eastAsia="黑体"/>
          <w:sz w:val="32"/>
          <w:szCs w:val="32"/>
          <w:lang w:val="en-US" w:eastAsia="zh-CN"/>
        </w:rPr>
        <w:t>四</w:t>
      </w:r>
      <w:r>
        <w:rPr>
          <w:rFonts w:hint="eastAsia" w:ascii="黑体" w:hAnsi="黑体" w:eastAsia="黑体"/>
          <w:sz w:val="32"/>
          <w:szCs w:val="32"/>
        </w:rPr>
        <w:t>部分  沈阳市</w:t>
      </w:r>
      <w:r>
        <w:rPr>
          <w:rFonts w:hint="eastAsia" w:ascii="黑体" w:hAnsi="黑体" w:eastAsia="黑体"/>
          <w:sz w:val="32"/>
          <w:szCs w:val="32"/>
          <w:lang w:eastAsia="zh-CN"/>
        </w:rPr>
        <w:t>浑南区文化旅游和广播电视局</w:t>
      </w:r>
      <w:r>
        <w:rPr>
          <w:rFonts w:hint="eastAsia" w:ascii="黑体" w:hAnsi="黑体" w:eastAsia="黑体"/>
          <w:sz w:val="32"/>
          <w:szCs w:val="32"/>
          <w:lang w:val="en-US" w:eastAsia="zh-CN"/>
        </w:rPr>
        <w:t>2025年</w:t>
      </w:r>
      <w:r>
        <w:rPr>
          <w:rFonts w:hint="eastAsia" w:ascii="黑体" w:hAnsi="黑体" w:eastAsia="黑体"/>
          <w:sz w:val="32"/>
          <w:szCs w:val="32"/>
        </w:rPr>
        <w:t>部门预算情况说明</w:t>
      </w:r>
    </w:p>
    <w:p>
      <w:pPr>
        <w:rPr>
          <w:rFonts w:hint="eastAsia" w:ascii="黑体" w:hAnsi="黑体" w:eastAsia="黑体"/>
          <w:sz w:val="32"/>
          <w:szCs w:val="32"/>
        </w:rPr>
      </w:pPr>
      <w:r>
        <w:rPr>
          <w:rFonts w:hint="eastAsia" w:ascii="黑体" w:hAnsi="黑体" w:eastAsia="黑体"/>
          <w:sz w:val="32"/>
          <w:szCs w:val="32"/>
        </w:rPr>
        <w:t>第</w:t>
      </w:r>
      <w:r>
        <w:rPr>
          <w:rFonts w:hint="eastAsia" w:ascii="黑体" w:hAnsi="黑体" w:eastAsia="黑体"/>
          <w:sz w:val="32"/>
          <w:szCs w:val="32"/>
          <w:lang w:val="en-US" w:eastAsia="zh-CN"/>
        </w:rPr>
        <w:t>五</w:t>
      </w:r>
      <w:r>
        <w:rPr>
          <w:rFonts w:hint="eastAsia" w:ascii="黑体" w:hAnsi="黑体" w:eastAsia="黑体"/>
          <w:sz w:val="32"/>
          <w:szCs w:val="32"/>
        </w:rPr>
        <w:t>部分  名词解释</w:t>
      </w:r>
    </w:p>
    <w:p>
      <w:pPr>
        <w:jc w:val="center"/>
        <w:rPr>
          <w:rFonts w:hint="eastAsia" w:ascii="黑体" w:hAnsi="黑体" w:eastAsia="黑体"/>
          <w:b/>
          <w:sz w:val="44"/>
          <w:szCs w:val="44"/>
          <w:u w:val="single"/>
        </w:rPr>
      </w:pPr>
    </w:p>
    <w:p>
      <w:pPr>
        <w:pStyle w:val="2"/>
        <w:rPr>
          <w:rFonts w:hint="eastAsia" w:ascii="黑体" w:hAnsi="黑体" w:eastAsia="黑体"/>
          <w:b/>
          <w:sz w:val="44"/>
          <w:szCs w:val="44"/>
          <w:u w:val="single"/>
        </w:rPr>
      </w:pPr>
    </w:p>
    <w:p>
      <w:pPr>
        <w:rPr>
          <w:rFonts w:hint="eastAsia" w:ascii="黑体" w:hAnsi="黑体" w:eastAsia="黑体"/>
          <w:b/>
          <w:sz w:val="44"/>
          <w:szCs w:val="44"/>
          <w:u w:val="single"/>
        </w:rPr>
      </w:pPr>
    </w:p>
    <w:p>
      <w:pPr>
        <w:pStyle w:val="2"/>
        <w:rPr>
          <w:rFonts w:hint="eastAsia" w:ascii="黑体" w:hAnsi="黑体" w:eastAsia="黑体"/>
          <w:b/>
          <w:sz w:val="44"/>
          <w:szCs w:val="44"/>
          <w:u w:val="single"/>
        </w:rPr>
      </w:pPr>
    </w:p>
    <w:p>
      <w:pPr>
        <w:rPr>
          <w:rFonts w:hint="eastAsia" w:ascii="黑体" w:hAnsi="黑体" w:eastAsia="黑体"/>
          <w:b/>
          <w:sz w:val="44"/>
          <w:szCs w:val="44"/>
          <w:u w:val="single"/>
        </w:rPr>
      </w:pPr>
    </w:p>
    <w:p>
      <w:pPr>
        <w:pStyle w:val="2"/>
        <w:rPr>
          <w:rFonts w:hint="eastAsia" w:ascii="黑体" w:hAnsi="黑体" w:eastAsia="黑体"/>
          <w:b/>
          <w:sz w:val="44"/>
          <w:szCs w:val="44"/>
          <w:u w:val="single"/>
        </w:rPr>
      </w:pPr>
    </w:p>
    <w:p>
      <w:pPr>
        <w:rPr>
          <w:rFonts w:hint="eastAsia" w:ascii="黑体" w:hAnsi="黑体" w:eastAsia="黑体"/>
          <w:b/>
          <w:sz w:val="44"/>
          <w:szCs w:val="44"/>
          <w:u w:val="single"/>
        </w:rPr>
      </w:pPr>
    </w:p>
    <w:p>
      <w:pPr>
        <w:pStyle w:val="2"/>
        <w:rPr>
          <w:rFonts w:hint="eastAsia" w:ascii="黑体" w:hAnsi="黑体" w:eastAsia="黑体"/>
          <w:b/>
          <w:sz w:val="44"/>
          <w:szCs w:val="44"/>
          <w:u w:val="single"/>
        </w:rPr>
      </w:pPr>
    </w:p>
    <w:p>
      <w:pPr>
        <w:rPr>
          <w:rFonts w:hint="eastAsia" w:ascii="黑体" w:hAnsi="黑体" w:eastAsia="黑体"/>
          <w:b/>
          <w:sz w:val="44"/>
          <w:szCs w:val="44"/>
          <w:u w:val="single"/>
        </w:rPr>
      </w:pPr>
    </w:p>
    <w:p>
      <w:pPr>
        <w:pStyle w:val="2"/>
        <w:rPr>
          <w:rFonts w:hint="eastAsia" w:ascii="黑体" w:hAnsi="黑体" w:eastAsia="黑体"/>
          <w:b/>
          <w:sz w:val="44"/>
          <w:szCs w:val="44"/>
          <w:u w:val="single"/>
        </w:rPr>
      </w:pPr>
    </w:p>
    <w:p>
      <w:pPr>
        <w:rPr>
          <w:rFonts w:hint="eastAsia" w:ascii="黑体" w:hAnsi="黑体" w:eastAsia="黑体"/>
          <w:b/>
          <w:sz w:val="44"/>
          <w:szCs w:val="44"/>
          <w:u w:val="single"/>
        </w:rPr>
      </w:pPr>
    </w:p>
    <w:p>
      <w:pPr>
        <w:pStyle w:val="2"/>
        <w:rPr>
          <w:rFonts w:hint="eastAsia" w:ascii="黑体" w:hAnsi="黑体" w:eastAsia="黑体"/>
          <w:b/>
          <w:sz w:val="44"/>
          <w:szCs w:val="44"/>
          <w:u w:val="single"/>
        </w:rPr>
      </w:pPr>
    </w:p>
    <w:p>
      <w:pPr>
        <w:rPr>
          <w:rFonts w:hint="eastAsia" w:ascii="黑体" w:hAnsi="黑体" w:eastAsia="黑体"/>
          <w:b/>
          <w:sz w:val="44"/>
          <w:szCs w:val="44"/>
          <w:u w:val="single"/>
        </w:rPr>
      </w:pPr>
    </w:p>
    <w:p>
      <w:pPr>
        <w:pStyle w:val="2"/>
        <w:rPr>
          <w:rFonts w:hint="eastAsia"/>
        </w:rPr>
      </w:pPr>
    </w:p>
    <w:p>
      <w:pPr>
        <w:jc w:val="center"/>
        <w:rPr>
          <w:rFonts w:hint="eastAsia"/>
          <w:b/>
          <w:sz w:val="44"/>
          <w:szCs w:val="44"/>
          <w:u w:val="single"/>
        </w:rPr>
      </w:pPr>
    </w:p>
    <w:p>
      <w:pPr>
        <w:jc w:val="center"/>
        <w:rPr>
          <w:rFonts w:hint="eastAsia" w:ascii="宋体" w:hAnsi="宋体"/>
          <w:b/>
          <w:sz w:val="36"/>
          <w:szCs w:val="36"/>
        </w:rPr>
      </w:pPr>
      <w:r>
        <w:rPr>
          <w:rFonts w:hint="eastAsia" w:ascii="宋体" w:hAnsi="宋体"/>
          <w:b/>
          <w:sz w:val="36"/>
          <w:szCs w:val="36"/>
        </w:rPr>
        <w:t xml:space="preserve">第一部分 </w:t>
      </w:r>
      <w:r>
        <w:rPr>
          <w:rFonts w:hint="eastAsia" w:ascii="黑体" w:hAnsi="黑体" w:eastAsia="黑体"/>
          <w:sz w:val="32"/>
          <w:szCs w:val="32"/>
          <w:lang w:val="en-US" w:eastAsia="zh-CN"/>
        </w:rPr>
        <w:t>部门预算公开管理文件</w:t>
      </w:r>
    </w:p>
    <w:p>
      <w:pPr>
        <w:jc w:val="both"/>
        <w:rPr>
          <w:rFonts w:hint="eastAsia" w:ascii="仿宋_GB2312" w:eastAsia="仿宋_GB2312"/>
          <w:b/>
          <w:sz w:val="32"/>
          <w:szCs w:val="32"/>
          <w:lang w:val="en-US" w:eastAsia="zh-CN"/>
        </w:rPr>
      </w:pPr>
    </w:p>
    <w:p>
      <w:pPr>
        <w:keepNext w:val="0"/>
        <w:keepLines w:val="0"/>
        <w:widowControl/>
        <w:suppressLineNumbers w:val="0"/>
        <w:ind w:firstLine="643" w:firstLineChars="200"/>
        <w:jc w:val="both"/>
        <w:rPr>
          <w:rFonts w:hint="eastAsia" w:ascii="仿宋_GB2312" w:eastAsia="仿宋_GB2312"/>
          <w:b/>
          <w:sz w:val="32"/>
          <w:szCs w:val="32"/>
          <w:lang w:val="en-US" w:eastAsia="zh-CN"/>
        </w:rPr>
      </w:pPr>
      <w:r>
        <w:rPr>
          <w:rFonts w:hint="eastAsia" w:ascii="仿宋_GB2312" w:eastAsia="仿宋_GB2312"/>
          <w:b/>
          <w:sz w:val="32"/>
          <w:szCs w:val="32"/>
          <w:lang w:val="en-US" w:eastAsia="zh-CN"/>
        </w:rPr>
        <w:t>关于印发《沈阳市浑南区文化旅游和广播电视局部门预决算信息公开管理办法》的通知（沈浑南文旅 〔2025〕4号</w:t>
      </w:r>
      <w:r>
        <w:rPr>
          <w:rFonts w:hint="eastAsia" w:ascii="仿宋_GB2312" w:eastAsia="仿宋_GB2312"/>
          <w:b/>
          <w:sz w:val="32"/>
          <w:szCs w:val="32"/>
          <w:lang w:val="en-US" w:eastAsia="zh-CN"/>
        </w:rPr>
        <w:t>）</w:t>
      </w:r>
    </w:p>
    <w:p>
      <w:pPr>
        <w:jc w:val="center"/>
        <w:rPr>
          <w:rFonts w:hint="eastAsia" w:ascii="FangSong_GB2312" w:hAnsi="FangSong_GB2312" w:eastAsia="FangSong_GB2312"/>
          <w:sz w:val="32"/>
        </w:rPr>
      </w:pPr>
    </w:p>
    <w:p>
      <w:pPr>
        <w:jc w:val="center"/>
        <w:rPr>
          <w:rFonts w:hint="eastAsia" w:ascii="黑体" w:hAnsi="黑体" w:eastAsia="黑体"/>
          <w:sz w:val="32"/>
          <w:szCs w:val="32"/>
          <w:lang w:val="en-US" w:eastAsia="zh-CN"/>
        </w:rPr>
      </w:pPr>
      <w:r>
        <w:rPr>
          <w:rFonts w:hint="eastAsia" w:ascii="黑体" w:hAnsi="黑体" w:eastAsia="黑体"/>
          <w:sz w:val="32"/>
          <w:szCs w:val="32"/>
          <w:lang w:val="en-US" w:eastAsia="zh-CN"/>
        </w:rPr>
        <w:t>沈阳市浑南区文化旅游和广播电视局部门</w:t>
      </w:r>
    </w:p>
    <w:p>
      <w:pPr>
        <w:jc w:val="center"/>
        <w:rPr>
          <w:rFonts w:hint="eastAsia" w:ascii="仿宋_GB2312" w:hAnsi="Calibri" w:eastAsia="仿宋_GB2312"/>
          <w:sz w:val="32"/>
          <w:szCs w:val="32"/>
          <w:lang w:val="en-US" w:eastAsia="zh-CN"/>
        </w:rPr>
      </w:pPr>
      <w:r>
        <w:rPr>
          <w:rFonts w:hint="eastAsia" w:ascii="黑体" w:hAnsi="黑体" w:eastAsia="黑体"/>
          <w:sz w:val="32"/>
          <w:szCs w:val="32"/>
          <w:lang w:val="en-US" w:eastAsia="zh-CN"/>
        </w:rPr>
        <w:t>预决算信息公开管理办法</w:t>
      </w:r>
    </w:p>
    <w:p>
      <w:pPr>
        <w:spacing w:line="560" w:lineRule="exact"/>
        <w:ind w:firstLine="660"/>
        <w:rPr>
          <w:rFonts w:hint="eastAsia" w:ascii="仿宋_GB2312" w:hAnsi="仿宋_GB2312" w:eastAsia="仿宋_GB2312" w:cs="仿宋_GB2312"/>
          <w:b/>
          <w:bCs/>
          <w:color w:val="auto"/>
          <w:sz w:val="32"/>
          <w:szCs w:val="32"/>
          <w:highlight w:val="none"/>
          <w:u w:val="none"/>
          <w:lang w:eastAsia="zh-CN"/>
        </w:rPr>
      </w:pPr>
    </w:p>
    <w:p>
      <w:pPr>
        <w:spacing w:line="560" w:lineRule="exact"/>
        <w:jc w:val="center"/>
        <w:rPr>
          <w:rFonts w:hint="eastAsia" w:ascii="黑体" w:hAnsi="黑体" w:eastAsia="黑体" w:cs="黑体"/>
          <w:b w:val="0"/>
          <w:bCs w:val="0"/>
          <w:color w:val="auto"/>
          <w:sz w:val="32"/>
          <w:szCs w:val="32"/>
          <w:highlight w:val="none"/>
          <w:u w:val="none"/>
          <w:lang w:eastAsia="zh-CN"/>
        </w:rPr>
      </w:pPr>
      <w:r>
        <w:rPr>
          <w:rFonts w:hint="eastAsia" w:ascii="黑体" w:hAnsi="黑体" w:eastAsia="黑体" w:cs="黑体"/>
          <w:b w:val="0"/>
          <w:bCs w:val="0"/>
          <w:color w:val="auto"/>
          <w:sz w:val="32"/>
          <w:szCs w:val="32"/>
          <w:highlight w:val="none"/>
          <w:u w:val="none"/>
          <w:lang w:eastAsia="zh-CN"/>
        </w:rPr>
        <w:t xml:space="preserve">第一章 </w:t>
      </w:r>
      <w:r>
        <w:rPr>
          <w:rFonts w:hint="eastAsia" w:ascii="黑体" w:hAnsi="黑体" w:eastAsia="黑体" w:cs="黑体"/>
          <w:b w:val="0"/>
          <w:bCs w:val="0"/>
          <w:color w:val="auto"/>
          <w:sz w:val="32"/>
          <w:szCs w:val="32"/>
          <w:highlight w:val="none"/>
          <w:u w:val="none"/>
          <w:lang w:val="en-US" w:eastAsia="zh-CN"/>
        </w:rPr>
        <w:t xml:space="preserve"> </w:t>
      </w:r>
      <w:r>
        <w:rPr>
          <w:rFonts w:hint="eastAsia" w:ascii="黑体" w:hAnsi="黑体" w:eastAsia="黑体" w:cs="黑体"/>
          <w:b w:val="0"/>
          <w:bCs w:val="0"/>
          <w:color w:val="auto"/>
          <w:sz w:val="32"/>
          <w:szCs w:val="32"/>
          <w:highlight w:val="none"/>
          <w:u w:val="none"/>
          <w:lang w:eastAsia="zh-CN"/>
        </w:rPr>
        <w:t>总  则</w:t>
      </w:r>
    </w:p>
    <w:p>
      <w:pPr>
        <w:spacing w:line="560" w:lineRule="exact"/>
        <w:ind w:firstLine="660"/>
        <w:rPr>
          <w:rFonts w:hint="eastAsia" w:ascii="仿宋_GB2312" w:hAnsi="仿宋_GB2312" w:eastAsia="仿宋_GB2312" w:cs="仿宋_GB2312"/>
          <w:b w:val="0"/>
          <w:bCs w:val="0"/>
          <w:color w:val="auto"/>
          <w:sz w:val="32"/>
          <w:szCs w:val="32"/>
          <w:highlight w:val="none"/>
          <w:u w:val="none"/>
          <w:lang w:eastAsia="zh-CN"/>
        </w:rPr>
      </w:pPr>
      <w:r>
        <w:rPr>
          <w:rFonts w:hint="eastAsia" w:ascii="黑体" w:hAnsi="黑体" w:eastAsia="黑体" w:cs="黑体"/>
          <w:b w:val="0"/>
          <w:bCs w:val="0"/>
          <w:color w:val="auto"/>
          <w:sz w:val="32"/>
          <w:szCs w:val="32"/>
          <w:highlight w:val="none"/>
          <w:u w:val="none"/>
          <w:lang w:eastAsia="zh-CN"/>
        </w:rPr>
        <w:t>第一条</w:t>
      </w:r>
      <w:r>
        <w:rPr>
          <w:rFonts w:hint="eastAsia" w:ascii="仿宋_GB2312" w:hAnsi="仿宋_GB2312" w:cs="仿宋_GB2312"/>
          <w:b/>
          <w:bCs/>
          <w:color w:val="auto"/>
          <w:sz w:val="32"/>
          <w:szCs w:val="32"/>
          <w:highlight w:val="none"/>
          <w:u w:val="none"/>
          <w:lang w:val="en-US" w:eastAsia="zh-CN"/>
        </w:rPr>
        <w:t xml:space="preserve"> </w:t>
      </w:r>
      <w:r>
        <w:rPr>
          <w:rFonts w:hint="eastAsia" w:ascii="仿宋_GB2312" w:hAnsi="仿宋_GB2312" w:eastAsia="仿宋_GB2312" w:cs="仿宋_GB2312"/>
          <w:b w:val="0"/>
          <w:bCs w:val="0"/>
          <w:color w:val="auto"/>
          <w:sz w:val="32"/>
          <w:szCs w:val="32"/>
          <w:highlight w:val="none"/>
          <w:u w:val="none"/>
          <w:lang w:eastAsia="zh-CN"/>
        </w:rPr>
        <w:t>为推进和规范预决算信息公开工作，强化社会监督，建立透明</w:t>
      </w:r>
      <w:r>
        <w:rPr>
          <w:rFonts w:hint="eastAsia" w:ascii="仿宋_GB2312" w:hAnsi="仿宋_GB2312" w:eastAsia="仿宋_GB2312" w:cs="仿宋_GB2312"/>
          <w:b w:val="0"/>
          <w:bCs w:val="0"/>
          <w:color w:val="auto"/>
          <w:sz w:val="32"/>
          <w:szCs w:val="32"/>
          <w:highlight w:val="none"/>
          <w:u w:val="none"/>
          <w:lang w:val="en-US" w:eastAsia="zh-CN"/>
        </w:rPr>
        <w:t>预决算</w:t>
      </w:r>
      <w:r>
        <w:rPr>
          <w:rFonts w:hint="eastAsia" w:ascii="仿宋_GB2312" w:hAnsi="仿宋_GB2312" w:eastAsia="仿宋_GB2312" w:cs="仿宋_GB2312"/>
          <w:b w:val="0"/>
          <w:bCs w:val="0"/>
          <w:color w:val="auto"/>
          <w:sz w:val="32"/>
          <w:szCs w:val="32"/>
          <w:highlight w:val="none"/>
          <w:u w:val="none"/>
          <w:lang w:eastAsia="zh-CN"/>
        </w:rPr>
        <w:t>制度，根据《中华人民共和国预算法》</w:t>
      </w:r>
      <w:r>
        <w:rPr>
          <w:rFonts w:hint="eastAsia" w:ascii="仿宋_GB2312" w:hAnsi="仿宋_GB2312" w:eastAsia="仿宋_GB2312" w:cs="仿宋_GB2312"/>
          <w:b w:val="0"/>
          <w:bCs w:val="0"/>
          <w:color w:val="auto"/>
          <w:sz w:val="32"/>
          <w:szCs w:val="32"/>
          <w:highlight w:val="none"/>
          <w:u w:val="none"/>
          <w:lang w:val="en-US" w:eastAsia="zh-CN"/>
        </w:rPr>
        <w:t>和</w:t>
      </w:r>
      <w:r>
        <w:rPr>
          <w:rFonts w:hint="eastAsia" w:ascii="仿宋_GB2312" w:hAnsi="仿宋_GB2312" w:eastAsia="仿宋_GB2312" w:cs="仿宋_GB2312"/>
          <w:b w:val="0"/>
          <w:bCs w:val="0"/>
          <w:color w:val="auto"/>
          <w:sz w:val="32"/>
          <w:szCs w:val="32"/>
          <w:highlight w:val="none"/>
          <w:u w:val="none"/>
          <w:lang w:eastAsia="zh-CN"/>
        </w:rPr>
        <w:t>《中华人民共和国政府信息公开条例》等有关规定，结合我</w:t>
      </w:r>
      <w:r>
        <w:rPr>
          <w:rFonts w:hint="eastAsia" w:ascii="仿宋_GB2312" w:hAnsi="仿宋_GB2312" w:eastAsia="仿宋_GB2312" w:cs="仿宋_GB2312"/>
          <w:b w:val="0"/>
          <w:bCs w:val="0"/>
          <w:color w:val="auto"/>
          <w:sz w:val="32"/>
          <w:szCs w:val="32"/>
          <w:highlight w:val="none"/>
          <w:u w:val="none"/>
          <w:lang w:val="en-US" w:eastAsia="zh-CN"/>
        </w:rPr>
        <w:t>局</w:t>
      </w:r>
      <w:r>
        <w:rPr>
          <w:rFonts w:hint="eastAsia" w:ascii="仿宋_GB2312" w:hAnsi="仿宋_GB2312" w:eastAsia="仿宋_GB2312" w:cs="仿宋_GB2312"/>
          <w:b w:val="0"/>
          <w:bCs w:val="0"/>
          <w:color w:val="auto"/>
          <w:sz w:val="32"/>
          <w:szCs w:val="32"/>
          <w:highlight w:val="none"/>
          <w:u w:val="none"/>
          <w:lang w:eastAsia="zh-CN"/>
        </w:rPr>
        <w:t>实际，制定本办法。</w:t>
      </w:r>
    </w:p>
    <w:p>
      <w:pPr>
        <w:spacing w:line="560" w:lineRule="exact"/>
        <w:ind w:firstLine="660"/>
        <w:rPr>
          <w:rFonts w:hint="eastAsia" w:ascii="仿宋_GB2312" w:hAnsi="仿宋_GB2312" w:eastAsia="仿宋_GB2312" w:cs="仿宋_GB2312"/>
          <w:b w:val="0"/>
          <w:bCs w:val="0"/>
          <w:color w:val="auto"/>
          <w:sz w:val="32"/>
          <w:szCs w:val="32"/>
          <w:highlight w:val="none"/>
          <w:u w:val="none"/>
          <w:lang w:eastAsia="zh-CN"/>
        </w:rPr>
      </w:pPr>
      <w:r>
        <w:rPr>
          <w:rFonts w:hint="eastAsia" w:ascii="黑体" w:hAnsi="黑体" w:eastAsia="黑体" w:cs="黑体"/>
          <w:b w:val="0"/>
          <w:bCs w:val="0"/>
          <w:color w:val="auto"/>
          <w:sz w:val="32"/>
          <w:szCs w:val="32"/>
          <w:highlight w:val="none"/>
          <w:u w:val="none"/>
          <w:lang w:eastAsia="zh-CN"/>
        </w:rPr>
        <w:t>第二条</w:t>
      </w:r>
      <w:r>
        <w:rPr>
          <w:rFonts w:hint="eastAsia" w:ascii="仿宋_GB2312" w:hAnsi="仿宋_GB2312" w:cs="仿宋_GB2312"/>
          <w:b/>
          <w:bCs/>
          <w:color w:val="auto"/>
          <w:sz w:val="32"/>
          <w:szCs w:val="32"/>
          <w:highlight w:val="none"/>
          <w:u w:val="none"/>
          <w:lang w:val="en-US" w:eastAsia="zh-CN"/>
        </w:rPr>
        <w:t xml:space="preserve"> </w:t>
      </w:r>
      <w:r>
        <w:rPr>
          <w:rFonts w:hint="eastAsia" w:ascii="仿宋_GB2312" w:hAnsi="仿宋_GB2312" w:eastAsia="仿宋_GB2312" w:cs="仿宋_GB2312"/>
          <w:b w:val="0"/>
          <w:bCs w:val="0"/>
          <w:color w:val="auto"/>
          <w:sz w:val="32"/>
          <w:szCs w:val="32"/>
          <w:highlight w:val="none"/>
          <w:u w:val="none"/>
          <w:lang w:eastAsia="zh-CN"/>
        </w:rPr>
        <w:t>本办法适用于</w:t>
      </w:r>
      <w:r>
        <w:rPr>
          <w:rFonts w:hint="eastAsia" w:ascii="仿宋_GB2312" w:hAnsi="仿宋_GB2312" w:eastAsia="仿宋_GB2312" w:cs="仿宋_GB2312"/>
          <w:b w:val="0"/>
          <w:bCs w:val="0"/>
          <w:color w:val="auto"/>
          <w:sz w:val="32"/>
          <w:szCs w:val="32"/>
          <w:highlight w:val="none"/>
          <w:u w:val="none"/>
          <w:lang w:val="en-US" w:eastAsia="zh-CN"/>
        </w:rPr>
        <w:t>沈阳市浑南区文化旅游和广播电视局及所属事业单位部门</w:t>
      </w:r>
      <w:r>
        <w:rPr>
          <w:rFonts w:hint="eastAsia" w:ascii="仿宋_GB2312" w:hAnsi="仿宋_GB2312" w:eastAsia="仿宋_GB2312" w:cs="仿宋_GB2312"/>
          <w:b w:val="0"/>
          <w:bCs w:val="0"/>
          <w:color w:val="auto"/>
          <w:sz w:val="32"/>
          <w:szCs w:val="32"/>
          <w:highlight w:val="none"/>
          <w:u w:val="none"/>
          <w:lang w:eastAsia="zh-CN"/>
        </w:rPr>
        <w:t>预决算信息公开管理。</w:t>
      </w:r>
    </w:p>
    <w:p>
      <w:pPr>
        <w:spacing w:line="560" w:lineRule="exact"/>
        <w:ind w:firstLine="660"/>
        <w:rPr>
          <w:rFonts w:hint="eastAsia" w:ascii="仿宋_GB2312" w:hAnsi="仿宋_GB2312" w:cs="仿宋_GB2312"/>
          <w:b w:val="0"/>
          <w:bCs w:val="0"/>
          <w:color w:val="auto"/>
          <w:sz w:val="32"/>
          <w:szCs w:val="32"/>
          <w:highlight w:val="none"/>
          <w:u w:val="none"/>
          <w:lang w:val="en-US" w:eastAsia="zh-CN"/>
        </w:rPr>
      </w:pPr>
      <w:r>
        <w:rPr>
          <w:rFonts w:hint="eastAsia" w:ascii="黑体" w:hAnsi="黑体" w:eastAsia="黑体" w:cs="黑体"/>
          <w:b w:val="0"/>
          <w:bCs w:val="0"/>
          <w:color w:val="auto"/>
          <w:sz w:val="32"/>
          <w:szCs w:val="32"/>
          <w:highlight w:val="none"/>
          <w:u w:val="none"/>
          <w:lang w:eastAsia="zh-CN"/>
        </w:rPr>
        <w:t>第三条</w:t>
      </w:r>
      <w:r>
        <w:rPr>
          <w:rFonts w:hint="eastAsia" w:ascii="仿宋_GB2312" w:hAnsi="仿宋_GB2312" w:cs="仿宋_GB2312"/>
          <w:b/>
          <w:bCs/>
          <w:color w:val="auto"/>
          <w:sz w:val="32"/>
          <w:szCs w:val="32"/>
          <w:highlight w:val="none"/>
          <w:u w:val="none"/>
          <w:lang w:val="en-US" w:eastAsia="zh-CN"/>
        </w:rPr>
        <w:t xml:space="preserve"> </w:t>
      </w:r>
      <w:r>
        <w:rPr>
          <w:rFonts w:hint="eastAsia" w:ascii="仿宋_GB2312" w:hAnsi="仿宋_GB2312" w:eastAsia="仿宋_GB2312" w:cs="仿宋_GB2312"/>
          <w:b w:val="0"/>
          <w:bCs w:val="0"/>
          <w:color w:val="auto"/>
          <w:sz w:val="32"/>
          <w:szCs w:val="32"/>
          <w:highlight w:val="none"/>
          <w:u w:val="none"/>
          <w:lang w:val="en-US" w:eastAsia="zh-CN"/>
        </w:rPr>
        <w:t>本办法所称部门预决算信息包括经本级财政部门批复的部门预算、决算及报表等。</w:t>
      </w:r>
    </w:p>
    <w:p>
      <w:pPr>
        <w:spacing w:line="560" w:lineRule="exact"/>
        <w:ind w:firstLine="660"/>
        <w:rPr>
          <w:rFonts w:hint="eastAsia" w:ascii="仿宋_GB2312" w:hAnsi="仿宋_GB2312" w:eastAsia="仿宋_GB2312" w:cs="仿宋_GB2312"/>
          <w:b w:val="0"/>
          <w:bCs w:val="0"/>
          <w:color w:val="auto"/>
          <w:sz w:val="32"/>
          <w:szCs w:val="32"/>
          <w:highlight w:val="none"/>
          <w:u w:val="none"/>
          <w:lang w:eastAsia="zh-CN"/>
        </w:rPr>
      </w:pPr>
      <w:r>
        <w:rPr>
          <w:rFonts w:hint="eastAsia" w:ascii="黑体" w:hAnsi="黑体" w:eastAsia="黑体" w:cs="黑体"/>
          <w:b w:val="0"/>
          <w:bCs w:val="0"/>
          <w:color w:val="auto"/>
          <w:sz w:val="32"/>
          <w:szCs w:val="32"/>
          <w:highlight w:val="none"/>
          <w:u w:val="none"/>
          <w:lang w:val="en-US" w:eastAsia="zh-CN"/>
        </w:rPr>
        <w:t>第四条</w:t>
      </w:r>
      <w:r>
        <w:rPr>
          <w:rFonts w:hint="eastAsia" w:ascii="仿宋_GB2312" w:hAnsi="仿宋_GB2312" w:cs="仿宋_GB2312"/>
          <w:b w:val="0"/>
          <w:bCs w:val="0"/>
          <w:color w:val="auto"/>
          <w:sz w:val="32"/>
          <w:szCs w:val="32"/>
          <w:highlight w:val="none"/>
          <w:u w:val="none"/>
          <w:lang w:val="en-US" w:eastAsia="zh-CN"/>
        </w:rPr>
        <w:t xml:space="preserve"> </w:t>
      </w:r>
      <w:r>
        <w:rPr>
          <w:rFonts w:hint="eastAsia" w:ascii="仿宋_GB2312" w:hAnsi="仿宋_GB2312" w:eastAsia="仿宋_GB2312" w:cs="仿宋_GB2312"/>
          <w:b w:val="0"/>
          <w:bCs w:val="0"/>
          <w:color w:val="auto"/>
          <w:sz w:val="32"/>
          <w:szCs w:val="32"/>
          <w:highlight w:val="none"/>
          <w:u w:val="none"/>
          <w:lang w:val="en-US" w:eastAsia="zh-CN"/>
        </w:rPr>
        <w:t>预决算信息公开的原则</w:t>
      </w:r>
      <w:r>
        <w:rPr>
          <w:rFonts w:hint="eastAsia" w:ascii="仿宋_GB2312" w:hAnsi="仿宋_GB2312" w:eastAsia="仿宋_GB2312" w:cs="仿宋_GB2312"/>
          <w:b w:val="0"/>
          <w:bCs w:val="0"/>
          <w:color w:val="auto"/>
          <w:sz w:val="32"/>
          <w:szCs w:val="32"/>
          <w:highlight w:val="none"/>
          <w:u w:val="none"/>
          <w:lang w:eastAsia="zh-CN"/>
        </w:rPr>
        <w:t>：以公开为常态，不公开为例外，依法依规公开预决算。除涉及国家秘密外，不得少公开、不公开应当公开的事项，确保预决算信息公开及时、准确和完整。</w:t>
      </w:r>
    </w:p>
    <w:p>
      <w:pPr>
        <w:spacing w:line="560" w:lineRule="exact"/>
        <w:jc w:val="center"/>
        <w:rPr>
          <w:rFonts w:hint="eastAsia" w:ascii="仿宋_GB2312" w:hAnsi="仿宋_GB2312" w:eastAsia="仿宋_GB2312" w:cs="仿宋_GB2312"/>
          <w:b/>
          <w:bCs/>
          <w:color w:val="auto"/>
          <w:sz w:val="32"/>
          <w:szCs w:val="32"/>
          <w:highlight w:val="none"/>
          <w:u w:val="none"/>
          <w:lang w:eastAsia="zh-CN"/>
        </w:rPr>
      </w:pPr>
      <w:r>
        <w:rPr>
          <w:rFonts w:hint="eastAsia" w:ascii="黑体" w:hAnsi="黑体" w:eastAsia="黑体" w:cs="黑体"/>
          <w:b w:val="0"/>
          <w:bCs w:val="0"/>
          <w:color w:val="auto"/>
          <w:sz w:val="32"/>
          <w:szCs w:val="32"/>
          <w:highlight w:val="none"/>
          <w:u w:val="none"/>
          <w:lang w:eastAsia="zh-CN"/>
        </w:rPr>
        <w:t>第二章 公开主体和职责</w:t>
      </w:r>
    </w:p>
    <w:p>
      <w:pPr>
        <w:spacing w:line="560" w:lineRule="exact"/>
        <w:ind w:firstLine="660"/>
        <w:rPr>
          <w:rFonts w:hint="eastAsia" w:ascii="仿宋_GB2312" w:hAnsi="仿宋_GB2312" w:eastAsia="仿宋_GB2312" w:cs="仿宋_GB2312"/>
          <w:b w:val="0"/>
          <w:bCs w:val="0"/>
          <w:color w:val="auto"/>
          <w:sz w:val="32"/>
          <w:szCs w:val="32"/>
          <w:highlight w:val="none"/>
          <w:u w:val="none"/>
          <w:lang w:val="en-US" w:eastAsia="zh-CN"/>
        </w:rPr>
      </w:pPr>
      <w:r>
        <w:rPr>
          <w:rFonts w:hint="eastAsia" w:ascii="黑体" w:hAnsi="黑体" w:eastAsia="黑体" w:cs="黑体"/>
          <w:b w:val="0"/>
          <w:bCs w:val="0"/>
          <w:color w:val="auto"/>
          <w:sz w:val="32"/>
          <w:szCs w:val="32"/>
          <w:highlight w:val="none"/>
          <w:u w:val="none"/>
          <w:lang w:eastAsia="zh-CN"/>
        </w:rPr>
        <w:t>第五条</w:t>
      </w:r>
      <w:r>
        <w:rPr>
          <w:rFonts w:hint="eastAsia" w:ascii="仿宋_GB2312" w:hAnsi="仿宋_GB2312" w:cs="仿宋_GB2312"/>
          <w:b/>
          <w:bCs/>
          <w:color w:val="auto"/>
          <w:sz w:val="32"/>
          <w:szCs w:val="32"/>
          <w:highlight w:val="none"/>
          <w:u w:val="none"/>
          <w:lang w:val="en-US" w:eastAsia="zh-CN"/>
        </w:rPr>
        <w:t xml:space="preserve">  </w:t>
      </w:r>
      <w:r>
        <w:rPr>
          <w:rFonts w:hint="eastAsia" w:ascii="仿宋_GB2312" w:hAnsi="仿宋_GB2312" w:eastAsia="仿宋_GB2312" w:cs="仿宋_GB2312"/>
          <w:b w:val="0"/>
          <w:bCs w:val="0"/>
          <w:color w:val="auto"/>
          <w:sz w:val="32"/>
          <w:szCs w:val="32"/>
          <w:highlight w:val="none"/>
          <w:u w:val="none"/>
          <w:lang w:val="en-US" w:eastAsia="zh-CN"/>
        </w:rPr>
        <w:t>沈阳市浑南区文化旅游和广播电视局综合管理办公室作为我局部门预决算信息公开的主体。履行下列职责：</w:t>
      </w:r>
    </w:p>
    <w:p>
      <w:pPr>
        <w:spacing w:line="560" w:lineRule="exact"/>
        <w:ind w:firstLine="660"/>
        <w:rPr>
          <w:rFonts w:hint="eastAsia" w:ascii="仿宋_GB2312" w:hAnsi="仿宋_GB2312" w:eastAsia="仿宋_GB2312" w:cs="仿宋_GB2312"/>
          <w:b w:val="0"/>
          <w:bCs w:val="0"/>
          <w:color w:val="auto"/>
          <w:sz w:val="32"/>
          <w:szCs w:val="32"/>
          <w:highlight w:val="none"/>
          <w:u w:val="none"/>
          <w:lang w:val="en-US" w:eastAsia="zh-CN"/>
        </w:rPr>
      </w:pPr>
      <w:r>
        <w:rPr>
          <w:rFonts w:hint="eastAsia" w:ascii="仿宋_GB2312" w:hAnsi="仿宋_GB2312" w:eastAsia="仿宋_GB2312" w:cs="仿宋_GB2312"/>
          <w:b w:val="0"/>
          <w:bCs w:val="0"/>
          <w:color w:val="auto"/>
          <w:sz w:val="32"/>
          <w:szCs w:val="32"/>
          <w:highlight w:val="none"/>
          <w:u w:val="none"/>
          <w:lang w:val="en-US" w:eastAsia="zh-CN"/>
        </w:rPr>
        <w:t>（一）负责组织开展我局部门预决算公开工作，按规定向社会公开我局部门预决算信息。</w:t>
      </w:r>
    </w:p>
    <w:p>
      <w:pPr>
        <w:spacing w:line="560" w:lineRule="exact"/>
        <w:ind w:firstLine="660"/>
        <w:rPr>
          <w:rFonts w:hint="eastAsia" w:ascii="仿宋_GB2312" w:hAnsi="仿宋_GB2312" w:eastAsia="仿宋_GB2312" w:cs="仿宋_GB2312"/>
          <w:b w:val="0"/>
          <w:bCs w:val="0"/>
          <w:color w:val="auto"/>
          <w:sz w:val="32"/>
          <w:szCs w:val="32"/>
          <w:highlight w:val="none"/>
          <w:u w:val="none"/>
          <w:lang w:val="en-US" w:eastAsia="zh-CN"/>
        </w:rPr>
      </w:pPr>
      <w:r>
        <w:rPr>
          <w:rFonts w:hint="eastAsia" w:ascii="仿宋_GB2312" w:hAnsi="仿宋_GB2312" w:eastAsia="仿宋_GB2312" w:cs="仿宋_GB2312"/>
          <w:b w:val="0"/>
          <w:bCs w:val="0"/>
          <w:color w:val="auto"/>
          <w:sz w:val="32"/>
          <w:szCs w:val="32"/>
          <w:highlight w:val="none"/>
          <w:u w:val="none"/>
          <w:lang w:val="en-US" w:eastAsia="zh-CN"/>
        </w:rPr>
        <w:t>（二）按规定做好公民、法人或者其他组织依申请公开部门预决算信息的答复工作。</w:t>
      </w:r>
    </w:p>
    <w:p>
      <w:pPr>
        <w:spacing w:line="560" w:lineRule="exact"/>
        <w:jc w:val="center"/>
        <w:rPr>
          <w:rFonts w:hint="eastAsia" w:ascii="黑体" w:hAnsi="黑体" w:eastAsia="黑体" w:cs="黑体"/>
          <w:b w:val="0"/>
          <w:bCs w:val="0"/>
          <w:color w:val="auto"/>
          <w:sz w:val="32"/>
          <w:szCs w:val="32"/>
          <w:highlight w:val="none"/>
          <w:u w:val="none"/>
          <w:lang w:eastAsia="zh-CN"/>
        </w:rPr>
      </w:pPr>
      <w:r>
        <w:rPr>
          <w:rFonts w:hint="eastAsia" w:ascii="黑体" w:hAnsi="黑体" w:eastAsia="黑体" w:cs="黑体"/>
          <w:b w:val="0"/>
          <w:bCs w:val="0"/>
          <w:color w:val="auto"/>
          <w:sz w:val="32"/>
          <w:szCs w:val="32"/>
          <w:highlight w:val="none"/>
          <w:u w:val="none"/>
          <w:lang w:eastAsia="zh-CN"/>
        </w:rPr>
        <w:t>第三章 公开内容</w:t>
      </w:r>
    </w:p>
    <w:p>
      <w:pPr>
        <w:spacing w:line="560" w:lineRule="exact"/>
        <w:ind w:firstLine="660"/>
        <w:rPr>
          <w:rFonts w:hint="eastAsia" w:ascii="仿宋_GB2312" w:hAnsi="仿宋_GB2312" w:eastAsia="仿宋_GB2312" w:cs="仿宋_GB2312"/>
          <w:b w:val="0"/>
          <w:bCs w:val="0"/>
          <w:color w:val="auto"/>
          <w:sz w:val="32"/>
          <w:szCs w:val="32"/>
          <w:highlight w:val="none"/>
          <w:u w:val="none"/>
          <w:lang w:eastAsia="zh-CN"/>
        </w:rPr>
      </w:pPr>
      <w:r>
        <w:rPr>
          <w:rFonts w:hint="eastAsia" w:ascii="黑体" w:hAnsi="黑体" w:eastAsia="黑体" w:cs="黑体"/>
          <w:b w:val="0"/>
          <w:bCs w:val="0"/>
          <w:color w:val="auto"/>
          <w:sz w:val="32"/>
          <w:szCs w:val="32"/>
          <w:highlight w:val="none"/>
          <w:u w:val="none"/>
          <w:lang w:eastAsia="zh-CN"/>
        </w:rPr>
        <w:t>第六条</w:t>
      </w:r>
      <w:r>
        <w:rPr>
          <w:rFonts w:hint="eastAsia" w:ascii="仿宋_GB2312" w:hAnsi="仿宋_GB2312" w:cs="仿宋_GB2312"/>
          <w:b/>
          <w:bCs/>
          <w:color w:val="auto"/>
          <w:sz w:val="32"/>
          <w:szCs w:val="32"/>
          <w:highlight w:val="none"/>
          <w:u w:val="none"/>
          <w:lang w:val="en-US" w:eastAsia="zh-CN"/>
        </w:rPr>
        <w:t xml:space="preserve"> </w:t>
      </w:r>
      <w:r>
        <w:rPr>
          <w:rFonts w:hint="eastAsia" w:ascii="仿宋_GB2312" w:hAnsi="仿宋_GB2312" w:eastAsia="仿宋_GB2312" w:cs="仿宋_GB2312"/>
          <w:b w:val="0"/>
          <w:bCs w:val="0"/>
          <w:color w:val="auto"/>
          <w:sz w:val="32"/>
          <w:szCs w:val="32"/>
          <w:highlight w:val="none"/>
          <w:u w:val="none"/>
          <w:lang w:eastAsia="zh-CN"/>
        </w:rPr>
        <w:t>部门预决算信息公开内容包括：</w:t>
      </w:r>
    </w:p>
    <w:p>
      <w:pPr>
        <w:spacing w:line="560" w:lineRule="exact"/>
        <w:ind w:firstLine="660"/>
        <w:rPr>
          <w:rFonts w:hint="eastAsia" w:ascii="仿宋_GB2312" w:hAnsi="仿宋_GB2312" w:eastAsia="仿宋_GB2312" w:cs="仿宋_GB2312"/>
          <w:b w:val="0"/>
          <w:bCs w:val="0"/>
          <w:color w:val="auto"/>
          <w:sz w:val="32"/>
          <w:szCs w:val="32"/>
          <w:highlight w:val="none"/>
          <w:u w:val="none"/>
          <w:lang w:eastAsia="zh-CN"/>
        </w:rPr>
      </w:pPr>
      <w:r>
        <w:rPr>
          <w:rFonts w:hint="eastAsia" w:ascii="仿宋_GB2312" w:hAnsi="仿宋_GB2312" w:eastAsia="仿宋_GB2312" w:cs="仿宋_GB2312"/>
          <w:b w:val="0"/>
          <w:bCs w:val="0"/>
          <w:color w:val="auto"/>
          <w:sz w:val="32"/>
          <w:szCs w:val="32"/>
          <w:highlight w:val="none"/>
          <w:u w:val="none"/>
          <w:lang w:eastAsia="zh-CN"/>
        </w:rPr>
        <w:t>（一）部门文件。部门预决算信息公开管理办法。</w:t>
      </w:r>
    </w:p>
    <w:p>
      <w:pPr>
        <w:spacing w:line="560" w:lineRule="exact"/>
        <w:ind w:firstLine="660"/>
        <w:rPr>
          <w:rFonts w:hint="eastAsia" w:ascii="仿宋_GB2312" w:hAnsi="仿宋_GB2312" w:eastAsia="仿宋_GB2312" w:cs="仿宋_GB2312"/>
          <w:b w:val="0"/>
          <w:bCs w:val="0"/>
          <w:color w:val="auto"/>
          <w:sz w:val="32"/>
          <w:szCs w:val="32"/>
          <w:highlight w:val="none"/>
          <w:u w:val="none"/>
          <w:lang w:eastAsia="zh-CN"/>
        </w:rPr>
      </w:pPr>
      <w:r>
        <w:rPr>
          <w:rFonts w:hint="eastAsia" w:ascii="仿宋_GB2312" w:hAnsi="仿宋_GB2312" w:eastAsia="仿宋_GB2312" w:cs="仿宋_GB2312"/>
          <w:b w:val="0"/>
          <w:bCs w:val="0"/>
          <w:color w:val="auto"/>
          <w:sz w:val="32"/>
          <w:szCs w:val="32"/>
          <w:highlight w:val="none"/>
          <w:u w:val="none"/>
          <w:lang w:eastAsia="zh-CN"/>
        </w:rPr>
        <w:t>（二）部门概况。包括部门职责、机构设置情况。</w:t>
      </w:r>
    </w:p>
    <w:p>
      <w:pPr>
        <w:spacing w:line="560" w:lineRule="exact"/>
        <w:ind w:firstLine="660"/>
        <w:rPr>
          <w:rFonts w:hint="eastAsia" w:ascii="仿宋_GB2312" w:hAnsi="仿宋_GB2312" w:eastAsia="仿宋_GB2312" w:cs="仿宋_GB2312"/>
          <w:b w:val="0"/>
          <w:bCs w:val="0"/>
          <w:color w:val="auto"/>
          <w:sz w:val="32"/>
          <w:szCs w:val="32"/>
          <w:highlight w:val="none"/>
          <w:u w:val="none"/>
          <w:lang w:eastAsia="zh-CN"/>
        </w:rPr>
      </w:pPr>
      <w:r>
        <w:rPr>
          <w:rFonts w:hint="eastAsia" w:ascii="仿宋_GB2312" w:hAnsi="仿宋_GB2312" w:eastAsia="仿宋_GB2312" w:cs="仿宋_GB2312"/>
          <w:b w:val="0"/>
          <w:bCs w:val="0"/>
          <w:color w:val="auto"/>
          <w:sz w:val="32"/>
          <w:szCs w:val="32"/>
          <w:highlight w:val="none"/>
          <w:u w:val="none"/>
          <w:lang w:eastAsia="zh-CN"/>
        </w:rPr>
        <w:t>（三）预决算收支情况表。包括部门收支总体情况、财政拨款安排使用情况、“三公”经费财政拨款安排使用情况等。</w:t>
      </w:r>
    </w:p>
    <w:p>
      <w:pPr>
        <w:spacing w:line="560" w:lineRule="exact"/>
        <w:ind w:firstLine="660"/>
        <w:rPr>
          <w:rFonts w:hint="eastAsia" w:ascii="仿宋_GB2312" w:hAnsi="仿宋_GB2312" w:eastAsia="仿宋_GB2312" w:cs="仿宋_GB2312"/>
          <w:b w:val="0"/>
          <w:bCs w:val="0"/>
          <w:color w:val="auto"/>
          <w:sz w:val="32"/>
          <w:szCs w:val="32"/>
          <w:highlight w:val="none"/>
          <w:u w:val="none"/>
          <w:lang w:eastAsia="zh-CN"/>
        </w:rPr>
      </w:pPr>
      <w:r>
        <w:rPr>
          <w:rFonts w:hint="eastAsia" w:ascii="仿宋_GB2312" w:hAnsi="仿宋_GB2312" w:eastAsia="仿宋_GB2312" w:cs="仿宋_GB2312"/>
          <w:b w:val="0"/>
          <w:bCs w:val="0"/>
          <w:color w:val="auto"/>
          <w:sz w:val="32"/>
          <w:szCs w:val="32"/>
          <w:highlight w:val="none"/>
          <w:u w:val="none"/>
          <w:lang w:eastAsia="zh-CN"/>
        </w:rPr>
        <w:t>（四）情况说明。包括预决算年度收支、机关运行经费、政府采购、“三公”经费、国有资产占有使用和项目支出绩效目标等情况说明。</w:t>
      </w:r>
    </w:p>
    <w:p>
      <w:pPr>
        <w:spacing w:line="560" w:lineRule="exact"/>
        <w:ind w:firstLine="660"/>
        <w:rPr>
          <w:rFonts w:hint="eastAsia" w:ascii="仿宋_GB2312" w:hAnsi="仿宋_GB2312" w:eastAsia="仿宋_GB2312" w:cs="仿宋_GB2312"/>
          <w:b w:val="0"/>
          <w:bCs w:val="0"/>
          <w:color w:val="auto"/>
          <w:sz w:val="32"/>
          <w:szCs w:val="32"/>
          <w:highlight w:val="none"/>
          <w:u w:val="none"/>
          <w:lang w:eastAsia="zh-CN"/>
        </w:rPr>
      </w:pPr>
      <w:r>
        <w:rPr>
          <w:rFonts w:hint="eastAsia" w:ascii="仿宋_GB2312" w:hAnsi="仿宋_GB2312" w:eastAsia="仿宋_GB2312" w:cs="仿宋_GB2312"/>
          <w:b w:val="0"/>
          <w:bCs w:val="0"/>
          <w:color w:val="auto"/>
          <w:sz w:val="32"/>
          <w:szCs w:val="32"/>
          <w:highlight w:val="none"/>
          <w:u w:val="none"/>
          <w:lang w:eastAsia="zh-CN"/>
        </w:rPr>
        <w:t>（五）名词解释。对预决算相关专业名词进行解释说明。</w:t>
      </w:r>
    </w:p>
    <w:p>
      <w:pPr>
        <w:spacing w:line="560" w:lineRule="exact"/>
        <w:ind w:firstLine="660"/>
        <w:jc w:val="center"/>
        <w:rPr>
          <w:rFonts w:hint="eastAsia" w:ascii="仿宋_GB2312" w:hAnsi="仿宋_GB2312" w:eastAsia="仿宋_GB2312" w:cs="仿宋_GB2312"/>
          <w:b w:val="0"/>
          <w:bCs w:val="0"/>
          <w:color w:val="auto"/>
          <w:sz w:val="32"/>
          <w:szCs w:val="32"/>
          <w:highlight w:val="none"/>
          <w:u w:val="none"/>
          <w:lang w:eastAsia="zh-CN"/>
        </w:rPr>
      </w:pPr>
      <w:r>
        <w:rPr>
          <w:rFonts w:hint="eastAsia" w:ascii="黑体" w:hAnsi="黑体" w:eastAsia="黑体" w:cs="黑体"/>
          <w:b w:val="0"/>
          <w:bCs w:val="0"/>
          <w:color w:val="auto"/>
          <w:sz w:val="32"/>
          <w:szCs w:val="32"/>
          <w:highlight w:val="none"/>
          <w:u w:val="none"/>
          <w:lang w:eastAsia="zh-CN"/>
        </w:rPr>
        <w:t>第四章 公开方式和时间</w:t>
      </w:r>
    </w:p>
    <w:p>
      <w:pPr>
        <w:spacing w:line="560" w:lineRule="exact"/>
        <w:ind w:firstLine="660"/>
        <w:rPr>
          <w:rFonts w:hint="eastAsia" w:ascii="仿宋_GB2312" w:hAnsi="仿宋_GB2312" w:eastAsia="仿宋_GB2312" w:cs="仿宋_GB2312"/>
          <w:b w:val="0"/>
          <w:bCs w:val="0"/>
          <w:color w:val="auto"/>
          <w:sz w:val="32"/>
          <w:szCs w:val="32"/>
          <w:highlight w:val="none"/>
          <w:u w:val="none"/>
          <w:lang w:eastAsia="zh-CN"/>
        </w:rPr>
      </w:pPr>
      <w:r>
        <w:rPr>
          <w:rFonts w:hint="eastAsia" w:ascii="黑体" w:hAnsi="黑体" w:eastAsia="黑体" w:cs="黑体"/>
          <w:b w:val="0"/>
          <w:bCs w:val="0"/>
          <w:color w:val="auto"/>
          <w:sz w:val="32"/>
          <w:szCs w:val="32"/>
          <w:highlight w:val="none"/>
          <w:u w:val="none"/>
          <w:lang w:eastAsia="zh-CN"/>
        </w:rPr>
        <w:t>第七条</w:t>
      </w:r>
      <w:r>
        <w:rPr>
          <w:rFonts w:hint="eastAsia" w:ascii="仿宋_GB2312" w:hAnsi="仿宋_GB2312" w:cs="仿宋_GB2312"/>
          <w:b/>
          <w:bCs/>
          <w:color w:val="auto"/>
          <w:sz w:val="32"/>
          <w:szCs w:val="32"/>
          <w:highlight w:val="none"/>
          <w:u w:val="none"/>
          <w:lang w:val="en-US" w:eastAsia="zh-CN"/>
        </w:rPr>
        <w:t xml:space="preserve"> </w:t>
      </w:r>
      <w:r>
        <w:rPr>
          <w:rFonts w:hint="eastAsia" w:ascii="仿宋_GB2312" w:hAnsi="仿宋_GB2312" w:eastAsia="仿宋_GB2312" w:cs="仿宋_GB2312"/>
          <w:b w:val="0"/>
          <w:bCs w:val="0"/>
          <w:color w:val="auto"/>
          <w:sz w:val="32"/>
          <w:szCs w:val="32"/>
          <w:highlight w:val="none"/>
          <w:u w:val="none"/>
          <w:lang w:eastAsia="zh-CN"/>
        </w:rPr>
        <w:t>部门预决算信息在</w:t>
      </w:r>
      <w:r>
        <w:rPr>
          <w:rFonts w:hint="eastAsia" w:ascii="仿宋_GB2312" w:hAnsi="仿宋_GB2312" w:cs="仿宋_GB2312"/>
          <w:b w:val="0"/>
          <w:bCs w:val="0"/>
          <w:color w:val="auto"/>
          <w:sz w:val="32"/>
          <w:szCs w:val="32"/>
          <w:highlight w:val="none"/>
          <w:u w:val="none"/>
          <w:lang w:val="en-US" w:eastAsia="zh-CN"/>
        </w:rPr>
        <w:t>浑南区</w:t>
      </w:r>
      <w:r>
        <w:rPr>
          <w:rFonts w:hint="eastAsia" w:ascii="仿宋_GB2312" w:hAnsi="仿宋_GB2312" w:eastAsia="仿宋_GB2312" w:cs="仿宋_GB2312"/>
          <w:b w:val="0"/>
          <w:bCs w:val="0"/>
          <w:color w:val="auto"/>
          <w:sz w:val="32"/>
          <w:szCs w:val="32"/>
          <w:highlight w:val="none"/>
          <w:u w:val="none"/>
          <w:lang w:eastAsia="zh-CN"/>
        </w:rPr>
        <w:t>政府门户网站“财政预决算”专栏公开，并保持长期公开状态，便于社会公众查询监督。</w:t>
      </w:r>
    </w:p>
    <w:p>
      <w:pPr>
        <w:spacing w:line="560" w:lineRule="exact"/>
        <w:ind w:firstLine="660"/>
        <w:rPr>
          <w:rFonts w:hint="eastAsia" w:ascii="仿宋_GB2312" w:hAnsi="仿宋_GB2312" w:eastAsia="仿宋_GB2312" w:cs="仿宋_GB2312"/>
          <w:b w:val="0"/>
          <w:bCs w:val="0"/>
          <w:color w:val="auto"/>
          <w:sz w:val="32"/>
          <w:szCs w:val="32"/>
          <w:highlight w:val="none"/>
          <w:u w:val="none"/>
          <w:lang w:eastAsia="zh-CN"/>
        </w:rPr>
      </w:pPr>
      <w:r>
        <w:rPr>
          <w:rFonts w:hint="eastAsia" w:ascii="黑体" w:hAnsi="黑体" w:eastAsia="黑体" w:cs="黑体"/>
          <w:b w:val="0"/>
          <w:bCs w:val="0"/>
          <w:color w:val="auto"/>
          <w:sz w:val="32"/>
          <w:szCs w:val="32"/>
          <w:highlight w:val="none"/>
          <w:u w:val="none"/>
          <w:lang w:eastAsia="zh-CN"/>
        </w:rPr>
        <w:t>第八条</w:t>
      </w:r>
      <w:r>
        <w:rPr>
          <w:rFonts w:hint="eastAsia" w:ascii="仿宋_GB2312" w:hAnsi="仿宋_GB2312" w:cs="仿宋_GB2312"/>
          <w:b/>
          <w:bCs/>
          <w:color w:val="auto"/>
          <w:sz w:val="32"/>
          <w:szCs w:val="32"/>
          <w:highlight w:val="none"/>
          <w:u w:val="none"/>
          <w:lang w:val="en-US" w:eastAsia="zh-CN"/>
        </w:rPr>
        <w:t xml:space="preserve"> </w:t>
      </w:r>
      <w:r>
        <w:rPr>
          <w:rFonts w:hint="eastAsia" w:ascii="仿宋_GB2312" w:hAnsi="仿宋_GB2312" w:eastAsia="仿宋_GB2312" w:cs="仿宋_GB2312"/>
          <w:b w:val="0"/>
          <w:bCs w:val="0"/>
          <w:color w:val="auto"/>
          <w:sz w:val="32"/>
          <w:szCs w:val="32"/>
          <w:highlight w:val="none"/>
          <w:u w:val="none"/>
          <w:lang w:eastAsia="zh-CN"/>
        </w:rPr>
        <w:t>经</w:t>
      </w:r>
      <w:r>
        <w:rPr>
          <w:rFonts w:hint="eastAsia" w:ascii="仿宋_GB2312" w:hAnsi="仿宋_GB2312" w:eastAsia="仿宋_GB2312" w:cs="仿宋_GB2312"/>
          <w:b w:val="0"/>
          <w:bCs w:val="0"/>
          <w:color w:val="auto"/>
          <w:sz w:val="32"/>
          <w:szCs w:val="32"/>
          <w:highlight w:val="none"/>
          <w:u w:val="none"/>
          <w:lang w:val="en-US" w:eastAsia="zh-CN"/>
        </w:rPr>
        <w:t>区财政局</w:t>
      </w:r>
      <w:r>
        <w:rPr>
          <w:rFonts w:hint="eastAsia" w:ascii="仿宋_GB2312" w:hAnsi="仿宋_GB2312" w:eastAsia="仿宋_GB2312" w:cs="仿宋_GB2312"/>
          <w:b w:val="0"/>
          <w:bCs w:val="0"/>
          <w:color w:val="auto"/>
          <w:sz w:val="32"/>
          <w:szCs w:val="32"/>
          <w:highlight w:val="none"/>
          <w:u w:val="none"/>
          <w:lang w:eastAsia="zh-CN"/>
        </w:rPr>
        <w:t>批复的部门预决算及报表，应当在批复后20日内公开。</w:t>
      </w:r>
    </w:p>
    <w:p>
      <w:pPr>
        <w:spacing w:line="560" w:lineRule="exact"/>
        <w:ind w:firstLine="660"/>
        <w:jc w:val="center"/>
        <w:rPr>
          <w:rFonts w:hint="eastAsia" w:ascii="黑体" w:hAnsi="黑体" w:eastAsia="黑体" w:cs="黑体"/>
          <w:b w:val="0"/>
          <w:bCs w:val="0"/>
          <w:color w:val="auto"/>
          <w:sz w:val="32"/>
          <w:szCs w:val="32"/>
          <w:highlight w:val="none"/>
          <w:u w:val="none"/>
          <w:lang w:eastAsia="zh-CN"/>
        </w:rPr>
      </w:pPr>
      <w:r>
        <w:rPr>
          <w:rFonts w:hint="eastAsia" w:ascii="黑体" w:hAnsi="黑体" w:eastAsia="黑体" w:cs="黑体"/>
          <w:b w:val="0"/>
          <w:bCs w:val="0"/>
          <w:color w:val="auto"/>
          <w:sz w:val="32"/>
          <w:szCs w:val="32"/>
          <w:highlight w:val="none"/>
          <w:u w:val="none"/>
          <w:lang w:eastAsia="zh-CN"/>
        </w:rPr>
        <w:t>第五章 保密审查和公开程序</w:t>
      </w:r>
    </w:p>
    <w:p>
      <w:pPr>
        <w:spacing w:line="560" w:lineRule="exact"/>
        <w:ind w:firstLine="660"/>
        <w:rPr>
          <w:rFonts w:hint="eastAsia" w:ascii="仿宋_GB2312" w:hAnsi="仿宋_GB2312" w:eastAsia="仿宋_GB2312" w:cs="仿宋_GB2312"/>
          <w:b w:val="0"/>
          <w:bCs w:val="0"/>
          <w:color w:val="auto"/>
          <w:sz w:val="32"/>
          <w:szCs w:val="32"/>
          <w:highlight w:val="none"/>
          <w:u w:val="none"/>
          <w:lang w:val="en-US" w:eastAsia="zh-CN"/>
        </w:rPr>
      </w:pPr>
      <w:r>
        <w:rPr>
          <w:rFonts w:hint="eastAsia" w:ascii="黑体" w:hAnsi="黑体" w:eastAsia="黑体" w:cs="黑体"/>
          <w:b w:val="0"/>
          <w:bCs w:val="0"/>
          <w:color w:val="auto"/>
          <w:sz w:val="32"/>
          <w:szCs w:val="32"/>
          <w:highlight w:val="none"/>
          <w:u w:val="none"/>
          <w:lang w:val="en-US" w:eastAsia="zh-CN"/>
        </w:rPr>
        <w:t>第九条</w:t>
      </w:r>
      <w:r>
        <w:rPr>
          <w:rFonts w:hint="eastAsia" w:ascii="仿宋_GB2312" w:hAnsi="仿宋_GB2312" w:cs="仿宋_GB2312"/>
          <w:b w:val="0"/>
          <w:bCs w:val="0"/>
          <w:color w:val="auto"/>
          <w:sz w:val="32"/>
          <w:szCs w:val="32"/>
          <w:highlight w:val="none"/>
          <w:u w:val="none"/>
          <w:lang w:val="en-US" w:eastAsia="zh-CN"/>
        </w:rPr>
        <w:t> </w:t>
      </w:r>
      <w:r>
        <w:rPr>
          <w:rFonts w:hint="eastAsia" w:ascii="仿宋_GB2312" w:hAnsi="仿宋_GB2312" w:eastAsia="仿宋_GB2312" w:cs="仿宋_GB2312"/>
          <w:b w:val="0"/>
          <w:bCs w:val="0"/>
          <w:color w:val="auto"/>
          <w:sz w:val="32"/>
          <w:szCs w:val="32"/>
          <w:highlight w:val="none"/>
          <w:u w:val="none"/>
          <w:lang w:val="en-US" w:eastAsia="zh-CN"/>
        </w:rPr>
        <w:t>进一步健全预决算公开保密审查机制，严格依照《中华人民共和国保守国家秘密法》等法律法规进行审查，对涉及国家秘密的内容不予公开；部分内容涉及国家秘密的，应在确保安全的前提下，依照《地方预决算公开操作规程》第二十四条办理。</w:t>
      </w:r>
    </w:p>
    <w:p>
      <w:pPr>
        <w:numPr>
          <w:ilvl w:val="0"/>
          <w:numId w:val="0"/>
        </w:numPr>
        <w:spacing w:line="560" w:lineRule="exact"/>
        <w:ind w:firstLine="640" w:firstLineChars="200"/>
        <w:rPr>
          <w:rFonts w:hint="eastAsia" w:ascii="仿宋_GB2312" w:hAnsi="仿宋_GB2312" w:eastAsia="仿宋_GB2312" w:cs="仿宋_GB2312"/>
          <w:b w:val="0"/>
          <w:bCs w:val="0"/>
          <w:color w:val="auto"/>
          <w:sz w:val="32"/>
          <w:szCs w:val="32"/>
          <w:highlight w:val="none"/>
          <w:u w:val="none"/>
          <w:lang w:val="en-US" w:eastAsia="zh-CN"/>
        </w:rPr>
      </w:pPr>
      <w:r>
        <w:rPr>
          <w:rFonts w:hint="eastAsia" w:ascii="黑体" w:hAnsi="黑体" w:eastAsia="黑体" w:cs="黑体"/>
          <w:b w:val="0"/>
          <w:bCs w:val="0"/>
          <w:color w:val="auto"/>
          <w:sz w:val="32"/>
          <w:szCs w:val="32"/>
          <w:highlight w:val="none"/>
          <w:u w:val="none"/>
          <w:lang w:val="en-US" w:eastAsia="zh-CN"/>
        </w:rPr>
        <w:t>第十条</w:t>
      </w:r>
      <w:r>
        <w:rPr>
          <w:rFonts w:hint="eastAsia" w:ascii="仿宋_GB2312" w:hAnsi="仿宋_GB2312" w:cs="仿宋_GB2312"/>
          <w:b/>
          <w:bCs/>
          <w:color w:val="auto"/>
          <w:sz w:val="32"/>
          <w:szCs w:val="32"/>
          <w:highlight w:val="none"/>
          <w:u w:val="none"/>
          <w:lang w:val="en-US" w:eastAsia="zh-CN"/>
        </w:rPr>
        <w:t xml:space="preserve"> </w:t>
      </w:r>
      <w:r>
        <w:rPr>
          <w:rFonts w:hint="eastAsia" w:ascii="仿宋_GB2312" w:hAnsi="仿宋_GB2312" w:eastAsia="仿宋_GB2312" w:cs="仿宋_GB2312"/>
          <w:b w:val="0"/>
          <w:bCs w:val="0"/>
          <w:color w:val="auto"/>
          <w:sz w:val="32"/>
          <w:szCs w:val="32"/>
          <w:highlight w:val="none"/>
          <w:u w:val="none"/>
          <w:lang w:val="en-US" w:eastAsia="zh-CN"/>
        </w:rPr>
        <w:t>履行保密审查程序，填写《政府信息报送保密审查表》，由分管领导在“</w:t>
      </w:r>
      <w:bookmarkStart w:id="0" w:name="_GoBack"/>
      <w:r>
        <w:rPr>
          <w:rFonts w:hint="eastAsia" w:ascii="仿宋_GB2312" w:hAnsi="仿宋_GB2312" w:eastAsia="仿宋_GB2312" w:cs="仿宋_GB2312"/>
          <w:b w:val="0"/>
          <w:bCs w:val="0"/>
          <w:color w:val="auto"/>
          <w:sz w:val="32"/>
          <w:szCs w:val="32"/>
          <w:highlight w:val="none"/>
          <w:u w:val="none"/>
          <w:lang w:val="en-US" w:eastAsia="zh-CN"/>
        </w:rPr>
        <w:t>保密审查意见”栏中</w:t>
      </w:r>
      <w:bookmarkEnd w:id="0"/>
      <w:r>
        <w:rPr>
          <w:rFonts w:hint="eastAsia" w:ascii="仿宋_GB2312" w:hAnsi="仿宋_GB2312" w:eastAsia="仿宋_GB2312" w:cs="仿宋_GB2312"/>
          <w:b w:val="0"/>
          <w:bCs w:val="0"/>
          <w:color w:val="auto"/>
          <w:sz w:val="32"/>
          <w:szCs w:val="32"/>
          <w:highlight w:val="none"/>
          <w:u w:val="none"/>
          <w:lang w:val="en-US" w:eastAsia="zh-CN"/>
        </w:rPr>
        <w:t>填写“同意发布”并签字，报送员在“报送员”栏中签字填写联系电话，并加盖公章。</w:t>
      </w:r>
    </w:p>
    <w:p>
      <w:pPr>
        <w:spacing w:line="560" w:lineRule="exact"/>
        <w:jc w:val="center"/>
        <w:rPr>
          <w:rFonts w:hint="default" w:ascii="仿宋_GB2312" w:hAnsi="仿宋_GB2312" w:cs="仿宋_GB2312"/>
          <w:b w:val="0"/>
          <w:bCs w:val="0"/>
          <w:color w:val="auto"/>
          <w:sz w:val="32"/>
          <w:szCs w:val="32"/>
          <w:highlight w:val="none"/>
          <w:u w:val="none"/>
          <w:lang w:val="en-US" w:eastAsia="zh-CN"/>
        </w:rPr>
      </w:pPr>
      <w:r>
        <w:rPr>
          <w:rFonts w:hint="eastAsia" w:ascii="黑体" w:hAnsi="黑体" w:eastAsia="黑体" w:cs="黑体"/>
          <w:b w:val="0"/>
          <w:bCs w:val="0"/>
          <w:color w:val="auto"/>
          <w:sz w:val="32"/>
          <w:szCs w:val="32"/>
          <w:highlight w:val="none"/>
          <w:u w:val="none"/>
          <w:lang w:eastAsia="zh-CN"/>
        </w:rPr>
        <w:t>第六章 附  则</w:t>
      </w:r>
    </w:p>
    <w:p>
      <w:pPr>
        <w:spacing w:line="560" w:lineRule="exact"/>
        <w:ind w:firstLine="660"/>
        <w:rPr>
          <w:rFonts w:hint="eastAsia" w:ascii="仿宋_GB2312" w:hAnsi="仿宋_GB2312" w:eastAsia="仿宋_GB2312" w:cs="仿宋_GB2312"/>
          <w:sz w:val="32"/>
          <w:szCs w:val="32"/>
          <w:lang w:val="en-US" w:eastAsia="zh-CN"/>
        </w:rPr>
      </w:pPr>
      <w:r>
        <w:rPr>
          <w:rFonts w:hint="eastAsia" w:ascii="黑体" w:hAnsi="黑体" w:eastAsia="黑体" w:cs="黑体"/>
          <w:b w:val="0"/>
          <w:bCs w:val="0"/>
          <w:color w:val="auto"/>
          <w:sz w:val="32"/>
          <w:szCs w:val="32"/>
          <w:highlight w:val="none"/>
          <w:u w:val="none"/>
          <w:lang w:val="en-US" w:eastAsia="zh-CN"/>
        </w:rPr>
        <w:t>第十一条</w:t>
      </w:r>
      <w:r>
        <w:rPr>
          <w:rFonts w:hint="eastAsia" w:ascii="仿宋_GB2312" w:hAnsi="仿宋_GB2312" w:cs="仿宋_GB2312"/>
          <w:b/>
          <w:bCs/>
          <w:color w:val="auto"/>
          <w:sz w:val="32"/>
          <w:szCs w:val="32"/>
          <w:highlight w:val="none"/>
          <w:u w:val="none"/>
          <w:lang w:val="en-US" w:eastAsia="zh-CN"/>
        </w:rPr>
        <w:t xml:space="preserve"> </w:t>
      </w:r>
      <w:r>
        <w:rPr>
          <w:rFonts w:hint="eastAsia" w:ascii="仿宋_GB2312" w:hAnsi="仿宋_GB2312" w:eastAsia="仿宋_GB2312" w:cs="仿宋_GB2312"/>
          <w:b w:val="0"/>
          <w:bCs w:val="0"/>
          <w:color w:val="auto"/>
          <w:sz w:val="32"/>
          <w:szCs w:val="32"/>
          <w:highlight w:val="none"/>
          <w:u w:val="none"/>
          <w:lang w:eastAsia="zh-CN"/>
        </w:rPr>
        <w:t>本办法自印发之日起实行。</w:t>
      </w:r>
    </w:p>
    <w:p>
      <w:pPr>
        <w:jc w:val="center"/>
        <w:rPr>
          <w:rFonts w:hint="eastAsia" w:ascii="宋体" w:hAnsi="宋体"/>
          <w:b/>
          <w:sz w:val="36"/>
          <w:szCs w:val="36"/>
        </w:rPr>
      </w:pPr>
    </w:p>
    <w:p>
      <w:pPr>
        <w:keepNext w:val="0"/>
        <w:keepLines w:val="0"/>
        <w:pageBreakBefore/>
        <w:widowControl w:val="0"/>
        <w:kinsoku/>
        <w:wordWrap/>
        <w:overflowPunct/>
        <w:topLinePunct w:val="0"/>
        <w:autoSpaceDE/>
        <w:autoSpaceDN/>
        <w:bidi w:val="0"/>
        <w:adjustRightInd/>
        <w:snapToGrid/>
        <w:jc w:val="center"/>
        <w:textAlignment w:val="auto"/>
        <w:rPr>
          <w:rFonts w:hint="eastAsia" w:ascii="宋体" w:hAnsi="宋体"/>
          <w:b/>
          <w:sz w:val="36"/>
          <w:szCs w:val="36"/>
        </w:rPr>
      </w:pPr>
      <w:r>
        <w:rPr>
          <w:rFonts w:hint="eastAsia" w:ascii="宋体" w:hAnsi="宋体"/>
          <w:b/>
          <w:sz w:val="36"/>
          <w:szCs w:val="36"/>
        </w:rPr>
        <w:t>第</w:t>
      </w:r>
      <w:r>
        <w:rPr>
          <w:rFonts w:hint="eastAsia" w:ascii="宋体" w:hAnsi="宋体"/>
          <w:b/>
          <w:sz w:val="36"/>
          <w:szCs w:val="36"/>
          <w:lang w:val="en-US" w:eastAsia="zh-CN"/>
        </w:rPr>
        <w:t>二</w:t>
      </w:r>
      <w:r>
        <w:rPr>
          <w:rFonts w:hint="eastAsia" w:ascii="宋体" w:hAnsi="宋体"/>
          <w:b/>
          <w:sz w:val="36"/>
          <w:szCs w:val="36"/>
        </w:rPr>
        <w:t xml:space="preserve">部分 </w:t>
      </w:r>
      <w:r>
        <w:rPr>
          <w:rFonts w:hint="eastAsia" w:ascii="宋体" w:hAnsi="宋体"/>
          <w:b/>
          <w:sz w:val="36"/>
          <w:szCs w:val="36"/>
          <w:lang w:eastAsia="zh-CN"/>
        </w:rPr>
        <w:t>沈阳市浑南区文化旅游和广播电视局</w:t>
      </w:r>
      <w:r>
        <w:rPr>
          <w:rFonts w:hint="eastAsia" w:ascii="宋体" w:hAnsi="宋体"/>
          <w:b/>
          <w:sz w:val="36"/>
          <w:szCs w:val="36"/>
        </w:rPr>
        <w:t>概况</w:t>
      </w:r>
    </w:p>
    <w:p>
      <w:pPr>
        <w:ind w:firstLine="640" w:firstLineChars="200"/>
        <w:jc w:val="left"/>
        <w:rPr>
          <w:rFonts w:hint="eastAsia" w:ascii="黑体" w:eastAsia="黑体"/>
          <w:sz w:val="32"/>
          <w:szCs w:val="32"/>
        </w:rPr>
      </w:pPr>
    </w:p>
    <w:p>
      <w:pPr>
        <w:ind w:firstLine="640" w:firstLineChars="200"/>
        <w:jc w:val="left"/>
        <w:rPr>
          <w:rFonts w:hint="eastAsia" w:ascii="黑体" w:eastAsia="黑体"/>
          <w:sz w:val="32"/>
          <w:szCs w:val="32"/>
        </w:rPr>
      </w:pPr>
      <w:r>
        <w:rPr>
          <w:rFonts w:hint="eastAsia" w:ascii="黑体" w:eastAsia="黑体"/>
          <w:sz w:val="32"/>
          <w:szCs w:val="32"/>
        </w:rPr>
        <w:t>一、主要职责</w:t>
      </w:r>
    </w:p>
    <w:p>
      <w:pPr>
        <w:ind w:firstLine="627" w:firstLineChars="196"/>
        <w:rPr>
          <w:rFonts w:hint="eastAsia" w:ascii="仿宋_GB2312" w:hAnsi="华文中宋" w:eastAsia="仿宋_GB2312"/>
          <w:sz w:val="32"/>
          <w:szCs w:val="32"/>
        </w:rPr>
      </w:pPr>
      <w:r>
        <w:rPr>
          <w:rFonts w:hint="eastAsia" w:ascii="仿宋_GB2312" w:hAnsi="华文中宋" w:eastAsia="仿宋_GB2312"/>
          <w:sz w:val="32"/>
          <w:szCs w:val="32"/>
        </w:rPr>
        <w:t>沈阳市浑南区文化旅游和广播电视局</w:t>
      </w:r>
      <w:r>
        <w:rPr>
          <w:rFonts w:hint="eastAsia" w:ascii="仿宋_GB2312" w:hAnsi="华文中宋" w:eastAsia="仿宋_GB2312"/>
          <w:sz w:val="32"/>
          <w:szCs w:val="32"/>
          <w:lang w:eastAsia="zh-CN"/>
        </w:rPr>
        <w:t>主要工作职责：</w:t>
      </w:r>
      <w:r>
        <w:rPr>
          <w:rFonts w:hint="eastAsia" w:ascii="仿宋_GB2312" w:hAnsi="华文中宋" w:eastAsia="仿宋_GB2312"/>
          <w:sz w:val="32"/>
          <w:szCs w:val="32"/>
        </w:rPr>
        <w:t>贯彻执行国家、省、市文化旅游、广播电视、文物保护、体育产业工作的方针、政策和法律、法规、规章。拟订全区文化旅游、广播电视、文物保护、体育工作发展规划并组织实施，指导特色文化旅游体育产业建设与发展，推进文化、旅游和体育融合发展，推进文化、旅游、体育、广播电视等领域的体制机制改革。指导、管理全区文化艺术事业，指导艺术创作生产，扶持体现社会主义核心价值观、具有导向性代表性示范性的文艺作品，推动各门类艺术、各艺术品种发展。推进全区文化旅游、广播电视、体育领域的公共服务，规划、引导公共文化产品生产和文化旅游体育设施建设，深入实施文化惠民工程，推进基本公共文化服务标准化、均等化，指导全区文化馆（站）、图书馆和基层文化建设；指导全区公共体育设施建设及监督管理。管理全区重大文化、旅游、体育活动，指导区重点文化旅游体育设施建设，组织全区文化旅游体育整体形象和重点品牌推广，制定全区文化旅游体育市场开发规划并组织实施，指导、推进全域旅游。负责全区文物管理、保护和利用工作。负责全区非物质文化遗产保护，推动非物质文化遗产的保护、传承、普及、弘扬和振兴。统筹规划全区文化旅游体育产业，拟订产业政策，指导、协调产业发展，推进对外产业交流与合作，指导文化、广播电视、旅游、体育类会展活动。扶持新型文化旅游和体育业态发展，组织实施资源普查、挖掘、保护和利用工作，促进文化旅游体育产业发展。指导、推进全区文化旅游体育与科技创新融合发展，推进文化旅游体育行业信息化、标准化建设，负责文化旅游体育行业信息统计与发布工作。负责文化艺术、广播电视、文物、旅游和体育行业行政审批工作，依法实施行业监管。指导、推进全区文化、旅游、体育市场发展，对文化和旅游市场经营进行行业监管，推进文化和旅游行业信用体系建设，依法规范文化和旅游市场，负责全区旅游安全的综合协调和监督管理，承担全区旅游经济运行监测。指导、管理全区文化旅游、广播电视和体育领域对外及对港澳台交流、合作和宣传、推广工作，组织开展对外及港澳台文化旅游、广播电视领域的交流活动。负责全区文化、体育社团的日常管理工作。推动全民健身计划，指导开展群众、社会文化体育活动，落实国家体育锻炼标准。承担本部门党组织建设相关工作。督促、指导文化旅游体育行业领域安全生产工作。完成区委、区政府交办的其他任务。</w:t>
      </w:r>
    </w:p>
    <w:p>
      <w:pPr>
        <w:ind w:firstLine="640" w:firstLineChars="200"/>
        <w:rPr>
          <w:rFonts w:hint="default" w:ascii="仿宋_GB2312" w:hAnsi="宋体" w:eastAsia="仿宋_GB2312"/>
          <w:sz w:val="32"/>
          <w:szCs w:val="32"/>
          <w:lang w:val="en-US"/>
        </w:rPr>
      </w:pPr>
      <w:r>
        <w:rPr>
          <w:rFonts w:hint="eastAsia" w:ascii="仿宋_GB2312" w:hAnsi="宋体" w:eastAsia="仿宋_GB2312"/>
          <w:sz w:val="32"/>
          <w:szCs w:val="32"/>
          <w:lang w:eastAsia="zh-CN"/>
        </w:rPr>
        <w:t>沈阳市浑南区文化旅游体育事务服务中心</w:t>
      </w:r>
      <w:r>
        <w:rPr>
          <w:rFonts w:hint="eastAsia" w:ascii="仿宋_GB2312" w:hAnsi="宋体" w:eastAsia="仿宋_GB2312"/>
          <w:sz w:val="32"/>
          <w:szCs w:val="32"/>
        </w:rPr>
        <w:t>主要</w:t>
      </w:r>
      <w:r>
        <w:rPr>
          <w:rFonts w:hint="eastAsia" w:ascii="仿宋_GB2312" w:hAnsi="宋体" w:eastAsia="仿宋_GB2312"/>
          <w:sz w:val="32"/>
          <w:szCs w:val="32"/>
          <w:lang w:eastAsia="zh-CN"/>
        </w:rPr>
        <w:t>工作</w:t>
      </w:r>
      <w:r>
        <w:rPr>
          <w:rFonts w:hint="eastAsia" w:ascii="仿宋_GB2312" w:hAnsi="宋体" w:eastAsia="仿宋_GB2312"/>
          <w:sz w:val="32"/>
          <w:szCs w:val="32"/>
        </w:rPr>
        <w:t>职责：贯彻落实国家、省、市、区关于文化、旅游、体育方面的法律法规、政策措施和发展目标等有关要求；加强文化、旅游、体育服务体系建设，提升文化、体育公共服务水平，促进全区文化旅游体育事业健康快速发展。负责为全区文化、旅游、体育事业开展提供服务保障，促进文旅体产业繁荣发展。组织开展群众文化艺术活动；负责指导全区群众业余文艺团队的业务能力提升和团队建设，指导文艺精品创作；开展群众文艺理论研究，建立健全群众文化艺术档案，负责业余文艺群体建设；开展非物质文化遗产挖掘、整理、保护、传承、普及相关工作提供服务保障。充分利用馆藏文献，大力弘扬时代主旋律，开展多种形式的读书活动，引导全民阅读，做好读者服务工作；建设辖区全民阅读主阵地，为群众提供阅读的基本设施保障、文献资源服务和信息服务。组织全区群众体育活动、竞技体育活动；落实全民健身计划；对区级体育社团和体育俱乐部进行业务指导；培育优秀体育后备人才；组织体育训练和体育比赛，指导运动队伍建设。负责全区旅游形象和旅游市场的宣传推介；开展文化旅游产业研究与开发工作；促进文化旅游产业发展；向市民和游客提供旅游咨询服务。承担本部门安全生产等工作；按照区文旅广电局、区文化旅游体育事务服务中心职责调配安全生产等工作。</w:t>
      </w:r>
      <w:r>
        <w:rPr>
          <w:rFonts w:hint="eastAsia" w:ascii="仿宋_GB2312" w:hAnsi="宋体" w:eastAsia="仿宋_GB2312"/>
          <w:kern w:val="2"/>
          <w:sz w:val="32"/>
          <w:szCs w:val="32"/>
          <w:lang w:val="en-US" w:eastAsia="zh-CN" w:bidi="ar-SA"/>
        </w:rPr>
        <w:t>为保障我区国家级文化产业示范园区建设，经研究决定，在区文化旅游体育事务服务中心加挂沈阳棋盘山数字文创产业功能区管理中心牌子。负责园区相关扶持政策、管理政策和规章制度等拟定和实施工作；负责配合职能部门和属地街道指导园区安全生产、环境保护和基础设施建设等日常管理工作；负责指导园区开展党建、社会主义核心价值观等意识形态建设工作；负责拟定和实施园区招商计划及招商政策，协助园区载体进行招商洽谈；负责园区入驻企业的初步筛选、年度综合考评，开展重大项目和龙头企业跟踪服务；负责园区入驻企业统计监测、公共服务平台建设等相关工作；负责园区文化产业相关人才培育、招引、交流等人才建设工作；负责园区与部、省、市、区职能部门的日常联系和协调工作；负责园区相关项目和企业的资金申报和落实工作；负责园区公共活动、品牌建设、宣传推广工作职责。完成区委、区政府及区文旅广电局交办的其他任务。</w:t>
      </w:r>
    </w:p>
    <w:p>
      <w:pPr>
        <w:keepNext w:val="0"/>
        <w:keepLines w:val="0"/>
        <w:pageBreakBefore w:val="0"/>
        <w:widowControl w:val="0"/>
        <w:kinsoku/>
        <w:wordWrap/>
        <w:overflowPunct/>
        <w:topLinePunct w:val="0"/>
        <w:autoSpaceDE/>
        <w:autoSpaceDN/>
        <w:bidi w:val="0"/>
        <w:adjustRightInd/>
        <w:snapToGrid/>
        <w:spacing w:line="480" w:lineRule="auto"/>
        <w:ind w:firstLine="640" w:firstLineChars="200"/>
        <w:textAlignment w:val="auto"/>
        <w:rPr>
          <w:rFonts w:hint="eastAsia" w:ascii="仿宋_GB2312" w:hAnsi="华文中宋" w:eastAsia="仿宋_GB2312"/>
          <w:sz w:val="32"/>
          <w:szCs w:val="32"/>
        </w:rPr>
      </w:pPr>
      <w:r>
        <w:rPr>
          <w:rFonts w:hint="eastAsia" w:ascii="仿宋" w:hAnsi="仿宋" w:eastAsia="仿宋"/>
          <w:sz w:val="32"/>
          <w:szCs w:val="32"/>
          <w:lang w:eastAsia="zh-CN"/>
        </w:rPr>
        <w:t>沈阳市浑南区考古和文物保护中心主要工作职责：</w:t>
      </w:r>
      <w:r>
        <w:rPr>
          <w:rFonts w:ascii="仿宋" w:hAnsi="仿宋" w:eastAsia="仿宋"/>
          <w:sz w:val="32"/>
          <w:szCs w:val="32"/>
        </w:rPr>
        <w:t>贯彻执行国家、省、市文物和非物质文化遗产的法律法规、规章和工作方针、政策。负责全区文物保护发展规划和保护计划的具体实施工作。负责为全区不可移动文物(包括附属文物)的管理、保护、抢救、研究及勘探发掘等具体工作提供服务保障。负责为可移动文物及社会文物的管理保护等具体工作提供服务保障。负责为全区非物质文化遗产挖掘、整理、保护、传承、普及、弘扬和振兴等相关具体工作提供服务保障。提供文物和非物质文化遗产保护工作的政策咨询。负责组织开展全区范围文物保护普查和非物质文化遗产普查等相关工作。开展文物和非物质文化遗产保护的理论研究。举办学术、展览(演)及公益活动，交流、推介、宣传保护工作的成果和经验。开展文物和非物质文化遗产的宣传和培训工作。</w:t>
      </w:r>
      <w:r>
        <w:rPr>
          <w:rFonts w:hint="eastAsia" w:ascii="仿宋" w:hAnsi="仿宋" w:eastAsia="仿宋"/>
          <w:sz w:val="32"/>
          <w:szCs w:val="32"/>
        </w:rPr>
        <w:t>督促指导全区文物保护单位加强安全管理，落实安全防范措施</w:t>
      </w:r>
      <w:r>
        <w:rPr>
          <w:rFonts w:hint="eastAsia" w:ascii="仿宋" w:hAnsi="仿宋" w:eastAsia="仿宋"/>
          <w:sz w:val="32"/>
          <w:szCs w:val="32"/>
          <w:lang w:val="en-US" w:eastAsia="zh-CN"/>
        </w:rPr>
        <w:t>与</w:t>
      </w:r>
      <w:r>
        <w:rPr>
          <w:rFonts w:ascii="仿宋" w:hAnsi="仿宋" w:eastAsia="仿宋"/>
          <w:sz w:val="32"/>
          <w:szCs w:val="32"/>
        </w:rPr>
        <w:t>环境保护等工作;承担本单位党组织建设工作。完成区委、区政府、区文化旅游广电局交办的其他任务。</w:t>
      </w:r>
    </w:p>
    <w:p>
      <w:pPr>
        <w:ind w:firstLine="640" w:firstLineChars="200"/>
        <w:jc w:val="left"/>
        <w:rPr>
          <w:rFonts w:hint="eastAsia" w:ascii="黑体" w:eastAsia="黑体"/>
          <w:sz w:val="32"/>
          <w:szCs w:val="32"/>
        </w:rPr>
      </w:pPr>
      <w:r>
        <w:rPr>
          <w:rFonts w:hint="eastAsia" w:ascii="黑体" w:eastAsia="黑体"/>
          <w:sz w:val="32"/>
          <w:szCs w:val="32"/>
        </w:rPr>
        <w:t>二、部门预算单位构成</w:t>
      </w:r>
    </w:p>
    <w:p>
      <w:pPr>
        <w:ind w:firstLine="643" w:firstLineChars="200"/>
        <w:jc w:val="left"/>
        <w:rPr>
          <w:rFonts w:hint="eastAsia" w:ascii="仿宋_GB2312" w:eastAsia="仿宋_GB2312"/>
          <w:b/>
          <w:sz w:val="32"/>
          <w:szCs w:val="32"/>
        </w:rPr>
      </w:pPr>
      <w:r>
        <w:rPr>
          <w:rFonts w:hint="eastAsia" w:ascii="仿宋_GB2312" w:eastAsia="仿宋_GB2312"/>
          <w:b/>
          <w:sz w:val="32"/>
          <w:szCs w:val="32"/>
        </w:rPr>
        <w:t>纳入</w:t>
      </w:r>
      <w:r>
        <w:rPr>
          <w:rFonts w:hint="eastAsia" w:ascii="仿宋_GB2312" w:eastAsia="仿宋_GB2312"/>
          <w:b/>
          <w:sz w:val="32"/>
          <w:szCs w:val="32"/>
          <w:lang w:val="en-US" w:eastAsia="zh-CN"/>
        </w:rPr>
        <w:t>沈阳市</w:t>
      </w:r>
      <w:r>
        <w:rPr>
          <w:rFonts w:hint="eastAsia" w:ascii="仿宋_GB2312" w:eastAsia="仿宋_GB2312"/>
          <w:b/>
          <w:sz w:val="32"/>
          <w:szCs w:val="32"/>
          <w:lang w:eastAsia="zh-CN"/>
        </w:rPr>
        <w:t>浑南区文化旅游和广播电视局</w:t>
      </w:r>
      <w:r>
        <w:rPr>
          <w:rFonts w:hint="eastAsia" w:ascii="仿宋_GB2312" w:eastAsia="仿宋_GB2312"/>
          <w:b/>
          <w:sz w:val="32"/>
          <w:szCs w:val="32"/>
          <w:lang w:val="en-US" w:eastAsia="zh-CN"/>
        </w:rPr>
        <w:t>2025</w:t>
      </w:r>
      <w:r>
        <w:rPr>
          <w:rFonts w:hint="eastAsia" w:ascii="仿宋_GB2312" w:eastAsia="仿宋_GB2312"/>
          <w:b/>
          <w:sz w:val="32"/>
          <w:szCs w:val="32"/>
        </w:rPr>
        <w:t>年</w:t>
      </w:r>
      <w:r>
        <w:rPr>
          <w:rFonts w:hint="eastAsia" w:ascii="仿宋_GB2312" w:eastAsia="仿宋_GB2312"/>
          <w:b/>
          <w:sz w:val="32"/>
          <w:szCs w:val="32"/>
          <w:lang w:val="en-US" w:eastAsia="zh-CN"/>
        </w:rPr>
        <w:t>度</w:t>
      </w:r>
      <w:r>
        <w:rPr>
          <w:rFonts w:hint="eastAsia" w:ascii="仿宋_GB2312" w:eastAsia="仿宋_GB2312"/>
          <w:b/>
          <w:sz w:val="32"/>
          <w:szCs w:val="32"/>
        </w:rPr>
        <w:t>部门预算编制范围的二级预算单位包括：</w:t>
      </w:r>
    </w:p>
    <w:p>
      <w:pPr>
        <w:ind w:firstLine="640" w:firstLineChars="200"/>
        <w:jc w:val="left"/>
        <w:rPr>
          <w:rFonts w:hint="eastAsia" w:ascii="仿宋_GB2312" w:eastAsia="仿宋_GB2312"/>
          <w:b w:val="0"/>
          <w:bCs/>
          <w:sz w:val="32"/>
          <w:szCs w:val="32"/>
          <w:lang w:eastAsia="zh-CN"/>
        </w:rPr>
      </w:pPr>
      <w:r>
        <w:rPr>
          <w:rFonts w:hint="eastAsia" w:ascii="仿宋_GB2312" w:eastAsia="仿宋_GB2312"/>
          <w:b w:val="0"/>
          <w:bCs/>
          <w:sz w:val="32"/>
          <w:szCs w:val="32"/>
          <w:lang w:val="en-US" w:eastAsia="zh-CN"/>
        </w:rPr>
        <w:t>1.</w:t>
      </w:r>
      <w:r>
        <w:rPr>
          <w:rFonts w:hint="eastAsia" w:ascii="仿宋_GB2312" w:eastAsia="仿宋_GB2312"/>
          <w:b w:val="0"/>
          <w:bCs/>
          <w:sz w:val="32"/>
          <w:szCs w:val="32"/>
        </w:rPr>
        <w:t>沈阳市</w:t>
      </w:r>
      <w:r>
        <w:rPr>
          <w:rFonts w:hint="eastAsia" w:ascii="仿宋_GB2312" w:eastAsia="仿宋_GB2312"/>
          <w:b w:val="0"/>
          <w:bCs/>
          <w:sz w:val="32"/>
          <w:szCs w:val="32"/>
          <w:lang w:eastAsia="zh-CN"/>
        </w:rPr>
        <w:t>浑南区文化旅游和广播电视局本级</w:t>
      </w:r>
    </w:p>
    <w:p>
      <w:pPr>
        <w:spacing w:line="560" w:lineRule="exact"/>
        <w:ind w:firstLine="640" w:firstLineChars="200"/>
        <w:jc w:val="left"/>
        <w:rPr>
          <w:rFonts w:hint="eastAsia" w:ascii="仿宋_GB2312" w:eastAsia="仿宋_GB2312"/>
          <w:sz w:val="32"/>
        </w:rPr>
      </w:pPr>
      <w:r>
        <w:rPr>
          <w:rFonts w:hint="eastAsia" w:ascii="仿宋_GB2312" w:eastAsia="仿宋_GB2312"/>
          <w:sz w:val="32"/>
          <w:lang w:val="en-US" w:eastAsia="zh-CN"/>
        </w:rPr>
        <w:t>2.</w:t>
      </w:r>
      <w:r>
        <w:rPr>
          <w:rFonts w:hint="eastAsia" w:ascii="仿宋_GB2312" w:eastAsia="仿宋_GB2312"/>
          <w:sz w:val="32"/>
        </w:rPr>
        <w:t>沈阳市浑南区文化旅游体育</w:t>
      </w:r>
      <w:r>
        <w:rPr>
          <w:rFonts w:hint="eastAsia" w:ascii="仿宋_GB2312" w:eastAsia="仿宋_GB2312"/>
          <w:sz w:val="32"/>
          <w:lang w:eastAsia="zh-CN"/>
        </w:rPr>
        <w:t>事务服务</w:t>
      </w:r>
      <w:r>
        <w:rPr>
          <w:rFonts w:hint="eastAsia" w:ascii="仿宋_GB2312" w:eastAsia="仿宋_GB2312"/>
          <w:sz w:val="32"/>
        </w:rPr>
        <w:t>中心</w:t>
      </w:r>
    </w:p>
    <w:p>
      <w:pPr>
        <w:spacing w:line="560" w:lineRule="exact"/>
        <w:ind w:firstLine="640" w:firstLineChars="200"/>
        <w:jc w:val="left"/>
        <w:rPr>
          <w:rFonts w:hint="default" w:ascii="仿宋_GB2312" w:eastAsia="仿宋_GB2312"/>
          <w:b w:val="0"/>
          <w:bCs/>
          <w:sz w:val="32"/>
          <w:szCs w:val="32"/>
          <w:lang w:val="en-US" w:eastAsia="zh-CN"/>
        </w:rPr>
        <w:sectPr>
          <w:footerReference r:id="rId3" w:type="default"/>
          <w:footerReference r:id="rId4" w:type="even"/>
          <w:pgSz w:w="11906" w:h="16838"/>
          <w:pgMar w:top="1440" w:right="1797" w:bottom="1440" w:left="1797" w:header="851" w:footer="992" w:gutter="0"/>
          <w:cols w:space="720" w:num="1"/>
          <w:docGrid w:type="lines" w:linePitch="312" w:charSpace="0"/>
        </w:sectPr>
      </w:pPr>
      <w:r>
        <w:rPr>
          <w:rFonts w:hint="eastAsia" w:ascii="仿宋_GB2312" w:eastAsia="仿宋_GB2312"/>
          <w:sz w:val="32"/>
          <w:lang w:val="en-US" w:eastAsia="zh-CN"/>
        </w:rPr>
        <w:t>3.</w:t>
      </w:r>
      <w:r>
        <w:rPr>
          <w:rFonts w:hint="eastAsia" w:ascii="仿宋_GB2312" w:eastAsia="仿宋_GB2312"/>
          <w:sz w:val="32"/>
          <w:lang w:eastAsia="zh-CN"/>
        </w:rPr>
        <w:t>沈阳市浑南区考古和文物保护</w:t>
      </w:r>
      <w:r>
        <w:rPr>
          <w:rFonts w:hint="eastAsia" w:ascii="仿宋_GB2312" w:eastAsia="仿宋_GB2312"/>
          <w:sz w:val="32"/>
          <w:lang w:val="en-US" w:eastAsia="zh-CN"/>
        </w:rPr>
        <w:t>中心</w:t>
      </w:r>
    </w:p>
    <w:p>
      <w:pPr>
        <w:jc w:val="center"/>
        <w:rPr>
          <w:rFonts w:hint="eastAsia" w:ascii="宋体" w:hAnsi="宋体" w:eastAsia="宋体"/>
          <w:b/>
          <w:sz w:val="36"/>
          <w:szCs w:val="36"/>
          <w:highlight w:val="none"/>
          <w:lang w:eastAsia="zh-CN"/>
        </w:rPr>
      </w:pPr>
      <w:r>
        <w:rPr>
          <w:rFonts w:hint="eastAsia" w:ascii="宋体" w:hAnsi="宋体"/>
          <w:b/>
          <w:sz w:val="36"/>
          <w:szCs w:val="36"/>
          <w:highlight w:val="none"/>
        </w:rPr>
        <w:t>第</w:t>
      </w:r>
      <w:r>
        <w:rPr>
          <w:rFonts w:hint="eastAsia" w:ascii="宋体" w:hAnsi="宋体"/>
          <w:b/>
          <w:sz w:val="36"/>
          <w:szCs w:val="36"/>
          <w:highlight w:val="none"/>
          <w:lang w:val="en-US" w:eastAsia="zh-CN"/>
        </w:rPr>
        <w:t>三</w:t>
      </w:r>
      <w:r>
        <w:rPr>
          <w:rFonts w:hint="eastAsia" w:ascii="宋体" w:hAnsi="宋体"/>
          <w:b/>
          <w:sz w:val="36"/>
          <w:szCs w:val="36"/>
          <w:highlight w:val="none"/>
        </w:rPr>
        <w:t>部分 沈阳市</w:t>
      </w:r>
      <w:r>
        <w:rPr>
          <w:rFonts w:hint="eastAsia" w:ascii="宋体" w:hAnsi="宋体"/>
          <w:b/>
          <w:sz w:val="36"/>
          <w:szCs w:val="36"/>
          <w:highlight w:val="none"/>
          <w:lang w:eastAsia="zh-CN"/>
        </w:rPr>
        <w:t>浑南区文化旅游和广播电视局</w:t>
      </w:r>
    </w:p>
    <w:p>
      <w:pPr>
        <w:jc w:val="center"/>
        <w:rPr>
          <w:rFonts w:ascii="黑体" w:eastAsia="黑体"/>
          <w:sz w:val="32"/>
          <w:szCs w:val="32"/>
          <w:highlight w:val="none"/>
        </w:rPr>
        <w:sectPr>
          <w:footerReference r:id="rId5" w:type="default"/>
          <w:footerReference r:id="rId6" w:type="even"/>
          <w:pgSz w:w="11906" w:h="16838"/>
          <w:pgMar w:top="1440" w:right="1797" w:bottom="1440" w:left="1797" w:header="851" w:footer="992" w:gutter="0"/>
          <w:cols w:space="720" w:num="1"/>
          <w:docGrid w:type="lines" w:linePitch="312" w:charSpace="0"/>
        </w:sectPr>
      </w:pPr>
      <w:r>
        <w:rPr>
          <w:rFonts w:hint="eastAsia" w:ascii="宋体" w:hAnsi="宋体"/>
          <w:b/>
          <w:sz w:val="36"/>
          <w:szCs w:val="36"/>
          <w:highlight w:val="none"/>
          <w:lang w:eastAsia="zh-CN"/>
        </w:rPr>
        <w:t>202</w:t>
      </w:r>
      <w:r>
        <w:rPr>
          <w:rFonts w:hint="eastAsia" w:ascii="宋体" w:hAnsi="宋体"/>
          <w:b/>
          <w:sz w:val="36"/>
          <w:szCs w:val="36"/>
          <w:highlight w:val="none"/>
          <w:lang w:val="en-US" w:eastAsia="zh-CN"/>
        </w:rPr>
        <w:t>5</w:t>
      </w:r>
      <w:r>
        <w:rPr>
          <w:rFonts w:hint="eastAsia" w:ascii="宋体" w:hAnsi="宋体"/>
          <w:b/>
          <w:sz w:val="36"/>
          <w:szCs w:val="36"/>
          <w:highlight w:val="none"/>
          <w:lang w:eastAsia="zh-CN"/>
        </w:rPr>
        <w:t>年</w:t>
      </w:r>
      <w:r>
        <w:rPr>
          <w:rFonts w:hint="eastAsia" w:ascii="宋体" w:hAnsi="宋体"/>
          <w:b/>
          <w:sz w:val="36"/>
          <w:szCs w:val="36"/>
          <w:highlight w:val="none"/>
        </w:rPr>
        <w:t>部门预算公开表</w:t>
      </w:r>
      <w:r>
        <w:rPr>
          <w:rFonts w:hint="eastAsia" w:ascii="宋体" w:hAnsi="宋体"/>
          <w:b/>
          <w:sz w:val="36"/>
          <w:szCs w:val="36"/>
        </w:rPr>
        <w:t>（报表附后）</w:t>
      </w:r>
    </w:p>
    <w:p>
      <w:pPr>
        <w:spacing w:line="560" w:lineRule="exact"/>
        <w:jc w:val="center"/>
        <w:rPr>
          <w:rFonts w:hint="eastAsia" w:ascii="宋体" w:hAnsi="宋体" w:eastAsia="宋体"/>
          <w:b/>
          <w:sz w:val="36"/>
          <w:highlight w:val="none"/>
          <w:lang w:eastAsia="zh-CN"/>
        </w:rPr>
      </w:pPr>
      <w:r>
        <w:rPr>
          <w:rFonts w:hint="eastAsia" w:ascii="宋体" w:hAnsi="宋体"/>
          <w:b/>
          <w:sz w:val="36"/>
          <w:highlight w:val="none"/>
        </w:rPr>
        <w:t>第</w:t>
      </w:r>
      <w:r>
        <w:rPr>
          <w:rFonts w:hint="eastAsia" w:ascii="宋体" w:hAnsi="宋体"/>
          <w:b/>
          <w:sz w:val="36"/>
          <w:highlight w:val="none"/>
          <w:lang w:val="en-US" w:eastAsia="zh-CN"/>
        </w:rPr>
        <w:t>四</w:t>
      </w:r>
      <w:r>
        <w:rPr>
          <w:rFonts w:hint="eastAsia" w:ascii="宋体" w:hAnsi="宋体"/>
          <w:b/>
          <w:sz w:val="36"/>
          <w:highlight w:val="none"/>
        </w:rPr>
        <w:t>部分 沈阳市</w:t>
      </w:r>
      <w:r>
        <w:rPr>
          <w:rFonts w:hint="eastAsia" w:ascii="宋体" w:hAnsi="宋体"/>
          <w:b/>
          <w:sz w:val="36"/>
          <w:highlight w:val="none"/>
          <w:lang w:eastAsia="zh-CN"/>
        </w:rPr>
        <w:t>浑南区文化旅游和广播电视局</w:t>
      </w:r>
    </w:p>
    <w:p>
      <w:pPr>
        <w:spacing w:line="560" w:lineRule="exact"/>
        <w:jc w:val="center"/>
        <w:rPr>
          <w:rFonts w:hint="eastAsia"/>
          <w:b/>
          <w:sz w:val="36"/>
          <w:highlight w:val="none"/>
        </w:rPr>
      </w:pPr>
      <w:r>
        <w:rPr>
          <w:rFonts w:hint="eastAsia" w:ascii="宋体" w:hAnsi="宋体"/>
          <w:b/>
          <w:sz w:val="36"/>
          <w:highlight w:val="none"/>
          <w:lang w:eastAsia="zh-CN"/>
        </w:rPr>
        <w:t>202</w:t>
      </w:r>
      <w:r>
        <w:rPr>
          <w:rFonts w:hint="eastAsia" w:ascii="宋体" w:hAnsi="宋体"/>
          <w:b/>
          <w:sz w:val="36"/>
          <w:highlight w:val="none"/>
          <w:lang w:val="en-US" w:eastAsia="zh-CN"/>
        </w:rPr>
        <w:t>5</w:t>
      </w:r>
      <w:r>
        <w:rPr>
          <w:rFonts w:hint="eastAsia" w:ascii="宋体" w:hAnsi="宋体"/>
          <w:b/>
          <w:sz w:val="36"/>
          <w:highlight w:val="none"/>
          <w:lang w:eastAsia="zh-CN"/>
        </w:rPr>
        <w:t>年</w:t>
      </w:r>
      <w:r>
        <w:rPr>
          <w:rFonts w:hint="eastAsia" w:ascii="宋体" w:hAnsi="宋体"/>
          <w:b/>
          <w:sz w:val="36"/>
          <w:highlight w:val="none"/>
        </w:rPr>
        <w:t>部门预算情况说明</w:t>
      </w:r>
    </w:p>
    <w:p>
      <w:pPr>
        <w:spacing w:line="560" w:lineRule="exact"/>
        <w:rPr>
          <w:rFonts w:hint="eastAsia"/>
          <w:b/>
          <w:sz w:val="36"/>
          <w:highlight w:val="none"/>
        </w:rPr>
      </w:pPr>
    </w:p>
    <w:p>
      <w:pPr>
        <w:spacing w:line="560" w:lineRule="exact"/>
        <w:ind w:firstLine="627" w:firstLineChars="196"/>
        <w:rPr>
          <w:rFonts w:ascii="黑体" w:hAnsi="黑体" w:eastAsia="黑体"/>
          <w:sz w:val="32"/>
          <w:highlight w:val="none"/>
        </w:rPr>
      </w:pPr>
      <w:r>
        <w:rPr>
          <w:rFonts w:hint="eastAsia" w:ascii="黑体" w:hAnsi="黑体" w:eastAsia="黑体"/>
          <w:sz w:val="32"/>
          <w:highlight w:val="none"/>
        </w:rPr>
        <w:t>一、关于沈阳市</w:t>
      </w:r>
      <w:r>
        <w:rPr>
          <w:rFonts w:hint="eastAsia" w:ascii="黑体" w:hAnsi="黑体" w:eastAsia="黑体"/>
          <w:sz w:val="32"/>
          <w:highlight w:val="none"/>
          <w:lang w:eastAsia="zh-CN"/>
        </w:rPr>
        <w:t>浑南区文化旅游和广播电视局202</w:t>
      </w:r>
      <w:r>
        <w:rPr>
          <w:rFonts w:hint="eastAsia" w:ascii="黑体" w:hAnsi="黑体" w:eastAsia="黑体"/>
          <w:sz w:val="32"/>
          <w:highlight w:val="none"/>
          <w:lang w:val="en-US" w:eastAsia="zh-CN"/>
        </w:rPr>
        <w:t>2</w:t>
      </w:r>
      <w:r>
        <w:rPr>
          <w:rFonts w:hint="eastAsia" w:ascii="黑体" w:hAnsi="黑体" w:eastAsia="黑体"/>
          <w:sz w:val="32"/>
          <w:highlight w:val="none"/>
          <w:lang w:eastAsia="zh-CN"/>
        </w:rPr>
        <w:t>年</w:t>
      </w:r>
      <w:r>
        <w:rPr>
          <w:rFonts w:hint="eastAsia" w:ascii="黑体" w:hAnsi="黑体" w:eastAsia="黑体"/>
          <w:sz w:val="32"/>
          <w:highlight w:val="none"/>
        </w:rPr>
        <w:t>收支预算的总体说明</w:t>
      </w:r>
    </w:p>
    <w:p>
      <w:pPr>
        <w:ind w:firstLine="660"/>
        <w:rPr>
          <w:rFonts w:hint="eastAsia" w:ascii="仿宋_GB2312" w:hAnsi="宋体" w:eastAsia="仿宋_GB2312"/>
          <w:sz w:val="32"/>
          <w:szCs w:val="32"/>
        </w:rPr>
      </w:pPr>
      <w:r>
        <w:rPr>
          <w:rFonts w:hint="eastAsia" w:ascii="仿宋_GB2312" w:hAnsi="宋体" w:eastAsia="仿宋_GB2312"/>
          <w:sz w:val="32"/>
          <w:szCs w:val="32"/>
          <w:highlight w:val="none"/>
        </w:rPr>
        <w:t>按照综合预算的原则，</w:t>
      </w:r>
      <w:r>
        <w:rPr>
          <w:rFonts w:hint="eastAsia" w:ascii="仿宋_GB2312" w:hAnsi="宋体" w:eastAsia="仿宋_GB2312"/>
          <w:sz w:val="32"/>
          <w:highlight w:val="none"/>
        </w:rPr>
        <w:t>沈阳市</w:t>
      </w:r>
      <w:r>
        <w:rPr>
          <w:rFonts w:hint="eastAsia" w:ascii="仿宋_GB2312" w:hAnsi="宋体" w:eastAsia="仿宋_GB2312"/>
          <w:sz w:val="32"/>
          <w:highlight w:val="none"/>
          <w:lang w:eastAsia="zh-CN"/>
        </w:rPr>
        <w:t>浑南区文化旅游和广播电视局</w:t>
      </w:r>
      <w:r>
        <w:rPr>
          <w:rFonts w:hint="eastAsia" w:ascii="仿宋_GB2312" w:hAnsi="宋体" w:eastAsia="仿宋_GB2312"/>
          <w:sz w:val="32"/>
          <w:szCs w:val="32"/>
          <w:highlight w:val="none"/>
        </w:rPr>
        <w:t>所有收入和支出均纳入部门预算管理。收入包括：一般公共预算拨款收入、政府性基金预算拨款收入、纳入专户管理的预算外资金安排的拨款收入、上级补助及附属单位上缴收入、财政结转资金、单位上年净结余、单位事业收入、单位其他收入；支出包括：一般公共服务支出、财政事务、社会保障和就业支出、医疗卫生与计划生育支出、住房保障支出等。</w:t>
      </w:r>
      <w:r>
        <w:rPr>
          <w:rFonts w:hint="eastAsia" w:ascii="仿宋_GB2312" w:hAnsi="宋体" w:eastAsia="仿宋_GB2312"/>
          <w:sz w:val="32"/>
          <w:highlight w:val="none"/>
        </w:rPr>
        <w:t>沈阳市</w:t>
      </w:r>
      <w:r>
        <w:rPr>
          <w:rFonts w:hint="eastAsia" w:ascii="仿宋_GB2312" w:hAnsi="宋体" w:eastAsia="仿宋_GB2312"/>
          <w:sz w:val="32"/>
          <w:highlight w:val="none"/>
          <w:lang w:eastAsia="zh-CN"/>
        </w:rPr>
        <w:t>浑南区文化旅游和广播电视局</w:t>
      </w:r>
      <w:r>
        <w:rPr>
          <w:rFonts w:hint="eastAsia" w:ascii="仿宋_GB2312" w:hAnsi="宋体" w:eastAsia="仿宋_GB2312"/>
          <w:sz w:val="32"/>
          <w:szCs w:val="32"/>
          <w:highlight w:val="none"/>
          <w:lang w:val="en-US" w:eastAsia="zh-CN"/>
        </w:rPr>
        <w:t>2025</w:t>
      </w:r>
      <w:r>
        <w:rPr>
          <w:rFonts w:hint="eastAsia" w:ascii="仿宋_GB2312" w:hAnsi="宋体" w:eastAsia="仿宋_GB2312"/>
          <w:sz w:val="32"/>
          <w:szCs w:val="32"/>
          <w:highlight w:val="none"/>
        </w:rPr>
        <w:t>年</w:t>
      </w:r>
      <w:r>
        <w:rPr>
          <w:rFonts w:hint="eastAsia" w:ascii="仿宋_GB2312" w:hAnsi="宋体" w:eastAsia="仿宋_GB2312"/>
          <w:sz w:val="32"/>
          <w:szCs w:val="32"/>
          <w:highlight w:val="none"/>
          <w:lang w:val="en-US" w:eastAsia="zh-CN"/>
        </w:rPr>
        <w:t>度</w:t>
      </w:r>
      <w:r>
        <w:rPr>
          <w:rFonts w:hint="eastAsia" w:ascii="仿宋_GB2312" w:hAnsi="宋体" w:eastAsia="仿宋_GB2312"/>
          <w:sz w:val="32"/>
          <w:szCs w:val="32"/>
          <w:highlight w:val="none"/>
        </w:rPr>
        <w:t>收支总预算</w:t>
      </w:r>
      <w:r>
        <w:rPr>
          <w:rFonts w:hint="eastAsia" w:ascii="仿宋_GB2312" w:hAnsi="宋体" w:eastAsia="仿宋_GB2312"/>
          <w:sz w:val="32"/>
          <w:szCs w:val="32"/>
          <w:highlight w:val="none"/>
          <w:lang w:val="en-US" w:eastAsia="zh-CN"/>
        </w:rPr>
        <w:t>1370.43</w:t>
      </w:r>
      <w:r>
        <w:rPr>
          <w:rFonts w:hint="eastAsia" w:ascii="仿宋_GB2312" w:hAnsi="宋体" w:eastAsia="仿宋_GB2312"/>
          <w:sz w:val="32"/>
          <w:szCs w:val="32"/>
          <w:highlight w:val="none"/>
        </w:rPr>
        <w:t>万元，比</w:t>
      </w:r>
      <w:r>
        <w:rPr>
          <w:rFonts w:hint="eastAsia" w:ascii="仿宋_GB2312" w:hAnsi="宋体" w:eastAsia="仿宋_GB2312"/>
          <w:sz w:val="32"/>
          <w:szCs w:val="32"/>
          <w:highlight w:val="none"/>
          <w:lang w:val="en-US" w:eastAsia="zh-CN"/>
        </w:rPr>
        <w:t>上一年度</w:t>
      </w:r>
      <w:r>
        <w:rPr>
          <w:rFonts w:hint="eastAsia" w:ascii="仿宋_GB2312" w:hAnsi="宋体" w:eastAsia="仿宋_GB2312"/>
          <w:sz w:val="32"/>
          <w:szCs w:val="32"/>
          <w:highlight w:val="none"/>
        </w:rPr>
        <w:t>收支总预算</w:t>
      </w:r>
      <w:r>
        <w:rPr>
          <w:rFonts w:hint="eastAsia" w:ascii="仿宋_GB2312" w:hAnsi="宋体" w:eastAsia="仿宋_GB2312"/>
          <w:sz w:val="32"/>
          <w:szCs w:val="32"/>
          <w:highlight w:val="none"/>
          <w:lang w:val="en-US" w:eastAsia="zh-CN"/>
        </w:rPr>
        <w:t>1549.31</w:t>
      </w:r>
      <w:r>
        <w:rPr>
          <w:rFonts w:hint="eastAsia" w:ascii="仿宋_GB2312" w:hAnsi="宋体" w:eastAsia="仿宋_GB2312"/>
          <w:sz w:val="32"/>
          <w:szCs w:val="32"/>
          <w:highlight w:val="none"/>
        </w:rPr>
        <w:t>万元</w:t>
      </w:r>
      <w:r>
        <w:rPr>
          <w:rFonts w:hint="eastAsia" w:ascii="仿宋_GB2312" w:hAnsi="宋体" w:eastAsia="仿宋_GB2312"/>
          <w:sz w:val="32"/>
          <w:szCs w:val="32"/>
          <w:highlight w:val="none"/>
          <w:lang w:val="en-US" w:eastAsia="zh-CN"/>
        </w:rPr>
        <w:t>减少178.88</w:t>
      </w:r>
      <w:r>
        <w:rPr>
          <w:rFonts w:hint="eastAsia" w:ascii="仿宋_GB2312" w:hAnsi="宋体" w:eastAsia="仿宋_GB2312"/>
          <w:sz w:val="32"/>
          <w:szCs w:val="32"/>
          <w:highlight w:val="none"/>
        </w:rPr>
        <w:t>万元，主要是由于</w:t>
      </w:r>
      <w:r>
        <w:rPr>
          <w:rFonts w:hint="eastAsia" w:ascii="仿宋_GB2312" w:hAnsi="宋体" w:eastAsia="仿宋_GB2312"/>
          <w:sz w:val="32"/>
          <w:szCs w:val="32"/>
          <w:highlight w:val="none"/>
          <w:lang w:eastAsia="zh-CN"/>
        </w:rPr>
        <w:t>202</w:t>
      </w:r>
      <w:r>
        <w:rPr>
          <w:rFonts w:hint="eastAsia" w:ascii="仿宋_GB2312" w:hAnsi="宋体" w:eastAsia="仿宋_GB2312"/>
          <w:sz w:val="32"/>
          <w:szCs w:val="32"/>
          <w:highlight w:val="none"/>
          <w:lang w:val="en-US" w:eastAsia="zh-CN"/>
        </w:rPr>
        <w:t>5</w:t>
      </w:r>
      <w:r>
        <w:rPr>
          <w:rFonts w:hint="eastAsia" w:ascii="仿宋_GB2312" w:hAnsi="宋体" w:eastAsia="仿宋_GB2312"/>
          <w:sz w:val="32"/>
          <w:szCs w:val="32"/>
          <w:highlight w:val="none"/>
          <w:lang w:eastAsia="zh-CN"/>
        </w:rPr>
        <w:t>年文化体育与传媒支出</w:t>
      </w:r>
      <w:r>
        <w:rPr>
          <w:rFonts w:hint="eastAsia" w:ascii="仿宋_GB2312" w:hAnsi="宋体" w:eastAsia="仿宋_GB2312"/>
          <w:sz w:val="32"/>
          <w:szCs w:val="32"/>
          <w:highlight w:val="none"/>
          <w:lang w:val="en-US" w:eastAsia="zh-CN"/>
        </w:rPr>
        <w:t>减少</w:t>
      </w:r>
      <w:r>
        <w:rPr>
          <w:rFonts w:hint="eastAsia" w:ascii="仿宋_GB2312" w:hAnsi="宋体" w:eastAsia="仿宋_GB2312"/>
          <w:sz w:val="32"/>
          <w:szCs w:val="32"/>
          <w:highlight w:val="none"/>
          <w:lang w:eastAsia="zh-CN"/>
        </w:rPr>
        <w:t>。</w:t>
      </w:r>
    </w:p>
    <w:p>
      <w:pPr>
        <w:spacing w:beforeLines="0" w:afterLines="0"/>
        <w:ind w:firstLine="640" w:firstLineChars="200"/>
        <w:jc w:val="left"/>
        <w:rPr>
          <w:rFonts w:hint="eastAsia" w:ascii="FangSong_GB2312" w:hAnsi="FangSong_GB2312" w:eastAsia="FangSong_GB2312"/>
          <w:sz w:val="32"/>
        </w:rPr>
      </w:pPr>
      <w:r>
        <w:rPr>
          <w:rFonts w:hint="eastAsia" w:ascii="楷体" w:hAnsi="楷体" w:eastAsia="楷体"/>
          <w:sz w:val="32"/>
        </w:rPr>
        <w:t>（一）收入预算</w:t>
      </w:r>
      <w:r>
        <w:rPr>
          <w:rFonts w:hint="eastAsia" w:ascii="仿宋_GB2312" w:hAnsi="宋体" w:eastAsia="仿宋_GB2312"/>
          <w:sz w:val="32"/>
          <w:szCs w:val="32"/>
          <w:lang w:val="en-US" w:eastAsia="zh-CN"/>
        </w:rPr>
        <w:t>1370.43</w:t>
      </w:r>
      <w:r>
        <w:rPr>
          <w:rFonts w:hint="eastAsia" w:ascii="楷体" w:hAnsi="楷体" w:eastAsia="楷体"/>
          <w:sz w:val="32"/>
        </w:rPr>
        <w:t>万元，</w:t>
      </w:r>
      <w:r>
        <w:rPr>
          <w:rFonts w:hint="eastAsia" w:ascii="FangSong_GB2312" w:hAnsi="FangSong_GB2312" w:eastAsia="FangSong_GB2312"/>
          <w:sz w:val="32"/>
        </w:rPr>
        <w:t>其中：</w:t>
      </w:r>
    </w:p>
    <w:p>
      <w:pPr>
        <w:spacing w:beforeLines="0" w:afterLines="0"/>
        <w:ind w:firstLine="640" w:firstLineChars="200"/>
        <w:jc w:val="left"/>
        <w:rPr>
          <w:rFonts w:hint="eastAsia" w:ascii="FangSong_GB2312" w:hAnsi="FangSong_GB2312" w:eastAsia="FangSong_GB2312"/>
          <w:sz w:val="32"/>
        </w:rPr>
      </w:pPr>
      <w:r>
        <w:rPr>
          <w:rFonts w:hint="eastAsia" w:ascii="FangSong_GB2312" w:hAnsi="FangSong_GB2312" w:eastAsia="FangSong_GB2312"/>
          <w:sz w:val="32"/>
        </w:rPr>
        <w:t>1.一般公共预算拨款收入</w:t>
      </w:r>
      <w:r>
        <w:rPr>
          <w:rFonts w:hint="eastAsia" w:ascii="仿宋_GB2312" w:hAnsi="宋体" w:eastAsia="仿宋_GB2312"/>
          <w:sz w:val="32"/>
          <w:szCs w:val="32"/>
          <w:lang w:val="en-US" w:eastAsia="zh-CN"/>
        </w:rPr>
        <w:t>1370.43</w:t>
      </w:r>
      <w:r>
        <w:rPr>
          <w:rFonts w:hint="eastAsia" w:ascii="FangSong_GB2312" w:hAnsi="FangSong_GB2312" w:eastAsia="FangSong_GB2312"/>
          <w:sz w:val="32"/>
        </w:rPr>
        <w:t>万元；</w:t>
      </w:r>
    </w:p>
    <w:p>
      <w:pPr>
        <w:spacing w:beforeLines="0" w:afterLines="0"/>
        <w:ind w:firstLine="640" w:firstLineChars="200"/>
        <w:jc w:val="left"/>
        <w:rPr>
          <w:rFonts w:hint="eastAsia" w:ascii="FangSong_GB2312" w:hAnsi="FangSong_GB2312" w:eastAsia="FangSong_GB2312"/>
          <w:sz w:val="32"/>
        </w:rPr>
      </w:pPr>
      <w:r>
        <w:rPr>
          <w:rFonts w:hint="eastAsia" w:ascii="FangSong_GB2312" w:hAnsi="FangSong_GB2312" w:eastAsia="FangSong_GB2312"/>
          <w:sz w:val="32"/>
        </w:rPr>
        <w:t>2.政府性基金预算拨款收入</w:t>
      </w:r>
      <w:r>
        <w:rPr>
          <w:rFonts w:hint="eastAsia" w:ascii="仿宋_GB2312" w:hAnsi="宋体" w:eastAsia="仿宋_GB2312"/>
          <w:sz w:val="32"/>
          <w:szCs w:val="32"/>
          <w:lang w:val="en-US" w:eastAsia="zh-CN"/>
        </w:rPr>
        <w:t>0</w:t>
      </w:r>
      <w:r>
        <w:rPr>
          <w:rFonts w:hint="eastAsia" w:ascii="FangSong_GB2312" w:hAnsi="FangSong_GB2312" w:eastAsia="FangSong_GB2312"/>
          <w:sz w:val="32"/>
        </w:rPr>
        <w:t>万元；</w:t>
      </w:r>
    </w:p>
    <w:p>
      <w:pPr>
        <w:spacing w:beforeLines="0" w:afterLines="0"/>
        <w:ind w:firstLine="640" w:firstLineChars="200"/>
        <w:jc w:val="left"/>
        <w:rPr>
          <w:rFonts w:hint="eastAsia" w:ascii="FangSong_GB2312" w:hAnsi="FangSong_GB2312" w:eastAsia="FangSong_GB2312"/>
          <w:sz w:val="32"/>
        </w:rPr>
      </w:pPr>
      <w:r>
        <w:rPr>
          <w:rFonts w:hint="eastAsia" w:ascii="FangSong_GB2312" w:hAnsi="FangSong_GB2312" w:eastAsia="FangSong_GB2312"/>
          <w:sz w:val="32"/>
        </w:rPr>
        <w:t>3.国有资本经营预算拨款收入</w:t>
      </w:r>
      <w:r>
        <w:rPr>
          <w:rFonts w:hint="eastAsia" w:ascii="仿宋_GB2312" w:hAnsi="宋体" w:eastAsia="仿宋_GB2312"/>
          <w:sz w:val="32"/>
          <w:szCs w:val="32"/>
          <w:lang w:val="en-US" w:eastAsia="zh-CN"/>
        </w:rPr>
        <w:t>0</w:t>
      </w:r>
      <w:r>
        <w:rPr>
          <w:rFonts w:hint="eastAsia" w:ascii="FangSong_GB2312" w:hAnsi="FangSong_GB2312" w:eastAsia="FangSong_GB2312"/>
          <w:sz w:val="32"/>
        </w:rPr>
        <w:t>万元；</w:t>
      </w:r>
    </w:p>
    <w:p>
      <w:pPr>
        <w:spacing w:beforeLines="0" w:afterLines="0"/>
        <w:ind w:firstLine="640" w:firstLineChars="200"/>
        <w:jc w:val="left"/>
        <w:rPr>
          <w:rFonts w:hint="eastAsia" w:ascii="FangSong_GB2312" w:hAnsi="FangSong_GB2312" w:eastAsia="FangSong_GB2312"/>
          <w:sz w:val="32"/>
        </w:rPr>
      </w:pPr>
      <w:r>
        <w:rPr>
          <w:rFonts w:hint="eastAsia" w:ascii="FangSong_GB2312" w:hAnsi="FangSong_GB2312" w:eastAsia="FangSong_GB2312"/>
          <w:sz w:val="32"/>
        </w:rPr>
        <w:t>4.财政专户管理资金收入</w:t>
      </w:r>
      <w:r>
        <w:rPr>
          <w:rFonts w:hint="eastAsia" w:ascii="仿宋_GB2312" w:hAnsi="宋体" w:eastAsia="仿宋_GB2312"/>
          <w:sz w:val="32"/>
          <w:szCs w:val="32"/>
          <w:lang w:val="en-US" w:eastAsia="zh-CN"/>
        </w:rPr>
        <w:t>0</w:t>
      </w:r>
      <w:r>
        <w:rPr>
          <w:rFonts w:hint="eastAsia" w:ascii="FangSong_GB2312" w:hAnsi="FangSong_GB2312" w:eastAsia="FangSong_GB2312"/>
          <w:sz w:val="32"/>
        </w:rPr>
        <w:t>万元；</w:t>
      </w:r>
    </w:p>
    <w:p>
      <w:pPr>
        <w:spacing w:beforeLines="0" w:afterLines="0"/>
        <w:ind w:firstLine="640" w:firstLineChars="200"/>
        <w:jc w:val="left"/>
        <w:rPr>
          <w:rFonts w:hint="eastAsia" w:ascii="FangSong_GB2312" w:hAnsi="FangSong_GB2312" w:eastAsia="FangSong_GB2312"/>
          <w:sz w:val="32"/>
        </w:rPr>
      </w:pPr>
      <w:r>
        <w:rPr>
          <w:rFonts w:hint="eastAsia" w:ascii="FangSong_GB2312" w:hAnsi="FangSong_GB2312" w:eastAsia="FangSong_GB2312"/>
          <w:sz w:val="32"/>
        </w:rPr>
        <w:t>5.单位资金收入</w:t>
      </w:r>
      <w:r>
        <w:rPr>
          <w:rFonts w:hint="eastAsia" w:ascii="仿宋_GB2312" w:hAnsi="宋体" w:eastAsia="仿宋_GB2312"/>
          <w:sz w:val="32"/>
          <w:szCs w:val="32"/>
          <w:lang w:val="en-US" w:eastAsia="zh-CN"/>
        </w:rPr>
        <w:t>0</w:t>
      </w:r>
      <w:r>
        <w:rPr>
          <w:rFonts w:hint="eastAsia" w:ascii="FangSong_GB2312" w:hAnsi="FangSong_GB2312" w:eastAsia="FangSong_GB2312"/>
          <w:sz w:val="32"/>
        </w:rPr>
        <w:t>万元，其中：事业收入</w:t>
      </w:r>
      <w:r>
        <w:rPr>
          <w:rFonts w:hint="eastAsia" w:ascii="仿宋_GB2312" w:hAnsi="宋体" w:eastAsia="仿宋_GB2312"/>
          <w:sz w:val="32"/>
          <w:szCs w:val="32"/>
          <w:lang w:val="en-US" w:eastAsia="zh-CN"/>
        </w:rPr>
        <w:t>0</w:t>
      </w:r>
      <w:r>
        <w:rPr>
          <w:rFonts w:hint="eastAsia" w:ascii="FangSong_GB2312" w:hAnsi="FangSong_GB2312" w:eastAsia="FangSong_GB2312"/>
          <w:sz w:val="32"/>
        </w:rPr>
        <w:t>万元，事业单位经营收入</w:t>
      </w:r>
      <w:r>
        <w:rPr>
          <w:rFonts w:hint="eastAsia" w:ascii="仿宋_GB2312" w:hAnsi="宋体" w:eastAsia="仿宋_GB2312"/>
          <w:sz w:val="32"/>
          <w:szCs w:val="32"/>
          <w:lang w:val="en-US" w:eastAsia="zh-CN"/>
        </w:rPr>
        <w:t>0</w:t>
      </w:r>
      <w:r>
        <w:rPr>
          <w:rFonts w:hint="eastAsia" w:ascii="FangSong_GB2312" w:hAnsi="FangSong_GB2312" w:eastAsia="FangSong_GB2312"/>
          <w:sz w:val="32"/>
        </w:rPr>
        <w:t>万元，上级补助收入</w:t>
      </w:r>
      <w:r>
        <w:rPr>
          <w:rFonts w:hint="eastAsia" w:ascii="仿宋_GB2312" w:hAnsi="宋体" w:eastAsia="仿宋_GB2312"/>
          <w:sz w:val="32"/>
          <w:szCs w:val="32"/>
          <w:lang w:val="en-US" w:eastAsia="zh-CN"/>
        </w:rPr>
        <w:t>0</w:t>
      </w:r>
      <w:r>
        <w:rPr>
          <w:rFonts w:hint="eastAsia" w:ascii="FangSong_GB2312" w:hAnsi="FangSong_GB2312" w:eastAsia="FangSong_GB2312"/>
          <w:sz w:val="32"/>
        </w:rPr>
        <w:t>万元，附属单位上缴收入</w:t>
      </w:r>
      <w:r>
        <w:rPr>
          <w:rFonts w:hint="eastAsia" w:ascii="仿宋_GB2312" w:hAnsi="宋体" w:eastAsia="仿宋_GB2312"/>
          <w:sz w:val="32"/>
          <w:szCs w:val="32"/>
          <w:lang w:val="en-US" w:eastAsia="zh-CN"/>
        </w:rPr>
        <w:t>0</w:t>
      </w:r>
      <w:r>
        <w:rPr>
          <w:rFonts w:hint="eastAsia" w:ascii="FangSong_GB2312" w:hAnsi="FangSong_GB2312" w:eastAsia="FangSong_GB2312"/>
          <w:sz w:val="32"/>
        </w:rPr>
        <w:t>万元，其他收入</w:t>
      </w:r>
      <w:r>
        <w:rPr>
          <w:rFonts w:hint="eastAsia" w:ascii="仿宋_GB2312" w:hAnsi="宋体" w:eastAsia="仿宋_GB2312"/>
          <w:sz w:val="32"/>
          <w:szCs w:val="32"/>
          <w:lang w:val="en-US" w:eastAsia="zh-CN"/>
        </w:rPr>
        <w:t>0</w:t>
      </w:r>
      <w:r>
        <w:rPr>
          <w:rFonts w:hint="eastAsia" w:ascii="FangSong_GB2312" w:hAnsi="FangSong_GB2312" w:eastAsia="FangSong_GB2312"/>
          <w:sz w:val="32"/>
        </w:rPr>
        <w:t>万元；</w:t>
      </w:r>
    </w:p>
    <w:p>
      <w:pPr>
        <w:spacing w:beforeLines="0" w:afterLines="0"/>
        <w:ind w:firstLine="640" w:firstLineChars="200"/>
        <w:jc w:val="left"/>
        <w:rPr>
          <w:rFonts w:hint="eastAsia" w:ascii="FangSong_GB2312" w:hAnsi="FangSong_GB2312" w:eastAsia="FangSong_GB2312"/>
          <w:sz w:val="32"/>
        </w:rPr>
      </w:pPr>
      <w:r>
        <w:rPr>
          <w:rFonts w:hint="eastAsia" w:ascii="FangSong_GB2312" w:hAnsi="FangSong_GB2312" w:eastAsia="FangSong_GB2312"/>
          <w:sz w:val="32"/>
        </w:rPr>
        <w:t>6.上年结转结余</w:t>
      </w:r>
      <w:r>
        <w:rPr>
          <w:rFonts w:hint="eastAsia" w:ascii="仿宋_GB2312" w:hAnsi="宋体" w:eastAsia="仿宋_GB2312"/>
          <w:sz w:val="32"/>
          <w:szCs w:val="32"/>
          <w:lang w:val="en-US" w:eastAsia="zh-CN"/>
        </w:rPr>
        <w:t>0</w:t>
      </w:r>
      <w:r>
        <w:rPr>
          <w:rFonts w:hint="eastAsia" w:ascii="FangSong_GB2312" w:hAnsi="FangSong_GB2312" w:eastAsia="FangSong_GB2312"/>
          <w:sz w:val="32"/>
        </w:rPr>
        <w:t>万元，其中上年财政专户管理资金</w:t>
      </w:r>
    </w:p>
    <w:p>
      <w:pPr>
        <w:spacing w:beforeLines="0" w:afterLines="0"/>
        <w:jc w:val="left"/>
        <w:rPr>
          <w:rFonts w:hint="eastAsia" w:ascii="FangSong_GB2312" w:hAnsi="FangSong_GB2312" w:eastAsia="FangSong_GB2312"/>
          <w:sz w:val="32"/>
        </w:rPr>
      </w:pPr>
      <w:r>
        <w:rPr>
          <w:rFonts w:hint="eastAsia" w:ascii="FangSong_GB2312" w:hAnsi="FangSong_GB2312" w:eastAsia="FangSong_GB2312"/>
          <w:sz w:val="32"/>
        </w:rPr>
        <w:t>超收收入</w:t>
      </w:r>
      <w:r>
        <w:rPr>
          <w:rFonts w:hint="eastAsia" w:ascii="仿宋_GB2312" w:hAnsi="宋体" w:eastAsia="仿宋_GB2312"/>
          <w:sz w:val="32"/>
          <w:szCs w:val="32"/>
          <w:lang w:val="en-US" w:eastAsia="zh-CN"/>
        </w:rPr>
        <w:t>0</w:t>
      </w:r>
      <w:r>
        <w:rPr>
          <w:rFonts w:hint="eastAsia" w:ascii="FangSong_GB2312" w:hAnsi="FangSong_GB2312" w:eastAsia="FangSong_GB2312"/>
          <w:sz w:val="32"/>
        </w:rPr>
        <w:t>万元，政府性基金预算超收收入</w:t>
      </w:r>
      <w:r>
        <w:rPr>
          <w:rFonts w:hint="eastAsia" w:ascii="仿宋_GB2312" w:hAnsi="宋体" w:eastAsia="仿宋_GB2312"/>
          <w:sz w:val="32"/>
          <w:szCs w:val="32"/>
          <w:lang w:val="en-US" w:eastAsia="zh-CN"/>
        </w:rPr>
        <w:t>0</w:t>
      </w:r>
      <w:r>
        <w:rPr>
          <w:rFonts w:hint="eastAsia" w:ascii="FangSong_GB2312" w:hAnsi="FangSong_GB2312" w:eastAsia="FangSong_GB2312"/>
          <w:sz w:val="32"/>
        </w:rPr>
        <w:t>万元，单位资金超收收入</w:t>
      </w:r>
      <w:r>
        <w:rPr>
          <w:rFonts w:hint="eastAsia" w:ascii="仿宋_GB2312" w:hAnsi="宋体" w:eastAsia="仿宋_GB2312"/>
          <w:sz w:val="32"/>
          <w:szCs w:val="32"/>
          <w:lang w:val="en-US" w:eastAsia="zh-CN"/>
        </w:rPr>
        <w:t>0</w:t>
      </w:r>
      <w:r>
        <w:rPr>
          <w:rFonts w:hint="eastAsia" w:ascii="FangSong_GB2312" w:hAnsi="FangSong_GB2312" w:eastAsia="FangSong_GB2312"/>
          <w:sz w:val="32"/>
        </w:rPr>
        <w:t>万元。</w:t>
      </w:r>
    </w:p>
    <w:p>
      <w:pPr>
        <w:spacing w:beforeLines="0" w:afterLines="0"/>
        <w:ind w:firstLine="640" w:firstLineChars="200"/>
        <w:jc w:val="left"/>
        <w:rPr>
          <w:rFonts w:hint="eastAsia" w:ascii="FangSong_GB2312" w:hAnsi="FangSong_GB2312" w:eastAsia="FangSong_GB2312"/>
          <w:sz w:val="32"/>
        </w:rPr>
      </w:pPr>
      <w:r>
        <w:rPr>
          <w:rFonts w:hint="eastAsia" w:ascii="楷体" w:hAnsi="楷体" w:eastAsia="楷体"/>
          <w:sz w:val="32"/>
        </w:rPr>
        <w:t>（二）支出预算</w:t>
      </w:r>
      <w:r>
        <w:rPr>
          <w:rFonts w:hint="eastAsia" w:ascii="仿宋_GB2312" w:hAnsi="宋体" w:eastAsia="仿宋_GB2312"/>
          <w:sz w:val="32"/>
          <w:szCs w:val="32"/>
          <w:lang w:val="en-US" w:eastAsia="zh-CN"/>
        </w:rPr>
        <w:t>1370.43</w:t>
      </w:r>
      <w:r>
        <w:rPr>
          <w:rFonts w:hint="eastAsia" w:ascii="楷体" w:hAnsi="楷体" w:eastAsia="楷体"/>
          <w:sz w:val="32"/>
        </w:rPr>
        <w:t>万元，</w:t>
      </w:r>
      <w:r>
        <w:rPr>
          <w:rFonts w:hint="eastAsia" w:ascii="FangSong_GB2312" w:hAnsi="FangSong_GB2312" w:eastAsia="FangSong_GB2312"/>
          <w:sz w:val="32"/>
        </w:rPr>
        <w:t>其中：</w:t>
      </w:r>
    </w:p>
    <w:p>
      <w:pPr>
        <w:spacing w:beforeLines="0" w:afterLines="0"/>
        <w:ind w:firstLine="640" w:firstLineChars="200"/>
        <w:jc w:val="left"/>
        <w:rPr>
          <w:rFonts w:hint="eastAsia" w:ascii="FangSong_GB2312" w:hAnsi="FangSong_GB2312" w:eastAsia="FangSong_GB2312"/>
          <w:sz w:val="32"/>
        </w:rPr>
      </w:pPr>
      <w:r>
        <w:rPr>
          <w:rFonts w:hint="eastAsia" w:ascii="FangSong_GB2312" w:hAnsi="FangSong_GB2312" w:eastAsia="FangSong_GB2312"/>
          <w:sz w:val="32"/>
        </w:rPr>
        <w:t>1.基本支出</w:t>
      </w:r>
      <w:r>
        <w:rPr>
          <w:rFonts w:hint="eastAsia" w:ascii="仿宋_GB2312" w:hAnsi="宋体" w:eastAsia="仿宋_GB2312"/>
          <w:sz w:val="32"/>
          <w:szCs w:val="32"/>
          <w:lang w:val="en-US" w:eastAsia="zh-CN"/>
        </w:rPr>
        <w:t>840.71</w:t>
      </w:r>
      <w:r>
        <w:rPr>
          <w:rFonts w:hint="eastAsia" w:ascii="FangSong_GB2312" w:hAnsi="FangSong_GB2312" w:eastAsia="FangSong_GB2312"/>
          <w:sz w:val="32"/>
        </w:rPr>
        <w:t>万元；</w:t>
      </w:r>
    </w:p>
    <w:p>
      <w:pPr>
        <w:spacing w:beforeLines="0" w:afterLines="0"/>
        <w:ind w:firstLine="640" w:firstLineChars="200"/>
        <w:jc w:val="left"/>
        <w:rPr>
          <w:rFonts w:hint="eastAsia" w:ascii="FangSong_GB2312" w:hAnsi="FangSong_GB2312" w:eastAsia="FangSong_GB2312"/>
          <w:sz w:val="32"/>
        </w:rPr>
      </w:pPr>
      <w:r>
        <w:rPr>
          <w:rFonts w:hint="eastAsia" w:ascii="FangSong_GB2312" w:hAnsi="FangSong_GB2312" w:eastAsia="FangSong_GB2312"/>
          <w:sz w:val="32"/>
        </w:rPr>
        <w:t>2.项目支出</w:t>
      </w:r>
      <w:r>
        <w:rPr>
          <w:rFonts w:hint="eastAsia" w:ascii="仿宋_GB2312" w:hAnsi="宋体" w:eastAsia="仿宋_GB2312"/>
          <w:sz w:val="32"/>
          <w:szCs w:val="32"/>
          <w:lang w:val="en-US" w:eastAsia="zh-CN"/>
        </w:rPr>
        <w:t>529.72</w:t>
      </w:r>
      <w:r>
        <w:rPr>
          <w:rFonts w:hint="eastAsia" w:ascii="FangSong_GB2312" w:hAnsi="FangSong_GB2312" w:eastAsia="FangSong_GB2312"/>
          <w:sz w:val="32"/>
        </w:rPr>
        <w:t>万元。</w:t>
      </w:r>
    </w:p>
    <w:p>
      <w:pPr>
        <w:spacing w:beforeLines="0" w:afterLines="0"/>
        <w:ind w:firstLine="640" w:firstLineChars="200"/>
        <w:jc w:val="left"/>
        <w:rPr>
          <w:rFonts w:hint="default"/>
          <w:lang w:val="en-US" w:eastAsia="zh-CN"/>
        </w:rPr>
      </w:pPr>
      <w:r>
        <w:rPr>
          <w:rFonts w:hint="eastAsia" w:ascii="FangSong_GB2312" w:hAnsi="FangSong_GB2312" w:eastAsia="FangSong_GB2312"/>
          <w:sz w:val="32"/>
        </w:rPr>
        <w:t>在支出预算中债务支出</w:t>
      </w:r>
      <w:r>
        <w:rPr>
          <w:rFonts w:hint="eastAsia" w:ascii="仿宋_GB2312" w:hAnsi="宋体" w:eastAsia="仿宋_GB2312"/>
          <w:sz w:val="32"/>
          <w:szCs w:val="32"/>
          <w:lang w:val="en-US" w:eastAsia="zh-CN"/>
        </w:rPr>
        <w:t>0</w:t>
      </w:r>
      <w:r>
        <w:rPr>
          <w:rFonts w:hint="eastAsia" w:ascii="FangSong_GB2312" w:hAnsi="FangSong_GB2312" w:eastAsia="FangSong_GB2312"/>
          <w:sz w:val="32"/>
        </w:rPr>
        <w:t>万元； 政府采购支出</w:t>
      </w:r>
      <w:r>
        <w:rPr>
          <w:rFonts w:hint="eastAsia" w:ascii="仿宋_GB2312" w:hAnsi="宋体" w:eastAsia="仿宋_GB2312"/>
          <w:sz w:val="32"/>
          <w:szCs w:val="32"/>
          <w:lang w:val="en-US" w:eastAsia="zh-CN"/>
        </w:rPr>
        <w:t>0</w:t>
      </w:r>
      <w:r>
        <w:rPr>
          <w:rFonts w:hint="eastAsia" w:ascii="FangSong_GB2312" w:hAnsi="FangSong_GB2312" w:eastAsia="FangSong_GB2312"/>
          <w:sz w:val="32"/>
        </w:rPr>
        <w:t>万元；政府购买服务支出</w:t>
      </w:r>
      <w:r>
        <w:rPr>
          <w:rFonts w:hint="eastAsia" w:ascii="仿宋_GB2312" w:hAnsi="宋体" w:eastAsia="仿宋_GB2312"/>
          <w:sz w:val="32"/>
          <w:szCs w:val="32"/>
          <w:lang w:val="en-US" w:eastAsia="zh-CN"/>
        </w:rPr>
        <w:t>0</w:t>
      </w:r>
      <w:r>
        <w:rPr>
          <w:rFonts w:hint="eastAsia" w:ascii="FangSong_GB2312" w:hAnsi="FangSong_GB2312" w:eastAsia="FangSong_GB2312"/>
          <w:sz w:val="32"/>
        </w:rPr>
        <w:t>万元；纳入预算绩效管理的特定目标类和其他运转类项目共</w:t>
      </w:r>
      <w:r>
        <w:rPr>
          <w:rFonts w:hint="eastAsia" w:ascii="FangSong_GB2312" w:hAnsi="FangSong_GB2312" w:eastAsia="FangSong_GB2312"/>
          <w:sz w:val="32"/>
          <w:lang w:val="en-US" w:eastAsia="zh-CN"/>
        </w:rPr>
        <w:t>11</w:t>
      </w:r>
      <w:r>
        <w:rPr>
          <w:rFonts w:hint="eastAsia" w:ascii="FangSong_GB2312" w:hAnsi="FangSong_GB2312" w:eastAsia="FangSong_GB2312"/>
          <w:sz w:val="32"/>
        </w:rPr>
        <w:t>个，涉及资金</w:t>
      </w:r>
      <w:r>
        <w:rPr>
          <w:rFonts w:hint="eastAsia" w:ascii="仿宋_GB2312" w:hAnsi="宋体" w:eastAsia="仿宋_GB2312"/>
          <w:sz w:val="32"/>
          <w:szCs w:val="32"/>
          <w:lang w:val="en-US" w:eastAsia="zh-CN"/>
        </w:rPr>
        <w:t>529.72</w:t>
      </w:r>
      <w:r>
        <w:rPr>
          <w:rFonts w:hint="eastAsia" w:ascii="FangSong_GB2312" w:hAnsi="FangSong_GB2312" w:eastAsia="FangSong_GB2312"/>
          <w:sz w:val="32"/>
        </w:rPr>
        <w:t>万元。</w:t>
      </w:r>
    </w:p>
    <w:p>
      <w:pPr>
        <w:spacing w:line="560" w:lineRule="exact"/>
        <w:ind w:firstLine="660"/>
        <w:rPr>
          <w:rFonts w:ascii="黑体" w:hAnsi="黑体" w:eastAsia="黑体"/>
          <w:sz w:val="32"/>
          <w:highlight w:val="none"/>
        </w:rPr>
      </w:pPr>
      <w:r>
        <w:rPr>
          <w:rFonts w:hint="eastAsia" w:ascii="黑体" w:hAnsi="黑体" w:eastAsia="黑体"/>
          <w:sz w:val="32"/>
          <w:highlight w:val="none"/>
        </w:rPr>
        <w:t>二、关于沈阳市</w:t>
      </w:r>
      <w:r>
        <w:rPr>
          <w:rFonts w:hint="eastAsia" w:ascii="黑体" w:hAnsi="黑体" w:eastAsia="黑体"/>
          <w:sz w:val="32"/>
          <w:highlight w:val="none"/>
          <w:lang w:eastAsia="zh-CN"/>
        </w:rPr>
        <w:t>浑南区文化旅游和广播电视局</w:t>
      </w:r>
      <w:r>
        <w:rPr>
          <w:rFonts w:hint="eastAsia" w:ascii="黑体" w:hAnsi="黑体" w:eastAsia="黑体"/>
          <w:sz w:val="32"/>
          <w:highlight w:val="none"/>
          <w:lang w:val="en-US" w:eastAsia="zh-CN"/>
        </w:rPr>
        <w:t>2025年</w:t>
      </w:r>
      <w:r>
        <w:rPr>
          <w:rFonts w:hint="eastAsia" w:ascii="黑体" w:hAnsi="黑体" w:eastAsia="黑体"/>
          <w:sz w:val="32"/>
          <w:highlight w:val="none"/>
        </w:rPr>
        <w:t>“三公”经费预算情况说明</w:t>
      </w:r>
    </w:p>
    <w:p>
      <w:pPr>
        <w:ind w:firstLine="640" w:firstLineChars="200"/>
        <w:rPr>
          <w:rFonts w:hint="default" w:ascii="仿宋_GB2312" w:hAnsi="宋体" w:eastAsia="仿宋_GB2312"/>
          <w:color w:val="auto"/>
          <w:sz w:val="32"/>
          <w:szCs w:val="32"/>
          <w:lang w:val="en-US"/>
        </w:rPr>
      </w:pPr>
      <w:r>
        <w:rPr>
          <w:rFonts w:hint="eastAsia" w:ascii="仿宋_GB2312" w:hAnsi="宋体" w:eastAsia="仿宋_GB2312"/>
          <w:sz w:val="32"/>
          <w:szCs w:val="32"/>
          <w:lang w:val="en-US" w:eastAsia="zh-CN"/>
        </w:rPr>
        <w:t>2025</w:t>
      </w:r>
      <w:r>
        <w:rPr>
          <w:rFonts w:hint="eastAsia" w:ascii="仿宋_GB2312" w:hAnsi="宋体" w:eastAsia="仿宋_GB2312"/>
          <w:sz w:val="32"/>
          <w:szCs w:val="32"/>
        </w:rPr>
        <w:t>年</w:t>
      </w:r>
      <w:r>
        <w:rPr>
          <w:rFonts w:hint="eastAsia" w:ascii="仿宋_GB2312" w:hAnsi="宋体" w:eastAsia="仿宋_GB2312"/>
          <w:sz w:val="32"/>
          <w:szCs w:val="32"/>
          <w:lang w:val="en-US" w:eastAsia="zh-CN"/>
        </w:rPr>
        <w:t>度</w:t>
      </w:r>
      <w:r>
        <w:rPr>
          <w:rFonts w:hint="eastAsia" w:ascii="仿宋_GB2312" w:hAnsi="黑体" w:eastAsia="仿宋_GB2312"/>
          <w:sz w:val="32"/>
          <w:szCs w:val="32"/>
          <w:lang w:val="en-US" w:eastAsia="zh-CN"/>
        </w:rPr>
        <w:t>财政拨款预算</w:t>
      </w:r>
      <w:r>
        <w:rPr>
          <w:rFonts w:hint="eastAsia" w:ascii="仿宋_GB2312" w:hAnsi="宋体" w:eastAsia="仿宋_GB2312"/>
          <w:sz w:val="32"/>
          <w:szCs w:val="32"/>
        </w:rPr>
        <w:t>“三公”经费预算数</w:t>
      </w:r>
      <w:r>
        <w:rPr>
          <w:rFonts w:hint="eastAsia" w:ascii="仿宋_GB2312" w:hAnsi="宋体" w:eastAsia="仿宋_GB2312"/>
          <w:sz w:val="32"/>
          <w:szCs w:val="32"/>
          <w:lang w:val="en-US" w:eastAsia="zh-CN"/>
        </w:rPr>
        <w:t>0</w:t>
      </w:r>
      <w:r>
        <w:rPr>
          <w:rFonts w:hint="eastAsia" w:ascii="仿宋_GB2312" w:hAnsi="宋体" w:eastAsia="仿宋_GB2312"/>
          <w:sz w:val="32"/>
          <w:szCs w:val="32"/>
        </w:rPr>
        <w:t>万元，其中：因公出国（境）费</w:t>
      </w:r>
      <w:r>
        <w:rPr>
          <w:rFonts w:hint="eastAsia" w:ascii="仿宋_GB2312" w:hAnsi="宋体" w:eastAsia="仿宋_GB2312"/>
          <w:sz w:val="32"/>
          <w:szCs w:val="32"/>
          <w:lang w:val="en-US" w:eastAsia="zh-CN"/>
        </w:rPr>
        <w:t>0</w:t>
      </w:r>
      <w:r>
        <w:rPr>
          <w:rFonts w:hint="eastAsia" w:ascii="仿宋_GB2312" w:hAnsi="宋体" w:eastAsia="仿宋_GB2312"/>
          <w:sz w:val="32"/>
          <w:szCs w:val="32"/>
        </w:rPr>
        <w:t>万元；公务用车购置及运行费</w:t>
      </w:r>
      <w:r>
        <w:rPr>
          <w:rFonts w:hint="eastAsia" w:ascii="仿宋_GB2312" w:hAnsi="宋体" w:eastAsia="仿宋_GB2312"/>
          <w:sz w:val="32"/>
          <w:szCs w:val="32"/>
          <w:lang w:val="en-US" w:eastAsia="zh-CN"/>
        </w:rPr>
        <w:t>0</w:t>
      </w:r>
      <w:r>
        <w:rPr>
          <w:rFonts w:hint="eastAsia" w:ascii="仿宋_GB2312" w:hAnsi="宋体" w:eastAsia="仿宋_GB2312"/>
          <w:sz w:val="32"/>
          <w:szCs w:val="32"/>
        </w:rPr>
        <w:t>万元；公务接待费</w:t>
      </w:r>
      <w:r>
        <w:rPr>
          <w:rFonts w:hint="eastAsia" w:ascii="仿宋_GB2312" w:hAnsi="宋体" w:eastAsia="仿宋_GB2312"/>
          <w:sz w:val="32"/>
          <w:szCs w:val="32"/>
          <w:lang w:val="en-US" w:eastAsia="zh-CN"/>
        </w:rPr>
        <w:t>0</w:t>
      </w:r>
      <w:r>
        <w:rPr>
          <w:rFonts w:hint="eastAsia" w:ascii="仿宋_GB2312" w:hAnsi="宋体" w:eastAsia="仿宋_GB2312"/>
          <w:sz w:val="32"/>
          <w:szCs w:val="32"/>
        </w:rPr>
        <w:t>万元。</w:t>
      </w:r>
      <w:r>
        <w:rPr>
          <w:rFonts w:hint="eastAsia" w:ascii="仿宋_GB2312" w:hAnsi="宋体" w:eastAsia="仿宋_GB2312"/>
          <w:color w:val="auto"/>
          <w:sz w:val="32"/>
          <w:szCs w:val="32"/>
        </w:rPr>
        <w:t>20</w:t>
      </w:r>
      <w:r>
        <w:rPr>
          <w:rFonts w:hint="eastAsia" w:ascii="仿宋_GB2312" w:hAnsi="宋体" w:eastAsia="仿宋_GB2312"/>
          <w:color w:val="auto"/>
          <w:sz w:val="32"/>
          <w:szCs w:val="32"/>
          <w:lang w:val="en-US" w:eastAsia="zh-CN"/>
        </w:rPr>
        <w:t>25年</w:t>
      </w:r>
      <w:r>
        <w:rPr>
          <w:rFonts w:hint="eastAsia" w:ascii="仿宋_GB2312" w:hAnsi="宋体" w:eastAsia="仿宋_GB2312"/>
          <w:color w:val="auto"/>
          <w:sz w:val="32"/>
          <w:szCs w:val="32"/>
        </w:rPr>
        <w:t>预算</w:t>
      </w:r>
      <w:r>
        <w:rPr>
          <w:rFonts w:hint="eastAsia" w:ascii="仿宋_GB2312" w:hAnsi="宋体" w:eastAsia="仿宋_GB2312"/>
          <w:color w:val="auto"/>
          <w:sz w:val="32"/>
          <w:szCs w:val="32"/>
          <w:lang w:eastAsia="zh-CN"/>
        </w:rPr>
        <w:t>数与</w:t>
      </w:r>
      <w:r>
        <w:rPr>
          <w:rFonts w:hint="eastAsia" w:ascii="仿宋_GB2312" w:hAnsi="宋体" w:eastAsia="仿宋_GB2312"/>
          <w:color w:val="auto"/>
          <w:sz w:val="32"/>
          <w:szCs w:val="32"/>
          <w:lang w:val="en-US" w:eastAsia="zh-CN"/>
        </w:rPr>
        <w:t>2024年预算数相同</w:t>
      </w:r>
      <w:r>
        <w:rPr>
          <w:rFonts w:hint="default" w:ascii="仿宋_GB2312" w:hAnsi="宋体" w:eastAsia="仿宋_GB2312"/>
          <w:color w:val="auto"/>
          <w:sz w:val="32"/>
          <w:szCs w:val="32"/>
          <w:lang w:val="en-US"/>
        </w:rPr>
        <w:t>。</w:t>
      </w:r>
    </w:p>
    <w:p>
      <w:pPr>
        <w:ind w:firstLine="627" w:firstLineChars="196"/>
        <w:rPr>
          <w:rFonts w:hint="eastAsia" w:ascii="黑体" w:hAnsi="黑体" w:eastAsia="黑体"/>
          <w:sz w:val="32"/>
          <w:szCs w:val="32"/>
          <w:highlight w:val="none"/>
        </w:rPr>
      </w:pPr>
      <w:r>
        <w:rPr>
          <w:rFonts w:hint="eastAsia" w:ascii="黑体" w:hAnsi="黑体" w:eastAsia="黑体"/>
          <w:sz w:val="32"/>
          <w:szCs w:val="32"/>
          <w:highlight w:val="none"/>
        </w:rPr>
        <w:t>三、其他重要事项的情况说明</w:t>
      </w:r>
    </w:p>
    <w:p>
      <w:pPr>
        <w:ind w:firstLine="645"/>
        <w:rPr>
          <w:rFonts w:hint="eastAsia" w:ascii="楷体_GB2312" w:hAnsi="宋体" w:eastAsia="楷体_GB2312"/>
          <w:sz w:val="32"/>
          <w:szCs w:val="32"/>
          <w:highlight w:val="none"/>
        </w:rPr>
      </w:pPr>
      <w:r>
        <w:rPr>
          <w:rFonts w:hint="eastAsia" w:ascii="楷体_GB2312" w:hAnsi="宋体" w:eastAsia="楷体_GB2312"/>
          <w:sz w:val="32"/>
          <w:szCs w:val="32"/>
          <w:highlight w:val="none"/>
        </w:rPr>
        <w:t>（一）机关运行经费安排情况。</w:t>
      </w:r>
    </w:p>
    <w:p>
      <w:pPr>
        <w:ind w:firstLine="645"/>
        <w:rPr>
          <w:rFonts w:hint="eastAsia"/>
          <w:lang w:val="en-US" w:eastAsia="zh-CN"/>
        </w:rPr>
      </w:pPr>
      <w:r>
        <w:rPr>
          <w:rFonts w:hint="eastAsia" w:ascii="仿宋_GB2312" w:hAnsi="宋体" w:eastAsia="仿宋_GB2312"/>
          <w:sz w:val="32"/>
          <w:szCs w:val="32"/>
          <w:highlight w:val="none"/>
          <w:lang w:val="en-US" w:eastAsia="zh-CN"/>
        </w:rPr>
        <w:t>2025</w:t>
      </w:r>
      <w:r>
        <w:rPr>
          <w:rFonts w:hint="eastAsia" w:ascii="仿宋_GB2312" w:hAnsi="宋体" w:eastAsia="仿宋_GB2312"/>
          <w:sz w:val="32"/>
          <w:szCs w:val="32"/>
          <w:highlight w:val="none"/>
        </w:rPr>
        <w:t>年</w:t>
      </w:r>
      <w:r>
        <w:rPr>
          <w:rFonts w:hint="eastAsia" w:ascii="仿宋_GB2312" w:hAnsi="宋体" w:eastAsia="仿宋_GB2312"/>
          <w:sz w:val="32"/>
          <w:szCs w:val="32"/>
          <w:highlight w:val="none"/>
          <w:lang w:val="en-US" w:eastAsia="zh-CN"/>
        </w:rPr>
        <w:t>度</w:t>
      </w:r>
      <w:r>
        <w:rPr>
          <w:rFonts w:hint="eastAsia" w:ascii="仿宋_GB2312" w:hAnsi="宋体" w:eastAsia="仿宋_GB2312"/>
          <w:sz w:val="32"/>
          <w:szCs w:val="32"/>
          <w:highlight w:val="none"/>
        </w:rPr>
        <w:t>局本级机关运行经费财政拨款预算</w:t>
      </w:r>
      <w:r>
        <w:rPr>
          <w:rFonts w:hint="eastAsia" w:ascii="仿宋_GB2312" w:hAnsi="宋体" w:eastAsia="仿宋_GB2312"/>
          <w:sz w:val="32"/>
          <w:szCs w:val="32"/>
          <w:highlight w:val="none"/>
          <w:lang w:val="en-US" w:eastAsia="zh-CN"/>
        </w:rPr>
        <w:t>9.29</w:t>
      </w:r>
      <w:r>
        <w:rPr>
          <w:rFonts w:hint="eastAsia" w:ascii="仿宋_GB2312" w:hAnsi="宋体" w:eastAsia="仿宋_GB2312"/>
          <w:sz w:val="32"/>
          <w:szCs w:val="32"/>
          <w:highlight w:val="none"/>
        </w:rPr>
        <w:t>万元，比</w:t>
      </w:r>
      <w:r>
        <w:rPr>
          <w:rFonts w:hint="eastAsia" w:ascii="仿宋_GB2312" w:hAnsi="宋体" w:eastAsia="仿宋_GB2312"/>
          <w:sz w:val="32"/>
          <w:szCs w:val="32"/>
          <w:highlight w:val="none"/>
          <w:lang w:val="en-US" w:eastAsia="zh-CN"/>
        </w:rPr>
        <w:t>上一</w:t>
      </w:r>
      <w:r>
        <w:rPr>
          <w:rFonts w:hint="eastAsia" w:ascii="仿宋_GB2312" w:hAnsi="宋体" w:eastAsia="仿宋_GB2312"/>
          <w:sz w:val="32"/>
          <w:szCs w:val="32"/>
          <w:highlight w:val="none"/>
        </w:rPr>
        <w:t>年</w:t>
      </w:r>
      <w:r>
        <w:rPr>
          <w:rFonts w:hint="eastAsia" w:ascii="仿宋_GB2312" w:hAnsi="宋体" w:eastAsia="仿宋_GB2312"/>
          <w:sz w:val="32"/>
          <w:szCs w:val="32"/>
          <w:highlight w:val="none"/>
          <w:lang w:val="en-US" w:eastAsia="zh-CN"/>
        </w:rPr>
        <w:t>度</w:t>
      </w:r>
      <w:r>
        <w:rPr>
          <w:rFonts w:hint="eastAsia" w:ascii="仿宋_GB2312" w:hAnsi="宋体" w:eastAsia="仿宋_GB2312"/>
          <w:sz w:val="32"/>
          <w:szCs w:val="32"/>
          <w:highlight w:val="none"/>
        </w:rPr>
        <w:t>预算</w:t>
      </w:r>
      <w:r>
        <w:rPr>
          <w:rFonts w:hint="eastAsia" w:ascii="仿宋_GB2312" w:hAnsi="宋体" w:eastAsia="仿宋_GB2312"/>
          <w:sz w:val="32"/>
          <w:szCs w:val="32"/>
          <w:highlight w:val="none"/>
          <w:lang w:val="en-US" w:eastAsia="zh-CN"/>
        </w:rPr>
        <w:t>增加1.98</w:t>
      </w:r>
      <w:r>
        <w:rPr>
          <w:rFonts w:hint="eastAsia" w:ascii="仿宋_GB2312" w:hAnsi="宋体" w:eastAsia="仿宋_GB2312"/>
          <w:sz w:val="32"/>
          <w:szCs w:val="32"/>
          <w:highlight w:val="none"/>
        </w:rPr>
        <w:t>万元，</w:t>
      </w:r>
      <w:r>
        <w:rPr>
          <w:rFonts w:hint="eastAsia" w:ascii="仿宋_GB2312" w:hAnsi="宋体" w:eastAsia="仿宋_GB2312"/>
          <w:sz w:val="32"/>
          <w:szCs w:val="32"/>
          <w:highlight w:val="none"/>
          <w:lang w:val="en-US" w:eastAsia="zh-CN"/>
        </w:rPr>
        <w:t>上升27.09</w:t>
      </w:r>
      <w:r>
        <w:rPr>
          <w:rFonts w:hint="eastAsia" w:ascii="仿宋_GB2312" w:hAnsi="宋体" w:eastAsia="仿宋_GB2312"/>
          <w:sz w:val="32"/>
          <w:szCs w:val="32"/>
          <w:highlight w:val="none"/>
        </w:rPr>
        <w:t>%。</w:t>
      </w:r>
    </w:p>
    <w:p>
      <w:pPr>
        <w:ind w:firstLine="645"/>
        <w:rPr>
          <w:rFonts w:hint="eastAsia" w:ascii="仿宋_GB2312" w:hAnsi="宋体" w:eastAsia="仿宋_GB2312"/>
          <w:sz w:val="32"/>
          <w:szCs w:val="32"/>
          <w:highlight w:val="none"/>
        </w:rPr>
      </w:pPr>
      <w:r>
        <w:rPr>
          <w:rFonts w:hint="eastAsia" w:ascii="楷体_GB2312" w:hAnsi="宋体" w:eastAsia="楷体_GB2312"/>
          <w:sz w:val="32"/>
          <w:szCs w:val="32"/>
          <w:highlight w:val="none"/>
        </w:rPr>
        <w:t>（二）政府采购预算安排情况。</w:t>
      </w:r>
    </w:p>
    <w:p>
      <w:pPr>
        <w:ind w:firstLine="640" w:firstLineChars="200"/>
        <w:rPr>
          <w:rFonts w:hint="eastAsia"/>
        </w:rPr>
      </w:pPr>
      <w:r>
        <w:rPr>
          <w:rFonts w:hint="eastAsia" w:ascii="仿宋_GB2312" w:hAnsi="宋体" w:eastAsia="仿宋_GB2312"/>
          <w:sz w:val="32"/>
          <w:szCs w:val="32"/>
          <w:highlight w:val="none"/>
          <w:lang w:eastAsia="zh-CN"/>
        </w:rPr>
        <w:t>202</w:t>
      </w:r>
      <w:r>
        <w:rPr>
          <w:rFonts w:hint="eastAsia" w:ascii="仿宋_GB2312" w:hAnsi="宋体" w:eastAsia="仿宋_GB2312"/>
          <w:sz w:val="32"/>
          <w:szCs w:val="32"/>
          <w:highlight w:val="none"/>
          <w:lang w:val="en-US" w:eastAsia="zh-CN"/>
        </w:rPr>
        <w:t>5</w:t>
      </w:r>
      <w:r>
        <w:rPr>
          <w:rFonts w:hint="eastAsia" w:ascii="仿宋_GB2312" w:hAnsi="宋体" w:eastAsia="仿宋_GB2312"/>
          <w:sz w:val="32"/>
          <w:szCs w:val="32"/>
          <w:highlight w:val="none"/>
          <w:lang w:eastAsia="zh-CN"/>
        </w:rPr>
        <w:t>年</w:t>
      </w:r>
      <w:r>
        <w:rPr>
          <w:rFonts w:hint="eastAsia" w:ascii="仿宋_GB2312" w:hAnsi="宋体" w:eastAsia="仿宋_GB2312"/>
          <w:sz w:val="32"/>
          <w:szCs w:val="32"/>
          <w:highlight w:val="none"/>
        </w:rPr>
        <w:t>沈阳市</w:t>
      </w:r>
      <w:r>
        <w:rPr>
          <w:rFonts w:hint="eastAsia" w:ascii="仿宋_GB2312" w:hAnsi="宋体" w:eastAsia="仿宋_GB2312"/>
          <w:sz w:val="32"/>
          <w:szCs w:val="32"/>
          <w:highlight w:val="none"/>
          <w:lang w:eastAsia="zh-CN"/>
        </w:rPr>
        <w:t>浑南区文化旅游和广播电视局</w:t>
      </w:r>
      <w:r>
        <w:rPr>
          <w:rFonts w:hint="eastAsia" w:ascii="仿宋_GB2312" w:hAnsi="宋体" w:eastAsia="仿宋_GB2312"/>
          <w:sz w:val="32"/>
          <w:szCs w:val="32"/>
        </w:rPr>
        <w:t>各单位政府采购预算总额</w:t>
      </w:r>
      <w:r>
        <w:rPr>
          <w:rFonts w:hint="eastAsia" w:ascii="仿宋_GB2312" w:hAnsi="宋体" w:eastAsia="仿宋_GB2312"/>
          <w:sz w:val="32"/>
          <w:szCs w:val="32"/>
          <w:lang w:val="en-US" w:eastAsia="zh-CN"/>
        </w:rPr>
        <w:t>0</w:t>
      </w:r>
      <w:r>
        <w:rPr>
          <w:rFonts w:hint="eastAsia" w:ascii="仿宋_GB2312" w:hAnsi="宋体" w:eastAsia="仿宋_GB2312"/>
          <w:sz w:val="32"/>
          <w:szCs w:val="32"/>
        </w:rPr>
        <w:t>万元，其中：政府采购货物预算</w:t>
      </w:r>
      <w:r>
        <w:rPr>
          <w:rFonts w:hint="eastAsia" w:ascii="仿宋_GB2312" w:hAnsi="宋体" w:eastAsia="仿宋_GB2312"/>
          <w:sz w:val="32"/>
          <w:szCs w:val="32"/>
          <w:lang w:val="en-US" w:eastAsia="zh-CN"/>
        </w:rPr>
        <w:t>0</w:t>
      </w:r>
      <w:r>
        <w:rPr>
          <w:rFonts w:hint="eastAsia" w:ascii="仿宋_GB2312" w:hAnsi="宋体" w:eastAsia="仿宋_GB2312"/>
          <w:sz w:val="32"/>
          <w:szCs w:val="32"/>
        </w:rPr>
        <w:t>万元、政府采购工程预算</w:t>
      </w:r>
      <w:r>
        <w:rPr>
          <w:rFonts w:hint="eastAsia" w:ascii="仿宋_GB2312" w:hAnsi="宋体" w:eastAsia="仿宋_GB2312"/>
          <w:sz w:val="32"/>
          <w:szCs w:val="32"/>
          <w:lang w:val="en-US" w:eastAsia="zh-CN"/>
        </w:rPr>
        <w:t>0</w:t>
      </w:r>
      <w:r>
        <w:rPr>
          <w:rFonts w:hint="eastAsia" w:ascii="仿宋_GB2312" w:hAnsi="宋体" w:eastAsia="仿宋_GB2312"/>
          <w:sz w:val="32"/>
          <w:szCs w:val="32"/>
        </w:rPr>
        <w:t>万元、政府采购服务预算</w:t>
      </w:r>
      <w:r>
        <w:rPr>
          <w:rFonts w:hint="eastAsia" w:ascii="仿宋_GB2312" w:hAnsi="宋体" w:eastAsia="仿宋_GB2312"/>
          <w:sz w:val="32"/>
          <w:szCs w:val="32"/>
          <w:lang w:val="en-US" w:eastAsia="zh-CN"/>
        </w:rPr>
        <w:t>0</w:t>
      </w:r>
      <w:r>
        <w:rPr>
          <w:rFonts w:hint="eastAsia" w:ascii="仿宋_GB2312" w:hAnsi="宋体" w:eastAsia="仿宋_GB2312"/>
          <w:sz w:val="32"/>
          <w:szCs w:val="32"/>
        </w:rPr>
        <w:t>万元。</w:t>
      </w:r>
    </w:p>
    <w:p>
      <w:pPr>
        <w:ind w:firstLine="645"/>
        <w:rPr>
          <w:rFonts w:hint="eastAsia" w:ascii="仿宋_GB2312" w:hAnsi="宋体" w:eastAsia="仿宋_GB2312"/>
          <w:sz w:val="32"/>
          <w:szCs w:val="32"/>
          <w:highlight w:val="none"/>
        </w:rPr>
      </w:pPr>
      <w:r>
        <w:rPr>
          <w:rFonts w:hint="eastAsia" w:ascii="楷体_GB2312" w:hAnsi="宋体" w:eastAsia="楷体_GB2312"/>
          <w:sz w:val="32"/>
          <w:szCs w:val="32"/>
          <w:highlight w:val="none"/>
        </w:rPr>
        <w:t>（三）国有资产占有使用情况。</w:t>
      </w:r>
    </w:p>
    <w:p>
      <w:pPr>
        <w:spacing w:beforeLines="0" w:afterLines="0"/>
        <w:ind w:firstLine="640" w:firstLineChars="200"/>
        <w:jc w:val="left"/>
        <w:rPr>
          <w:rFonts w:hint="eastAsia" w:ascii="FangSong_GB2312" w:hAnsi="FangSong_GB2312" w:eastAsia="FangSong_GB2312"/>
          <w:sz w:val="32"/>
        </w:rPr>
      </w:pPr>
      <w:r>
        <w:rPr>
          <w:rFonts w:hint="eastAsia" w:ascii="仿宋_GB2312" w:hAnsi="宋体" w:eastAsia="仿宋_GB2312"/>
          <w:sz w:val="32"/>
          <w:szCs w:val="32"/>
        </w:rPr>
        <w:t>截至</w:t>
      </w:r>
      <w:r>
        <w:rPr>
          <w:rFonts w:hint="eastAsia" w:ascii="仿宋_GB2312" w:hAnsi="宋体" w:eastAsia="仿宋_GB2312"/>
          <w:sz w:val="32"/>
          <w:szCs w:val="32"/>
          <w:lang w:val="en-US" w:eastAsia="zh-CN"/>
        </w:rPr>
        <w:t>2024</w:t>
      </w:r>
      <w:r>
        <w:rPr>
          <w:rFonts w:hint="eastAsia" w:ascii="仿宋_GB2312" w:hAnsi="宋体" w:eastAsia="仿宋_GB2312"/>
          <w:sz w:val="32"/>
          <w:szCs w:val="32"/>
        </w:rPr>
        <w:t>年</w:t>
      </w:r>
      <w:r>
        <w:rPr>
          <w:rFonts w:hint="eastAsia" w:ascii="仿宋_GB2312" w:hAnsi="宋体" w:eastAsia="仿宋_GB2312"/>
          <w:sz w:val="32"/>
          <w:szCs w:val="32"/>
          <w:highlight w:val="none"/>
          <w:lang w:val="en-US" w:eastAsia="zh-CN"/>
        </w:rPr>
        <w:t>12</w:t>
      </w:r>
      <w:r>
        <w:rPr>
          <w:rFonts w:hint="eastAsia" w:ascii="仿宋_GB2312" w:hAnsi="宋体" w:eastAsia="仿宋_GB2312"/>
          <w:sz w:val="32"/>
          <w:szCs w:val="32"/>
          <w:highlight w:val="none"/>
        </w:rPr>
        <w:t>月</w:t>
      </w:r>
      <w:r>
        <w:rPr>
          <w:rFonts w:hint="eastAsia" w:ascii="仿宋_GB2312" w:hAnsi="宋体" w:eastAsia="仿宋_GB2312"/>
          <w:sz w:val="32"/>
          <w:szCs w:val="32"/>
          <w:highlight w:val="none"/>
          <w:lang w:val="en-US" w:eastAsia="zh-CN"/>
        </w:rPr>
        <w:t>31</w:t>
      </w:r>
      <w:r>
        <w:rPr>
          <w:rFonts w:hint="eastAsia" w:ascii="仿宋_GB2312" w:hAnsi="宋体" w:eastAsia="仿宋_GB2312"/>
          <w:sz w:val="32"/>
          <w:szCs w:val="32"/>
          <w:highlight w:val="none"/>
        </w:rPr>
        <w:t>日</w:t>
      </w:r>
      <w:r>
        <w:rPr>
          <w:rFonts w:hint="eastAsia" w:ascii="仿宋_GB2312" w:hAnsi="宋体" w:eastAsia="仿宋_GB2312"/>
          <w:sz w:val="32"/>
          <w:szCs w:val="32"/>
        </w:rPr>
        <w:t>，</w:t>
      </w:r>
      <w:r>
        <w:rPr>
          <w:rFonts w:hint="eastAsia" w:ascii="仿宋_GB2312" w:hAnsi="宋体" w:eastAsia="仿宋_GB2312"/>
          <w:sz w:val="32"/>
          <w:szCs w:val="32"/>
          <w:highlight w:val="none"/>
          <w:lang w:eastAsia="zh-CN"/>
        </w:rPr>
        <w:t>沈阳市浑南区文化旅游和广播电视局</w:t>
      </w:r>
      <w:r>
        <w:rPr>
          <w:rFonts w:hint="eastAsia" w:ascii="仿宋_GB2312" w:hAnsi="宋体" w:eastAsia="仿宋_GB2312"/>
          <w:sz w:val="32"/>
          <w:szCs w:val="32"/>
        </w:rPr>
        <w:t>所属各预算单位共有车辆</w:t>
      </w:r>
      <w:r>
        <w:rPr>
          <w:rFonts w:hint="eastAsia" w:ascii="仿宋_GB2312" w:hAnsi="宋体" w:eastAsia="仿宋_GB2312"/>
          <w:sz w:val="32"/>
          <w:szCs w:val="32"/>
          <w:lang w:val="en-US" w:eastAsia="zh-CN"/>
        </w:rPr>
        <w:t>0</w:t>
      </w:r>
      <w:r>
        <w:rPr>
          <w:rFonts w:hint="eastAsia" w:ascii="仿宋_GB2312" w:hAnsi="宋体" w:eastAsia="仿宋_GB2312"/>
          <w:sz w:val="32"/>
          <w:szCs w:val="32"/>
        </w:rPr>
        <w:t>辆，其中：省部级领导干部用车</w:t>
      </w:r>
      <w:r>
        <w:rPr>
          <w:rFonts w:hint="eastAsia" w:ascii="仿宋_GB2312" w:hAnsi="宋体" w:eastAsia="仿宋_GB2312"/>
          <w:sz w:val="32"/>
          <w:szCs w:val="32"/>
          <w:lang w:val="en-US" w:eastAsia="zh-CN"/>
        </w:rPr>
        <w:t>0</w:t>
      </w:r>
      <w:r>
        <w:rPr>
          <w:rFonts w:hint="eastAsia" w:ascii="仿宋_GB2312" w:hAnsi="宋体" w:eastAsia="仿宋_GB2312"/>
          <w:sz w:val="32"/>
          <w:szCs w:val="32"/>
        </w:rPr>
        <w:t>辆、一般公务用车</w:t>
      </w:r>
      <w:r>
        <w:rPr>
          <w:rFonts w:hint="eastAsia" w:ascii="仿宋_GB2312" w:hAnsi="宋体" w:eastAsia="仿宋_GB2312"/>
          <w:sz w:val="32"/>
          <w:szCs w:val="32"/>
          <w:lang w:val="en-US" w:eastAsia="zh-CN"/>
        </w:rPr>
        <w:t>0</w:t>
      </w:r>
      <w:r>
        <w:rPr>
          <w:rFonts w:hint="eastAsia" w:ascii="仿宋_GB2312" w:hAnsi="宋体" w:eastAsia="仿宋_GB2312"/>
          <w:sz w:val="32"/>
          <w:szCs w:val="32"/>
        </w:rPr>
        <w:t>辆、一般执法执勤用车</w:t>
      </w:r>
      <w:r>
        <w:rPr>
          <w:rFonts w:hint="eastAsia" w:ascii="仿宋_GB2312" w:hAnsi="宋体" w:eastAsia="仿宋_GB2312"/>
          <w:sz w:val="32"/>
          <w:szCs w:val="32"/>
          <w:lang w:val="en-US" w:eastAsia="zh-CN"/>
        </w:rPr>
        <w:t>0</w:t>
      </w:r>
      <w:r>
        <w:rPr>
          <w:rFonts w:hint="eastAsia" w:ascii="仿宋_GB2312" w:hAnsi="宋体" w:eastAsia="仿宋_GB2312"/>
          <w:sz w:val="32"/>
          <w:szCs w:val="32"/>
        </w:rPr>
        <w:t>辆、特种专业技术用车</w:t>
      </w:r>
      <w:r>
        <w:rPr>
          <w:rFonts w:hint="eastAsia" w:ascii="仿宋_GB2312" w:hAnsi="宋体" w:eastAsia="仿宋_GB2312"/>
          <w:sz w:val="32"/>
          <w:szCs w:val="32"/>
          <w:lang w:val="en-US" w:eastAsia="zh-CN"/>
        </w:rPr>
        <w:t>0</w:t>
      </w:r>
      <w:r>
        <w:rPr>
          <w:rFonts w:hint="eastAsia" w:ascii="仿宋_GB2312" w:hAnsi="宋体" w:eastAsia="仿宋_GB2312"/>
          <w:sz w:val="32"/>
          <w:szCs w:val="32"/>
        </w:rPr>
        <w:t>辆、其他用车</w:t>
      </w:r>
      <w:r>
        <w:rPr>
          <w:rFonts w:hint="eastAsia" w:ascii="仿宋_GB2312" w:hAnsi="宋体" w:eastAsia="仿宋_GB2312"/>
          <w:sz w:val="32"/>
          <w:szCs w:val="32"/>
          <w:lang w:val="en-US" w:eastAsia="zh-CN"/>
        </w:rPr>
        <w:t>0</w:t>
      </w:r>
      <w:r>
        <w:rPr>
          <w:rFonts w:hint="eastAsia" w:ascii="仿宋_GB2312" w:hAnsi="宋体" w:eastAsia="仿宋_GB2312"/>
          <w:sz w:val="32"/>
          <w:szCs w:val="32"/>
        </w:rPr>
        <w:t>辆。</w:t>
      </w:r>
      <w:r>
        <w:rPr>
          <w:rFonts w:hint="eastAsia" w:ascii="FangSong_GB2312" w:hAnsi="FangSong_GB2312" w:eastAsia="FangSong_GB2312"/>
          <w:sz w:val="32"/>
        </w:rPr>
        <w:t>单价100万元</w:t>
      </w:r>
      <w:r>
        <w:rPr>
          <w:rFonts w:hint="eastAsia" w:ascii="FangSong_GB2312" w:hAnsi="FangSong_GB2312" w:eastAsia="FangSong_GB2312"/>
          <w:sz w:val="32"/>
          <w:lang w:eastAsia="zh-CN"/>
        </w:rPr>
        <w:t>（</w:t>
      </w:r>
      <w:r>
        <w:rPr>
          <w:rFonts w:hint="eastAsia" w:ascii="FangSong_GB2312" w:hAnsi="FangSong_GB2312" w:eastAsia="FangSong_GB2312"/>
          <w:sz w:val="32"/>
          <w:lang w:val="en-US" w:eastAsia="zh-CN"/>
        </w:rPr>
        <w:t>含</w:t>
      </w:r>
      <w:r>
        <w:rPr>
          <w:rFonts w:hint="eastAsia" w:ascii="FangSong_GB2312" w:hAnsi="FangSong_GB2312" w:eastAsia="FangSong_GB2312"/>
          <w:sz w:val="32"/>
          <w:lang w:eastAsia="zh-CN"/>
        </w:rPr>
        <w:t>）</w:t>
      </w:r>
      <w:r>
        <w:rPr>
          <w:rFonts w:hint="eastAsia" w:ascii="FangSong_GB2312" w:hAnsi="FangSong_GB2312" w:eastAsia="FangSong_GB2312"/>
          <w:sz w:val="32"/>
        </w:rPr>
        <w:t>以上的设备</w:t>
      </w:r>
      <w:r>
        <w:rPr>
          <w:rFonts w:hint="eastAsia" w:ascii="FangSong_GB2312" w:hAnsi="FangSong_GB2312" w:eastAsia="FangSong_GB2312"/>
          <w:sz w:val="32"/>
          <w:lang w:eastAsia="zh-CN"/>
        </w:rPr>
        <w:t>（</w:t>
      </w:r>
      <w:r>
        <w:rPr>
          <w:rFonts w:hint="eastAsia" w:ascii="FangSong_GB2312" w:hAnsi="FangSong_GB2312" w:eastAsia="FangSong_GB2312"/>
          <w:sz w:val="32"/>
          <w:lang w:val="en-US" w:eastAsia="zh-CN"/>
        </w:rPr>
        <w:t>不含车辆</w:t>
      </w:r>
      <w:r>
        <w:rPr>
          <w:rFonts w:hint="eastAsia" w:ascii="FangSong_GB2312" w:hAnsi="FangSong_GB2312" w:eastAsia="FangSong_GB2312"/>
          <w:sz w:val="32"/>
          <w:lang w:eastAsia="zh-CN"/>
        </w:rPr>
        <w:t>）</w:t>
      </w:r>
      <w:r>
        <w:rPr>
          <w:rFonts w:hint="eastAsia" w:ascii="仿宋_GB2312" w:hAnsi="宋体" w:eastAsia="仿宋_GB2312"/>
          <w:sz w:val="32"/>
          <w:szCs w:val="32"/>
          <w:lang w:val="en-US" w:eastAsia="zh-CN"/>
        </w:rPr>
        <w:t>0</w:t>
      </w:r>
      <w:r>
        <w:rPr>
          <w:rFonts w:hint="eastAsia" w:ascii="FangSong_GB2312" w:hAnsi="FangSong_GB2312" w:eastAsia="FangSong_GB2312"/>
          <w:sz w:val="32"/>
        </w:rPr>
        <w:t>台</w:t>
      </w:r>
      <w:r>
        <w:rPr>
          <w:rFonts w:hint="eastAsia" w:ascii="FangSong_GB2312" w:hAnsi="FangSong_GB2312" w:eastAsia="FangSong_GB2312"/>
          <w:sz w:val="32"/>
          <w:lang w:eastAsia="zh-CN"/>
        </w:rPr>
        <w:t>。</w:t>
      </w:r>
    </w:p>
    <w:p>
      <w:pPr>
        <w:spacing w:beforeLines="0" w:afterLines="0"/>
        <w:ind w:firstLine="640" w:firstLineChars="200"/>
        <w:jc w:val="left"/>
        <w:rPr>
          <w:rFonts w:hint="eastAsia"/>
          <w:lang w:eastAsia="zh-CN"/>
        </w:rPr>
      </w:pPr>
      <w:r>
        <w:rPr>
          <w:rFonts w:hint="eastAsia" w:ascii="仿宋_GB2312" w:hAnsi="宋体" w:eastAsia="仿宋_GB2312"/>
          <w:sz w:val="32"/>
          <w:szCs w:val="32"/>
          <w:lang w:val="en-US" w:eastAsia="zh-CN"/>
        </w:rPr>
        <w:t>2025</w:t>
      </w:r>
      <w:r>
        <w:rPr>
          <w:rFonts w:hint="eastAsia" w:ascii="仿宋_GB2312" w:hAnsi="宋体" w:eastAsia="仿宋_GB2312"/>
          <w:sz w:val="32"/>
          <w:szCs w:val="32"/>
        </w:rPr>
        <w:t>年部门预算安排购置车辆</w:t>
      </w:r>
      <w:r>
        <w:rPr>
          <w:rFonts w:hint="eastAsia" w:ascii="仿宋_GB2312" w:hAnsi="宋体" w:eastAsia="仿宋_GB2312"/>
          <w:sz w:val="32"/>
          <w:szCs w:val="32"/>
          <w:lang w:val="en-US" w:eastAsia="zh-CN"/>
        </w:rPr>
        <w:t>0</w:t>
      </w:r>
      <w:r>
        <w:rPr>
          <w:rFonts w:hint="eastAsia" w:ascii="仿宋_GB2312" w:hAnsi="宋体" w:eastAsia="仿宋_GB2312"/>
          <w:sz w:val="32"/>
          <w:szCs w:val="32"/>
        </w:rPr>
        <w:t>台，安排</w:t>
      </w:r>
      <w:r>
        <w:rPr>
          <w:rFonts w:hint="eastAsia" w:ascii="FangSong_GB2312" w:hAnsi="FangSong_GB2312" w:eastAsia="FangSong_GB2312"/>
          <w:sz w:val="32"/>
        </w:rPr>
        <w:t>单价100万元</w:t>
      </w:r>
      <w:r>
        <w:rPr>
          <w:rFonts w:hint="eastAsia" w:ascii="FangSong_GB2312" w:hAnsi="FangSong_GB2312" w:eastAsia="FangSong_GB2312"/>
          <w:sz w:val="32"/>
          <w:lang w:eastAsia="zh-CN"/>
        </w:rPr>
        <w:t>（</w:t>
      </w:r>
      <w:r>
        <w:rPr>
          <w:rFonts w:hint="eastAsia" w:ascii="FangSong_GB2312" w:hAnsi="FangSong_GB2312" w:eastAsia="FangSong_GB2312"/>
          <w:sz w:val="32"/>
          <w:lang w:val="en-US" w:eastAsia="zh-CN"/>
        </w:rPr>
        <w:t>含</w:t>
      </w:r>
      <w:r>
        <w:rPr>
          <w:rFonts w:hint="eastAsia" w:ascii="FangSong_GB2312" w:hAnsi="FangSong_GB2312" w:eastAsia="FangSong_GB2312"/>
          <w:sz w:val="32"/>
          <w:lang w:eastAsia="zh-CN"/>
        </w:rPr>
        <w:t>）</w:t>
      </w:r>
      <w:r>
        <w:rPr>
          <w:rFonts w:hint="eastAsia" w:ascii="FangSong_GB2312" w:hAnsi="FangSong_GB2312" w:eastAsia="FangSong_GB2312"/>
          <w:sz w:val="32"/>
        </w:rPr>
        <w:t>以上的设备</w:t>
      </w:r>
      <w:r>
        <w:rPr>
          <w:rFonts w:hint="eastAsia" w:ascii="FangSong_GB2312" w:hAnsi="FangSong_GB2312" w:eastAsia="FangSong_GB2312"/>
          <w:sz w:val="32"/>
          <w:lang w:eastAsia="zh-CN"/>
        </w:rPr>
        <w:t>（</w:t>
      </w:r>
      <w:r>
        <w:rPr>
          <w:rFonts w:hint="eastAsia" w:ascii="FangSong_GB2312" w:hAnsi="FangSong_GB2312" w:eastAsia="FangSong_GB2312"/>
          <w:sz w:val="32"/>
          <w:lang w:val="en-US" w:eastAsia="zh-CN"/>
        </w:rPr>
        <w:t>不含车辆</w:t>
      </w:r>
      <w:r>
        <w:rPr>
          <w:rFonts w:hint="eastAsia" w:ascii="FangSong_GB2312" w:hAnsi="FangSong_GB2312" w:eastAsia="FangSong_GB2312"/>
          <w:sz w:val="32"/>
          <w:lang w:eastAsia="zh-CN"/>
        </w:rPr>
        <w:t>）</w:t>
      </w:r>
      <w:r>
        <w:rPr>
          <w:rFonts w:hint="eastAsia" w:ascii="仿宋_GB2312" w:hAnsi="宋体" w:eastAsia="仿宋_GB2312"/>
          <w:sz w:val="32"/>
          <w:szCs w:val="32"/>
          <w:lang w:val="en-US" w:eastAsia="zh-CN"/>
        </w:rPr>
        <w:t>0</w:t>
      </w:r>
      <w:r>
        <w:rPr>
          <w:rFonts w:hint="eastAsia" w:ascii="FangSong_GB2312" w:hAnsi="FangSong_GB2312" w:eastAsia="FangSong_GB2312"/>
          <w:sz w:val="32"/>
        </w:rPr>
        <w:t>台</w:t>
      </w:r>
      <w:r>
        <w:rPr>
          <w:rFonts w:hint="eastAsia" w:ascii="FangSong_GB2312" w:hAnsi="FangSong_GB2312" w:eastAsia="FangSong_GB2312"/>
          <w:sz w:val="32"/>
          <w:lang w:eastAsia="zh-CN"/>
        </w:rPr>
        <w:t>。</w:t>
      </w:r>
    </w:p>
    <w:p>
      <w:pPr>
        <w:ind w:firstLine="645"/>
        <w:rPr>
          <w:rFonts w:hint="eastAsia" w:ascii="仿宋_GB2312" w:hAnsi="宋体" w:eastAsia="仿宋_GB2312"/>
          <w:sz w:val="32"/>
          <w:szCs w:val="32"/>
          <w:highlight w:val="none"/>
        </w:rPr>
      </w:pPr>
      <w:r>
        <w:rPr>
          <w:rFonts w:hint="eastAsia" w:ascii="楷体_GB2312" w:hAnsi="宋体" w:eastAsia="楷体_GB2312"/>
          <w:sz w:val="32"/>
          <w:szCs w:val="32"/>
          <w:highlight w:val="none"/>
        </w:rPr>
        <w:t>（四）绩效目标设置情况。</w:t>
      </w:r>
    </w:p>
    <w:p>
      <w:pPr>
        <w:spacing w:beforeLines="0" w:afterLines="0"/>
        <w:ind w:firstLine="640" w:firstLineChars="200"/>
        <w:jc w:val="left"/>
        <w:rPr>
          <w:rFonts w:hint="eastAsia" w:ascii="仿宋_GB2312" w:hAnsi="宋体" w:eastAsia="仿宋_GB2312"/>
          <w:sz w:val="32"/>
          <w:szCs w:val="32"/>
        </w:rPr>
      </w:pPr>
      <w:r>
        <w:rPr>
          <w:rFonts w:hint="eastAsia" w:ascii="仿宋_GB2312" w:hAnsi="宋体" w:eastAsia="仿宋_GB2312"/>
          <w:sz w:val="32"/>
          <w:szCs w:val="32"/>
        </w:rPr>
        <w:t>根据预算绩效管理要求，</w:t>
      </w:r>
      <w:r>
        <w:rPr>
          <w:rFonts w:hint="eastAsia" w:ascii="仿宋_GB2312" w:eastAsia="仿宋_GB2312"/>
          <w:b w:val="0"/>
          <w:bCs/>
          <w:sz w:val="32"/>
          <w:szCs w:val="32"/>
        </w:rPr>
        <w:t>沈阳市</w:t>
      </w:r>
      <w:r>
        <w:rPr>
          <w:rFonts w:hint="eastAsia" w:ascii="仿宋_GB2312" w:eastAsia="仿宋_GB2312"/>
          <w:b w:val="0"/>
          <w:bCs/>
          <w:sz w:val="32"/>
          <w:szCs w:val="32"/>
          <w:lang w:eastAsia="zh-CN"/>
        </w:rPr>
        <w:t>浑南区文化旅游和广播电视局</w:t>
      </w:r>
      <w:r>
        <w:rPr>
          <w:rFonts w:hint="eastAsia" w:ascii="仿宋_GB2312" w:hAnsi="宋体" w:eastAsia="仿宋_GB2312"/>
          <w:sz w:val="32"/>
          <w:szCs w:val="32"/>
        </w:rPr>
        <w:t>在</w:t>
      </w:r>
      <w:r>
        <w:rPr>
          <w:rFonts w:hint="eastAsia" w:ascii="仿宋_GB2312" w:hAnsi="宋体" w:eastAsia="仿宋_GB2312"/>
          <w:sz w:val="32"/>
          <w:szCs w:val="32"/>
          <w:lang w:val="en-US" w:eastAsia="zh-CN"/>
        </w:rPr>
        <w:t>2025</w:t>
      </w:r>
      <w:r>
        <w:rPr>
          <w:rFonts w:hint="eastAsia" w:ascii="仿宋_GB2312" w:hAnsi="宋体" w:eastAsia="仿宋_GB2312"/>
          <w:sz w:val="32"/>
          <w:szCs w:val="32"/>
        </w:rPr>
        <w:t>年应编制部门</w:t>
      </w:r>
      <w:r>
        <w:rPr>
          <w:rFonts w:hint="eastAsia" w:ascii="FangSong_GB2312" w:hAnsi="FangSong_GB2312" w:eastAsia="FangSong_GB2312"/>
          <w:sz w:val="32"/>
        </w:rPr>
        <w:t>（单位）</w:t>
      </w:r>
      <w:r>
        <w:rPr>
          <w:rFonts w:hint="eastAsia" w:ascii="仿宋_GB2312" w:hAnsi="宋体" w:eastAsia="仿宋_GB2312"/>
          <w:sz w:val="32"/>
          <w:szCs w:val="32"/>
        </w:rPr>
        <w:t>整体绩效目标</w:t>
      </w:r>
      <w:r>
        <w:rPr>
          <w:rFonts w:hint="eastAsia" w:ascii="仿宋_GB2312" w:hAnsi="宋体" w:eastAsia="仿宋_GB2312"/>
          <w:sz w:val="32"/>
          <w:szCs w:val="32"/>
          <w:lang w:val="en-US" w:eastAsia="zh-CN"/>
        </w:rPr>
        <w:t>11</w:t>
      </w:r>
      <w:r>
        <w:rPr>
          <w:rFonts w:hint="eastAsia" w:ascii="仿宋_GB2312" w:hAnsi="宋体" w:eastAsia="仿宋_GB2312"/>
          <w:sz w:val="32"/>
          <w:szCs w:val="32"/>
        </w:rPr>
        <w:t>个，实际编制</w:t>
      </w:r>
      <w:r>
        <w:rPr>
          <w:rFonts w:hint="eastAsia" w:ascii="仿宋_GB2312" w:hAnsi="宋体" w:eastAsia="仿宋_GB2312"/>
          <w:sz w:val="32"/>
          <w:szCs w:val="32"/>
          <w:lang w:val="en-US" w:eastAsia="zh-CN"/>
        </w:rPr>
        <w:t>11</w:t>
      </w:r>
      <w:r>
        <w:rPr>
          <w:rFonts w:hint="eastAsia" w:ascii="仿宋_GB2312" w:hAnsi="宋体" w:eastAsia="仿宋_GB2312"/>
          <w:sz w:val="32"/>
          <w:szCs w:val="32"/>
        </w:rPr>
        <w:t>个，编制部门</w:t>
      </w:r>
      <w:r>
        <w:rPr>
          <w:rFonts w:hint="eastAsia" w:ascii="FangSong_GB2312" w:hAnsi="FangSong_GB2312" w:eastAsia="FangSong_GB2312"/>
          <w:sz w:val="32"/>
        </w:rPr>
        <w:t>（单位）</w:t>
      </w:r>
      <w:r>
        <w:rPr>
          <w:rFonts w:hint="eastAsia" w:ascii="仿宋_GB2312" w:hAnsi="宋体" w:eastAsia="仿宋_GB2312"/>
          <w:sz w:val="32"/>
          <w:szCs w:val="32"/>
        </w:rPr>
        <w:t>整体绩效目标覆盖率</w:t>
      </w:r>
      <w:r>
        <w:rPr>
          <w:rFonts w:hint="eastAsia" w:ascii="FangSong_GB2312" w:hAnsi="FangSong_GB2312" w:eastAsia="FangSong_GB2312"/>
          <w:sz w:val="32"/>
        </w:rPr>
        <w:t>（实际编制绩效目标的数量/应编制绩效目标的数量）</w:t>
      </w:r>
      <w:r>
        <w:rPr>
          <w:rFonts w:hint="eastAsia" w:ascii="仿宋_GB2312" w:hAnsi="宋体" w:eastAsia="仿宋_GB2312"/>
          <w:sz w:val="32"/>
          <w:szCs w:val="32"/>
        </w:rPr>
        <w:t>为</w:t>
      </w:r>
      <w:r>
        <w:rPr>
          <w:rFonts w:hint="eastAsia" w:ascii="仿宋_GB2312" w:hAnsi="宋体" w:eastAsia="仿宋_GB2312"/>
          <w:sz w:val="32"/>
          <w:szCs w:val="32"/>
          <w:lang w:val="en-US" w:eastAsia="zh-CN"/>
        </w:rPr>
        <w:t>100</w:t>
      </w:r>
      <w:r>
        <w:rPr>
          <w:rFonts w:hint="eastAsia" w:ascii="仿宋_GB2312" w:hAnsi="宋体" w:eastAsia="仿宋_GB2312"/>
          <w:sz w:val="32"/>
          <w:szCs w:val="32"/>
        </w:rPr>
        <w:t>%。</w:t>
      </w:r>
      <w:r>
        <w:rPr>
          <w:rFonts w:hint="eastAsia" w:ascii="仿宋_GB2312" w:hAnsi="宋体" w:eastAsia="仿宋_GB2312"/>
          <w:sz w:val="32"/>
          <w:szCs w:val="32"/>
          <w:lang w:val="en-US" w:eastAsia="zh-CN"/>
        </w:rPr>
        <w:t>2025</w:t>
      </w:r>
      <w:r>
        <w:rPr>
          <w:rFonts w:hint="eastAsia" w:ascii="仿宋_GB2312" w:hAnsi="宋体" w:eastAsia="仿宋_GB2312"/>
          <w:sz w:val="32"/>
          <w:szCs w:val="32"/>
        </w:rPr>
        <w:t>年应编制绩效目标的特定目标类项目共</w:t>
      </w:r>
      <w:r>
        <w:rPr>
          <w:rFonts w:hint="eastAsia" w:ascii="仿宋_GB2312" w:hAnsi="宋体" w:eastAsia="仿宋_GB2312"/>
          <w:sz w:val="32"/>
          <w:szCs w:val="32"/>
          <w:lang w:val="en-US" w:eastAsia="zh-CN"/>
        </w:rPr>
        <w:t>0</w:t>
      </w:r>
      <w:r>
        <w:rPr>
          <w:rFonts w:hint="eastAsia" w:ascii="仿宋_GB2312" w:hAnsi="宋体" w:eastAsia="仿宋_GB2312"/>
          <w:sz w:val="32"/>
          <w:szCs w:val="32"/>
        </w:rPr>
        <w:t>个，实际编制绩效目标的特定目标类项目共</w:t>
      </w:r>
      <w:r>
        <w:rPr>
          <w:rFonts w:hint="eastAsia" w:ascii="仿宋_GB2312" w:hAnsi="宋体" w:eastAsia="仿宋_GB2312"/>
          <w:sz w:val="32"/>
          <w:szCs w:val="32"/>
          <w:lang w:val="en-US" w:eastAsia="zh-CN"/>
        </w:rPr>
        <w:t>0</w:t>
      </w:r>
      <w:r>
        <w:rPr>
          <w:rFonts w:hint="eastAsia" w:ascii="仿宋_GB2312" w:hAnsi="宋体" w:eastAsia="仿宋_GB2312"/>
          <w:sz w:val="32"/>
          <w:szCs w:val="32"/>
        </w:rPr>
        <w:t>个，编制特定目标类项目绩效目标覆盖率</w:t>
      </w:r>
      <w:r>
        <w:rPr>
          <w:rFonts w:hint="eastAsia" w:ascii="FangSong_GB2312" w:hAnsi="FangSong_GB2312" w:eastAsia="FangSong_GB2312"/>
          <w:sz w:val="32"/>
        </w:rPr>
        <w:t>（实际编制绩效目标的数量/应编制绩效目标的数量）</w:t>
      </w:r>
      <w:r>
        <w:rPr>
          <w:rFonts w:hint="eastAsia" w:ascii="仿宋_GB2312" w:hAnsi="宋体" w:eastAsia="仿宋_GB2312"/>
          <w:sz w:val="32"/>
          <w:szCs w:val="32"/>
        </w:rPr>
        <w:t>为</w:t>
      </w:r>
      <w:r>
        <w:rPr>
          <w:rFonts w:hint="eastAsia" w:ascii="仿宋_GB2312" w:hAnsi="宋体" w:eastAsia="仿宋_GB2312"/>
          <w:sz w:val="32"/>
          <w:szCs w:val="32"/>
          <w:lang w:val="en-US" w:eastAsia="zh-CN"/>
        </w:rPr>
        <w:t>0</w:t>
      </w:r>
      <w:r>
        <w:rPr>
          <w:rFonts w:hint="eastAsia" w:ascii="仿宋_GB2312" w:hAnsi="宋体" w:eastAsia="仿宋_GB2312"/>
          <w:sz w:val="32"/>
          <w:szCs w:val="32"/>
        </w:rPr>
        <w:t>%。</w:t>
      </w:r>
    </w:p>
    <w:p>
      <w:pPr>
        <w:ind w:firstLine="645"/>
        <w:rPr>
          <w:rFonts w:hint="eastAsia" w:ascii="仿宋_GB2312" w:hAnsi="宋体" w:eastAsia="仿宋_GB2312" w:cs="仿宋_GB2312"/>
          <w:sz w:val="32"/>
          <w:szCs w:val="32"/>
          <w:highlight w:val="none"/>
          <w:lang w:bidi="ar"/>
        </w:rPr>
      </w:pPr>
    </w:p>
    <w:p>
      <w:pPr>
        <w:ind w:firstLine="645"/>
        <w:rPr>
          <w:rFonts w:hint="eastAsia" w:ascii="仿宋_GB2312" w:hAnsi="宋体" w:eastAsia="仿宋_GB2312"/>
          <w:sz w:val="32"/>
          <w:highlight w:val="none"/>
        </w:rPr>
      </w:pPr>
    </w:p>
    <w:p>
      <w:pPr>
        <w:spacing w:line="560" w:lineRule="exact"/>
        <w:ind w:firstLine="645"/>
        <w:rPr>
          <w:rFonts w:hint="eastAsia" w:ascii="仿宋_GB2312" w:hAnsi="宋体" w:eastAsia="仿宋_GB2312"/>
          <w:sz w:val="32"/>
          <w:highlight w:val="none"/>
        </w:rPr>
      </w:pPr>
    </w:p>
    <w:p>
      <w:pPr>
        <w:spacing w:line="560" w:lineRule="exact"/>
        <w:jc w:val="center"/>
        <w:rPr>
          <w:rFonts w:hint="eastAsia" w:ascii="宋体" w:hAnsi="宋体"/>
          <w:b/>
          <w:sz w:val="36"/>
        </w:rPr>
      </w:pPr>
      <w:r>
        <w:rPr>
          <w:rFonts w:hint="eastAsia" w:ascii="宋体" w:hAnsi="宋体"/>
          <w:b/>
          <w:sz w:val="36"/>
          <w:highlight w:val="none"/>
        </w:rPr>
        <w:br w:type="page"/>
      </w:r>
    </w:p>
    <w:p>
      <w:pPr>
        <w:spacing w:line="560" w:lineRule="exact"/>
        <w:jc w:val="center"/>
        <w:rPr>
          <w:rFonts w:hint="eastAsia"/>
          <w:b/>
          <w:sz w:val="36"/>
        </w:rPr>
      </w:pPr>
      <w:r>
        <w:rPr>
          <w:rFonts w:hint="eastAsia" w:ascii="宋体" w:hAnsi="宋体"/>
          <w:b/>
          <w:sz w:val="36"/>
        </w:rPr>
        <w:t>第</w:t>
      </w:r>
      <w:r>
        <w:rPr>
          <w:rFonts w:hint="eastAsia" w:ascii="宋体" w:hAnsi="宋体"/>
          <w:b/>
          <w:sz w:val="36"/>
          <w:lang w:val="en-US" w:eastAsia="zh-CN"/>
        </w:rPr>
        <w:t>五</w:t>
      </w:r>
      <w:r>
        <w:rPr>
          <w:rFonts w:hint="eastAsia" w:ascii="宋体" w:hAnsi="宋体"/>
          <w:b/>
          <w:sz w:val="36"/>
        </w:rPr>
        <w:t>部分 名词解释</w:t>
      </w:r>
    </w:p>
    <w:p>
      <w:pPr>
        <w:spacing w:line="560" w:lineRule="exact"/>
        <w:ind w:firstLine="643" w:firstLineChars="200"/>
        <w:jc w:val="left"/>
        <w:rPr>
          <w:rFonts w:hint="eastAsia" w:ascii="仿宋_GB2312" w:eastAsia="仿宋_GB2312"/>
          <w:b/>
          <w:sz w:val="32"/>
        </w:rPr>
      </w:pPr>
    </w:p>
    <w:p>
      <w:pPr>
        <w:pStyle w:val="3"/>
        <w:keepNext w:val="0"/>
        <w:keepLines w:val="0"/>
        <w:pageBreakBefore w:val="0"/>
        <w:widowControl w:val="0"/>
        <w:kinsoku/>
        <w:wordWrap/>
        <w:overflowPunct/>
        <w:topLinePunct w:val="0"/>
        <w:autoSpaceDE/>
        <w:autoSpaceDN/>
        <w:bidi w:val="0"/>
        <w:adjustRightInd/>
        <w:snapToGrid/>
        <w:spacing w:line="240" w:lineRule="auto"/>
        <w:ind w:left="0" w:leftChars="0" w:firstLine="643" w:firstLineChars="200"/>
        <w:textAlignment w:val="auto"/>
        <w:rPr>
          <w:rFonts w:hint="eastAsia"/>
          <w:szCs w:val="32"/>
        </w:rPr>
      </w:pPr>
      <w:r>
        <w:rPr>
          <w:rFonts w:hint="eastAsia"/>
          <w:b/>
          <w:szCs w:val="32"/>
        </w:rPr>
        <w:t>1.财政拨款收</w:t>
      </w:r>
      <w:r>
        <w:rPr>
          <w:rFonts w:hint="eastAsia"/>
          <w:szCs w:val="32"/>
        </w:rPr>
        <w:t>入：指区级财政当年拨付的资金。</w:t>
      </w:r>
    </w:p>
    <w:p>
      <w:pPr>
        <w:pStyle w:val="3"/>
        <w:keepNext w:val="0"/>
        <w:keepLines w:val="0"/>
        <w:pageBreakBefore w:val="0"/>
        <w:widowControl w:val="0"/>
        <w:kinsoku/>
        <w:wordWrap/>
        <w:overflowPunct/>
        <w:topLinePunct w:val="0"/>
        <w:autoSpaceDE/>
        <w:autoSpaceDN/>
        <w:bidi w:val="0"/>
        <w:adjustRightInd/>
        <w:snapToGrid/>
        <w:spacing w:line="240" w:lineRule="auto"/>
        <w:ind w:left="0" w:leftChars="0" w:firstLine="643" w:firstLineChars="200"/>
        <w:textAlignment w:val="auto"/>
        <w:rPr>
          <w:rFonts w:hint="eastAsia"/>
          <w:szCs w:val="32"/>
        </w:rPr>
      </w:pPr>
      <w:r>
        <w:rPr>
          <w:rFonts w:hint="eastAsia"/>
          <w:b/>
          <w:szCs w:val="32"/>
        </w:rPr>
        <w:t>2.上级补助收入：</w:t>
      </w:r>
      <w:r>
        <w:rPr>
          <w:rFonts w:hint="eastAsia"/>
          <w:szCs w:val="32"/>
        </w:rPr>
        <w:t>指事业单位从主管部门和上级单位取得的非财政补助收入。</w:t>
      </w:r>
    </w:p>
    <w:p>
      <w:pPr>
        <w:pStyle w:val="3"/>
        <w:keepNext w:val="0"/>
        <w:keepLines w:val="0"/>
        <w:pageBreakBefore w:val="0"/>
        <w:widowControl w:val="0"/>
        <w:kinsoku/>
        <w:wordWrap/>
        <w:overflowPunct/>
        <w:topLinePunct w:val="0"/>
        <w:autoSpaceDE/>
        <w:autoSpaceDN/>
        <w:bidi w:val="0"/>
        <w:adjustRightInd/>
        <w:snapToGrid/>
        <w:spacing w:line="240" w:lineRule="auto"/>
        <w:ind w:left="0" w:leftChars="0" w:firstLine="643" w:firstLineChars="200"/>
        <w:textAlignment w:val="auto"/>
        <w:rPr>
          <w:rFonts w:hint="eastAsia"/>
          <w:szCs w:val="32"/>
        </w:rPr>
      </w:pPr>
      <w:r>
        <w:rPr>
          <w:rFonts w:hint="eastAsia"/>
          <w:b/>
          <w:szCs w:val="32"/>
        </w:rPr>
        <w:t>3.基本支出：</w:t>
      </w:r>
      <w:r>
        <w:rPr>
          <w:rFonts w:hint="eastAsia"/>
          <w:szCs w:val="32"/>
        </w:rPr>
        <w:t>指保障机构正常运转、完成日常工作任务而发生的人员支出和公用支出。</w:t>
      </w:r>
    </w:p>
    <w:p>
      <w:pPr>
        <w:pStyle w:val="3"/>
        <w:keepNext w:val="0"/>
        <w:keepLines w:val="0"/>
        <w:pageBreakBefore w:val="0"/>
        <w:widowControl w:val="0"/>
        <w:kinsoku/>
        <w:wordWrap/>
        <w:overflowPunct/>
        <w:topLinePunct w:val="0"/>
        <w:autoSpaceDE/>
        <w:autoSpaceDN/>
        <w:bidi w:val="0"/>
        <w:adjustRightInd/>
        <w:snapToGrid/>
        <w:spacing w:line="240" w:lineRule="auto"/>
        <w:ind w:left="0" w:leftChars="0" w:firstLine="643" w:firstLineChars="200"/>
        <w:textAlignment w:val="auto"/>
        <w:rPr>
          <w:rFonts w:hint="eastAsia"/>
          <w:szCs w:val="32"/>
        </w:rPr>
      </w:pPr>
      <w:r>
        <w:rPr>
          <w:rFonts w:hint="eastAsia"/>
          <w:b/>
          <w:szCs w:val="32"/>
        </w:rPr>
        <w:t>4.项目支出：</w:t>
      </w:r>
      <w:r>
        <w:rPr>
          <w:rFonts w:hint="eastAsia"/>
          <w:szCs w:val="32"/>
        </w:rPr>
        <w:t>指在基本支出之外为完成特定行政任务和事业发展目标所发生的支出。</w:t>
      </w:r>
    </w:p>
    <w:p>
      <w:pPr>
        <w:pStyle w:val="3"/>
        <w:keepNext w:val="0"/>
        <w:keepLines w:val="0"/>
        <w:pageBreakBefore w:val="0"/>
        <w:widowControl w:val="0"/>
        <w:kinsoku/>
        <w:wordWrap/>
        <w:overflowPunct/>
        <w:topLinePunct w:val="0"/>
        <w:autoSpaceDE/>
        <w:autoSpaceDN/>
        <w:bidi w:val="0"/>
        <w:adjustRightInd/>
        <w:snapToGrid/>
        <w:spacing w:line="240" w:lineRule="auto"/>
        <w:ind w:left="0" w:leftChars="0" w:firstLine="643" w:firstLineChars="200"/>
        <w:textAlignment w:val="auto"/>
        <w:rPr>
          <w:rFonts w:hint="eastAsia"/>
          <w:szCs w:val="32"/>
        </w:rPr>
      </w:pPr>
      <w:r>
        <w:rPr>
          <w:rFonts w:hint="eastAsia"/>
          <w:b/>
          <w:szCs w:val="32"/>
        </w:rPr>
        <w:t>5.“三公”经费：</w:t>
      </w:r>
      <w:r>
        <w:rPr>
          <w:rFonts w:hint="eastAsia"/>
          <w:szCs w:val="32"/>
        </w:rPr>
        <w:t>指用财政拨款安排的因公出国（境）费、公务用车购置及运行费和公务接待费。其中，因公出国（境）费反映单位公务出国（境）的住宿费、差旅费、伙食补助费、培训费等支出；公务用车购置及运行费反映单位公务用车购置费及租用费、燃料费、维修费、过路过桥费、保险费、安全奖励费用等支出；公务接待费反映单位按规定开支的各类公务接待（含外宾接待）支出。</w:t>
      </w:r>
    </w:p>
    <w:p>
      <w:pPr>
        <w:pStyle w:val="3"/>
        <w:keepNext w:val="0"/>
        <w:keepLines w:val="0"/>
        <w:pageBreakBefore w:val="0"/>
        <w:widowControl w:val="0"/>
        <w:kinsoku/>
        <w:wordWrap/>
        <w:overflowPunct/>
        <w:topLinePunct w:val="0"/>
        <w:autoSpaceDE/>
        <w:autoSpaceDN/>
        <w:bidi w:val="0"/>
        <w:adjustRightInd/>
        <w:snapToGrid/>
        <w:spacing w:line="240" w:lineRule="auto"/>
        <w:ind w:left="0" w:leftChars="0" w:firstLine="643" w:firstLineChars="200"/>
        <w:textAlignment w:val="auto"/>
        <w:rPr>
          <w:rFonts w:hint="eastAsia"/>
          <w:szCs w:val="32"/>
        </w:rPr>
      </w:pPr>
      <w:r>
        <w:rPr>
          <w:rFonts w:hint="eastAsia"/>
          <w:b/>
          <w:szCs w:val="32"/>
        </w:rPr>
        <w:t>6.文化</w:t>
      </w:r>
      <w:r>
        <w:rPr>
          <w:rFonts w:hint="eastAsia"/>
          <w:b/>
          <w:szCs w:val="32"/>
          <w:lang w:eastAsia="zh-CN"/>
        </w:rPr>
        <w:t>旅游</w:t>
      </w:r>
      <w:r>
        <w:rPr>
          <w:rFonts w:hint="eastAsia"/>
          <w:b/>
          <w:szCs w:val="32"/>
        </w:rPr>
        <w:t>体育与传媒支出（类）文化（款）行政运行（项）：</w:t>
      </w:r>
      <w:r>
        <w:rPr>
          <w:rFonts w:hint="eastAsia"/>
          <w:szCs w:val="32"/>
        </w:rPr>
        <w:t>反映行政单位的基本支出。</w:t>
      </w:r>
    </w:p>
    <w:p>
      <w:pPr>
        <w:pStyle w:val="3"/>
        <w:keepNext w:val="0"/>
        <w:keepLines w:val="0"/>
        <w:pageBreakBefore w:val="0"/>
        <w:widowControl w:val="0"/>
        <w:kinsoku/>
        <w:wordWrap/>
        <w:overflowPunct/>
        <w:topLinePunct w:val="0"/>
        <w:autoSpaceDE/>
        <w:autoSpaceDN/>
        <w:bidi w:val="0"/>
        <w:adjustRightInd/>
        <w:snapToGrid/>
        <w:spacing w:line="240" w:lineRule="auto"/>
        <w:ind w:left="0" w:leftChars="0" w:firstLine="643" w:firstLineChars="200"/>
        <w:textAlignment w:val="auto"/>
        <w:rPr>
          <w:rFonts w:hint="eastAsia"/>
          <w:szCs w:val="32"/>
        </w:rPr>
      </w:pPr>
      <w:r>
        <w:rPr>
          <w:rFonts w:hint="eastAsia"/>
          <w:b/>
          <w:szCs w:val="32"/>
        </w:rPr>
        <w:t>7. 文化</w:t>
      </w:r>
      <w:r>
        <w:rPr>
          <w:rFonts w:hint="eastAsia"/>
          <w:b/>
          <w:szCs w:val="32"/>
          <w:lang w:eastAsia="zh-CN"/>
        </w:rPr>
        <w:t>旅游</w:t>
      </w:r>
      <w:r>
        <w:rPr>
          <w:rFonts w:hint="eastAsia"/>
          <w:b/>
          <w:szCs w:val="32"/>
        </w:rPr>
        <w:t>体育与传媒支出（类）文化（款）图书馆（项）：</w:t>
      </w:r>
      <w:r>
        <w:rPr>
          <w:rFonts w:hint="eastAsia"/>
          <w:szCs w:val="32"/>
        </w:rPr>
        <w:t>反映图书馆的支出。</w:t>
      </w:r>
    </w:p>
    <w:p>
      <w:pPr>
        <w:pStyle w:val="3"/>
        <w:keepNext w:val="0"/>
        <w:keepLines w:val="0"/>
        <w:pageBreakBefore w:val="0"/>
        <w:widowControl w:val="0"/>
        <w:kinsoku/>
        <w:wordWrap/>
        <w:overflowPunct/>
        <w:topLinePunct w:val="0"/>
        <w:autoSpaceDE/>
        <w:autoSpaceDN/>
        <w:bidi w:val="0"/>
        <w:adjustRightInd/>
        <w:snapToGrid/>
        <w:spacing w:line="240" w:lineRule="auto"/>
        <w:ind w:left="0" w:leftChars="0" w:firstLine="643" w:firstLineChars="200"/>
        <w:textAlignment w:val="auto"/>
        <w:rPr>
          <w:rFonts w:hint="eastAsia"/>
          <w:szCs w:val="32"/>
        </w:rPr>
      </w:pPr>
      <w:r>
        <w:rPr>
          <w:rFonts w:hint="eastAsia"/>
          <w:b/>
          <w:szCs w:val="32"/>
        </w:rPr>
        <w:t>8. 文化</w:t>
      </w:r>
      <w:r>
        <w:rPr>
          <w:rFonts w:hint="eastAsia"/>
          <w:b/>
          <w:szCs w:val="32"/>
          <w:lang w:eastAsia="zh-CN"/>
        </w:rPr>
        <w:t>旅游</w:t>
      </w:r>
      <w:r>
        <w:rPr>
          <w:rFonts w:hint="eastAsia"/>
          <w:b/>
          <w:szCs w:val="32"/>
        </w:rPr>
        <w:t>体育与传媒支出（类）文化（款）文化活动（项）：</w:t>
      </w:r>
      <w:r>
        <w:rPr>
          <w:rFonts w:hint="eastAsia"/>
          <w:szCs w:val="32"/>
        </w:rPr>
        <w:t>反映举办大型文化艺术活动的支出。</w:t>
      </w:r>
    </w:p>
    <w:p>
      <w:pPr>
        <w:pStyle w:val="3"/>
        <w:keepNext w:val="0"/>
        <w:keepLines w:val="0"/>
        <w:pageBreakBefore w:val="0"/>
        <w:widowControl w:val="0"/>
        <w:kinsoku/>
        <w:wordWrap/>
        <w:overflowPunct/>
        <w:topLinePunct w:val="0"/>
        <w:autoSpaceDE/>
        <w:autoSpaceDN/>
        <w:bidi w:val="0"/>
        <w:adjustRightInd/>
        <w:snapToGrid/>
        <w:spacing w:line="240" w:lineRule="auto"/>
        <w:ind w:left="0" w:leftChars="0" w:firstLine="643" w:firstLineChars="200"/>
        <w:textAlignment w:val="auto"/>
        <w:rPr>
          <w:rFonts w:hint="eastAsia"/>
          <w:szCs w:val="32"/>
        </w:rPr>
      </w:pPr>
      <w:r>
        <w:rPr>
          <w:rFonts w:hint="eastAsia"/>
          <w:b/>
          <w:szCs w:val="32"/>
        </w:rPr>
        <w:t>9. 文化</w:t>
      </w:r>
      <w:r>
        <w:rPr>
          <w:rFonts w:hint="eastAsia"/>
          <w:b/>
          <w:szCs w:val="32"/>
          <w:lang w:eastAsia="zh-CN"/>
        </w:rPr>
        <w:t>旅游</w:t>
      </w:r>
      <w:r>
        <w:rPr>
          <w:rFonts w:hint="eastAsia"/>
          <w:b/>
          <w:szCs w:val="32"/>
        </w:rPr>
        <w:t>体育与传媒支出（类）文化（款）群众文化（项）：</w:t>
      </w:r>
      <w:r>
        <w:rPr>
          <w:rFonts w:hint="eastAsia"/>
          <w:szCs w:val="32"/>
        </w:rPr>
        <w:t>反映群众文化方面的支出，包括基层文化馆（站）、群众艺术馆支出等。</w:t>
      </w:r>
    </w:p>
    <w:p>
      <w:pPr>
        <w:pStyle w:val="3"/>
        <w:keepNext w:val="0"/>
        <w:keepLines w:val="0"/>
        <w:pageBreakBefore w:val="0"/>
        <w:widowControl w:val="0"/>
        <w:kinsoku/>
        <w:wordWrap/>
        <w:overflowPunct/>
        <w:topLinePunct w:val="0"/>
        <w:autoSpaceDE/>
        <w:autoSpaceDN/>
        <w:bidi w:val="0"/>
        <w:adjustRightInd/>
        <w:snapToGrid/>
        <w:spacing w:line="240" w:lineRule="auto"/>
        <w:ind w:left="0" w:leftChars="0" w:firstLine="643" w:firstLineChars="200"/>
        <w:textAlignment w:val="auto"/>
        <w:rPr>
          <w:rFonts w:hint="eastAsia"/>
          <w:szCs w:val="32"/>
        </w:rPr>
      </w:pPr>
      <w:r>
        <w:rPr>
          <w:rFonts w:hint="eastAsia"/>
          <w:b/>
          <w:szCs w:val="32"/>
        </w:rPr>
        <w:t>10. 文化</w:t>
      </w:r>
      <w:r>
        <w:rPr>
          <w:rFonts w:hint="eastAsia"/>
          <w:b/>
          <w:szCs w:val="32"/>
          <w:lang w:eastAsia="zh-CN"/>
        </w:rPr>
        <w:t>旅游</w:t>
      </w:r>
      <w:r>
        <w:rPr>
          <w:rFonts w:hint="eastAsia"/>
          <w:b/>
          <w:szCs w:val="32"/>
        </w:rPr>
        <w:t>体育与传媒支出（类）文化（款）文化交流与合作（项）：</w:t>
      </w:r>
      <w:r>
        <w:rPr>
          <w:rFonts w:hint="eastAsia"/>
          <w:szCs w:val="32"/>
        </w:rPr>
        <w:t>反映对外文化交流合作活动的支出。</w:t>
      </w:r>
    </w:p>
    <w:p>
      <w:pPr>
        <w:pStyle w:val="3"/>
        <w:keepNext w:val="0"/>
        <w:keepLines w:val="0"/>
        <w:pageBreakBefore w:val="0"/>
        <w:widowControl w:val="0"/>
        <w:kinsoku/>
        <w:wordWrap/>
        <w:overflowPunct/>
        <w:topLinePunct w:val="0"/>
        <w:autoSpaceDE/>
        <w:autoSpaceDN/>
        <w:bidi w:val="0"/>
        <w:adjustRightInd/>
        <w:snapToGrid/>
        <w:spacing w:line="240" w:lineRule="auto"/>
        <w:ind w:left="0" w:leftChars="0" w:firstLine="643" w:firstLineChars="200"/>
        <w:textAlignment w:val="auto"/>
        <w:rPr>
          <w:rFonts w:hint="eastAsia"/>
          <w:color w:val="000000"/>
          <w:sz w:val="30"/>
          <w:szCs w:val="30"/>
        </w:rPr>
      </w:pPr>
      <w:r>
        <w:rPr>
          <w:rFonts w:hint="eastAsia"/>
          <w:b/>
          <w:szCs w:val="32"/>
        </w:rPr>
        <w:t>11.</w:t>
      </w:r>
      <w:r>
        <w:rPr>
          <w:rFonts w:hint="eastAsia"/>
          <w:b/>
          <w:color w:val="000000"/>
          <w:sz w:val="30"/>
          <w:szCs w:val="30"/>
        </w:rPr>
        <w:t xml:space="preserve"> 文化</w:t>
      </w:r>
      <w:r>
        <w:rPr>
          <w:rFonts w:hint="eastAsia"/>
          <w:b/>
          <w:szCs w:val="32"/>
          <w:lang w:eastAsia="zh-CN"/>
        </w:rPr>
        <w:t>旅游</w:t>
      </w:r>
      <w:r>
        <w:rPr>
          <w:rFonts w:hint="eastAsia"/>
          <w:b/>
          <w:color w:val="000000"/>
          <w:sz w:val="30"/>
          <w:szCs w:val="30"/>
        </w:rPr>
        <w:t>体育与传媒支出（类）文化（款）艺术表演团体（项）：</w:t>
      </w:r>
      <w:r>
        <w:rPr>
          <w:rFonts w:hint="eastAsia"/>
          <w:color w:val="000000"/>
          <w:sz w:val="30"/>
          <w:szCs w:val="30"/>
        </w:rPr>
        <w:t>反映文化及其他部门主管的剧院（团）等艺术表演团体的支出。</w:t>
      </w:r>
    </w:p>
    <w:p>
      <w:pPr>
        <w:keepNext w:val="0"/>
        <w:keepLines w:val="0"/>
        <w:pageBreakBefore w:val="0"/>
        <w:widowControl w:val="0"/>
        <w:kinsoku/>
        <w:wordWrap/>
        <w:overflowPunct/>
        <w:topLinePunct w:val="0"/>
        <w:autoSpaceDE/>
        <w:autoSpaceDN/>
        <w:bidi w:val="0"/>
        <w:adjustRightInd/>
        <w:snapToGrid/>
        <w:spacing w:line="240" w:lineRule="auto"/>
        <w:ind w:left="0" w:leftChars="0" w:firstLine="420" w:firstLineChars="200"/>
        <w:textAlignment w:val="auto"/>
        <w:rPr>
          <w:rFonts w:hint="eastAsia"/>
          <w:color w:val="000000"/>
        </w:rPr>
      </w:pPr>
    </w:p>
    <w:p>
      <w:pPr>
        <w:pStyle w:val="3"/>
        <w:keepNext w:val="0"/>
        <w:keepLines w:val="0"/>
        <w:pageBreakBefore w:val="0"/>
        <w:widowControl w:val="0"/>
        <w:kinsoku/>
        <w:wordWrap/>
        <w:overflowPunct/>
        <w:topLinePunct w:val="0"/>
        <w:autoSpaceDE/>
        <w:autoSpaceDN/>
        <w:bidi w:val="0"/>
        <w:adjustRightInd/>
        <w:snapToGrid/>
        <w:spacing w:line="240" w:lineRule="auto"/>
        <w:ind w:left="0" w:leftChars="0" w:firstLine="643" w:firstLineChars="200"/>
        <w:textAlignment w:val="auto"/>
        <w:rPr>
          <w:rFonts w:hint="eastAsia"/>
          <w:szCs w:val="32"/>
        </w:rPr>
      </w:pPr>
      <w:r>
        <w:rPr>
          <w:rFonts w:hint="eastAsia"/>
          <w:b/>
          <w:szCs w:val="32"/>
        </w:rPr>
        <w:t>12.文化</w:t>
      </w:r>
      <w:r>
        <w:rPr>
          <w:rFonts w:hint="eastAsia"/>
          <w:b/>
          <w:szCs w:val="32"/>
          <w:lang w:eastAsia="zh-CN"/>
        </w:rPr>
        <w:t>旅游</w:t>
      </w:r>
      <w:r>
        <w:rPr>
          <w:rFonts w:hint="eastAsia"/>
          <w:b/>
          <w:szCs w:val="32"/>
        </w:rPr>
        <w:t>体育与传媒支出（类）文化（款）文化市场管理（项）</w:t>
      </w:r>
      <w:r>
        <w:rPr>
          <w:rFonts w:hint="eastAsia"/>
          <w:szCs w:val="32"/>
        </w:rPr>
        <w:t>：反映用于文化执法检查等文化市场管理方面的支出。</w:t>
      </w:r>
    </w:p>
    <w:p>
      <w:pPr>
        <w:pStyle w:val="3"/>
        <w:keepNext w:val="0"/>
        <w:keepLines w:val="0"/>
        <w:pageBreakBefore w:val="0"/>
        <w:widowControl w:val="0"/>
        <w:kinsoku/>
        <w:wordWrap/>
        <w:overflowPunct/>
        <w:topLinePunct w:val="0"/>
        <w:autoSpaceDE/>
        <w:autoSpaceDN/>
        <w:bidi w:val="0"/>
        <w:adjustRightInd/>
        <w:snapToGrid/>
        <w:spacing w:line="240" w:lineRule="auto"/>
        <w:ind w:left="0" w:leftChars="0" w:firstLine="643" w:firstLineChars="200"/>
        <w:textAlignment w:val="auto"/>
        <w:rPr>
          <w:rFonts w:hint="eastAsia"/>
          <w:szCs w:val="32"/>
        </w:rPr>
      </w:pPr>
      <w:r>
        <w:rPr>
          <w:rFonts w:hint="eastAsia"/>
          <w:b/>
          <w:szCs w:val="32"/>
        </w:rPr>
        <w:t>13. 文化</w:t>
      </w:r>
      <w:r>
        <w:rPr>
          <w:rFonts w:hint="eastAsia"/>
          <w:b/>
          <w:szCs w:val="32"/>
          <w:lang w:eastAsia="zh-CN"/>
        </w:rPr>
        <w:t>旅游</w:t>
      </w:r>
      <w:r>
        <w:rPr>
          <w:rFonts w:hint="eastAsia"/>
          <w:b/>
          <w:szCs w:val="32"/>
        </w:rPr>
        <w:t>体育与传媒支出（类）文化（款）其他文化支出（项）：</w:t>
      </w:r>
      <w:r>
        <w:rPr>
          <w:rFonts w:hint="eastAsia"/>
          <w:szCs w:val="32"/>
        </w:rPr>
        <w:t>反映除上述项目以外其他用于文化方面的支出。</w:t>
      </w:r>
    </w:p>
    <w:p>
      <w:pPr>
        <w:pStyle w:val="3"/>
        <w:keepNext w:val="0"/>
        <w:keepLines w:val="0"/>
        <w:pageBreakBefore w:val="0"/>
        <w:widowControl w:val="0"/>
        <w:kinsoku/>
        <w:wordWrap/>
        <w:overflowPunct/>
        <w:topLinePunct w:val="0"/>
        <w:autoSpaceDE/>
        <w:autoSpaceDN/>
        <w:bidi w:val="0"/>
        <w:adjustRightInd/>
        <w:snapToGrid/>
        <w:spacing w:line="240" w:lineRule="auto"/>
        <w:ind w:left="0" w:leftChars="0" w:firstLine="643" w:firstLineChars="200"/>
        <w:textAlignment w:val="auto"/>
        <w:rPr>
          <w:rFonts w:hint="eastAsia"/>
          <w:szCs w:val="32"/>
        </w:rPr>
      </w:pPr>
      <w:r>
        <w:rPr>
          <w:rFonts w:hint="eastAsia"/>
          <w:b/>
          <w:szCs w:val="32"/>
        </w:rPr>
        <w:t>14. 文化</w:t>
      </w:r>
      <w:r>
        <w:rPr>
          <w:rFonts w:hint="eastAsia"/>
          <w:b/>
          <w:szCs w:val="32"/>
          <w:lang w:eastAsia="zh-CN"/>
        </w:rPr>
        <w:t>旅游</w:t>
      </w:r>
      <w:r>
        <w:rPr>
          <w:rFonts w:hint="eastAsia"/>
          <w:b/>
          <w:szCs w:val="32"/>
        </w:rPr>
        <w:t>体育与传媒支出（类）文物（款）文物保护（项）</w:t>
      </w:r>
      <w:r>
        <w:rPr>
          <w:rFonts w:hint="eastAsia"/>
          <w:szCs w:val="32"/>
        </w:rPr>
        <w:t>：反映考古发掘及文物保护方面的支出。</w:t>
      </w:r>
    </w:p>
    <w:p>
      <w:pPr>
        <w:pStyle w:val="3"/>
        <w:keepNext w:val="0"/>
        <w:keepLines w:val="0"/>
        <w:pageBreakBefore w:val="0"/>
        <w:widowControl w:val="0"/>
        <w:kinsoku/>
        <w:wordWrap/>
        <w:overflowPunct/>
        <w:topLinePunct w:val="0"/>
        <w:autoSpaceDE/>
        <w:autoSpaceDN/>
        <w:bidi w:val="0"/>
        <w:adjustRightInd/>
        <w:snapToGrid/>
        <w:spacing w:line="240" w:lineRule="auto"/>
        <w:ind w:left="0" w:leftChars="0" w:firstLine="643" w:firstLineChars="200"/>
        <w:textAlignment w:val="auto"/>
        <w:rPr>
          <w:rFonts w:hint="eastAsia"/>
          <w:szCs w:val="32"/>
        </w:rPr>
      </w:pPr>
      <w:r>
        <w:rPr>
          <w:rFonts w:hint="eastAsia"/>
          <w:b/>
          <w:szCs w:val="32"/>
        </w:rPr>
        <w:t>15. 文化</w:t>
      </w:r>
      <w:r>
        <w:rPr>
          <w:rFonts w:hint="eastAsia"/>
          <w:b/>
          <w:szCs w:val="32"/>
          <w:lang w:eastAsia="zh-CN"/>
        </w:rPr>
        <w:t>旅游</w:t>
      </w:r>
      <w:r>
        <w:rPr>
          <w:rFonts w:hint="eastAsia"/>
          <w:b/>
          <w:szCs w:val="32"/>
        </w:rPr>
        <w:t>体育与传媒支出（类）体育（款）群众体育（项）</w:t>
      </w:r>
      <w:r>
        <w:rPr>
          <w:rFonts w:hint="eastAsia"/>
          <w:szCs w:val="32"/>
        </w:rPr>
        <w:t>：反映业余体校和全民健身等群众体育活动方面的支出。</w:t>
      </w:r>
    </w:p>
    <w:p>
      <w:pPr>
        <w:pStyle w:val="3"/>
        <w:keepNext w:val="0"/>
        <w:keepLines w:val="0"/>
        <w:pageBreakBefore w:val="0"/>
        <w:widowControl w:val="0"/>
        <w:kinsoku/>
        <w:wordWrap/>
        <w:overflowPunct/>
        <w:topLinePunct w:val="0"/>
        <w:autoSpaceDE/>
        <w:autoSpaceDN/>
        <w:bidi w:val="0"/>
        <w:adjustRightInd/>
        <w:snapToGrid/>
        <w:spacing w:line="240" w:lineRule="auto"/>
        <w:ind w:left="0" w:leftChars="0" w:firstLine="643" w:firstLineChars="200"/>
        <w:textAlignment w:val="auto"/>
        <w:rPr>
          <w:rFonts w:hint="eastAsia"/>
          <w:szCs w:val="32"/>
        </w:rPr>
      </w:pPr>
      <w:r>
        <w:rPr>
          <w:rFonts w:hint="eastAsia"/>
          <w:b/>
          <w:szCs w:val="32"/>
        </w:rPr>
        <w:t>16. 文化</w:t>
      </w:r>
      <w:r>
        <w:rPr>
          <w:rFonts w:hint="eastAsia"/>
          <w:b/>
          <w:szCs w:val="32"/>
          <w:lang w:eastAsia="zh-CN"/>
        </w:rPr>
        <w:t>旅游</w:t>
      </w:r>
      <w:r>
        <w:rPr>
          <w:rFonts w:hint="eastAsia"/>
          <w:b/>
          <w:szCs w:val="32"/>
        </w:rPr>
        <w:t>体育与传媒支出（类）体育（款）其他体育支出（项）</w:t>
      </w:r>
      <w:r>
        <w:rPr>
          <w:rFonts w:hint="eastAsia"/>
          <w:szCs w:val="32"/>
        </w:rPr>
        <w:t>：反映除上述项目以外其他用于体育方面的支出。</w:t>
      </w:r>
    </w:p>
    <w:p>
      <w:pPr>
        <w:pStyle w:val="3"/>
        <w:keepNext w:val="0"/>
        <w:keepLines w:val="0"/>
        <w:pageBreakBefore w:val="0"/>
        <w:widowControl w:val="0"/>
        <w:kinsoku/>
        <w:wordWrap/>
        <w:overflowPunct/>
        <w:topLinePunct w:val="0"/>
        <w:autoSpaceDE/>
        <w:autoSpaceDN/>
        <w:bidi w:val="0"/>
        <w:adjustRightInd/>
        <w:snapToGrid/>
        <w:spacing w:line="240" w:lineRule="auto"/>
        <w:ind w:left="0" w:leftChars="0" w:firstLine="643" w:firstLineChars="200"/>
        <w:textAlignment w:val="auto"/>
        <w:rPr>
          <w:rFonts w:hint="eastAsia"/>
          <w:szCs w:val="32"/>
        </w:rPr>
      </w:pPr>
      <w:r>
        <w:rPr>
          <w:rFonts w:hint="eastAsia"/>
          <w:b/>
          <w:szCs w:val="32"/>
        </w:rPr>
        <w:t>17. 文化</w:t>
      </w:r>
      <w:r>
        <w:rPr>
          <w:rFonts w:hint="eastAsia"/>
          <w:b/>
          <w:szCs w:val="32"/>
          <w:lang w:eastAsia="zh-CN"/>
        </w:rPr>
        <w:t>旅游</w:t>
      </w:r>
      <w:r>
        <w:rPr>
          <w:rFonts w:hint="eastAsia"/>
          <w:b/>
          <w:szCs w:val="32"/>
        </w:rPr>
        <w:t>体育与传媒支出（类）其他文化体育与传媒支出（款）</w:t>
      </w:r>
      <w:r>
        <w:rPr>
          <w:rFonts w:hint="eastAsia"/>
          <w:szCs w:val="32"/>
        </w:rPr>
        <w:t>：宣传文化发展专项支出（项）反映按照国家有关政策支持宣传文化单位发展的专项支出。</w:t>
      </w:r>
    </w:p>
    <w:p>
      <w:pPr>
        <w:pStyle w:val="3"/>
        <w:keepNext w:val="0"/>
        <w:keepLines w:val="0"/>
        <w:pageBreakBefore w:val="0"/>
        <w:widowControl w:val="0"/>
        <w:kinsoku/>
        <w:wordWrap/>
        <w:overflowPunct/>
        <w:topLinePunct w:val="0"/>
        <w:autoSpaceDE/>
        <w:autoSpaceDN/>
        <w:bidi w:val="0"/>
        <w:adjustRightInd/>
        <w:snapToGrid/>
        <w:spacing w:line="240" w:lineRule="auto"/>
        <w:ind w:left="0" w:leftChars="0" w:firstLine="643" w:firstLineChars="200"/>
        <w:textAlignment w:val="auto"/>
        <w:rPr>
          <w:rFonts w:hint="eastAsia"/>
          <w:szCs w:val="32"/>
        </w:rPr>
      </w:pPr>
      <w:r>
        <w:rPr>
          <w:rFonts w:hint="eastAsia"/>
          <w:b/>
          <w:szCs w:val="32"/>
        </w:rPr>
        <w:t>18.文化</w:t>
      </w:r>
      <w:r>
        <w:rPr>
          <w:rFonts w:hint="eastAsia"/>
          <w:b/>
          <w:szCs w:val="32"/>
          <w:lang w:eastAsia="zh-CN"/>
        </w:rPr>
        <w:t>旅游</w:t>
      </w:r>
      <w:r>
        <w:rPr>
          <w:rFonts w:hint="eastAsia"/>
          <w:b/>
          <w:szCs w:val="32"/>
        </w:rPr>
        <w:t>体育与传媒支出（类）广播影视（款）电影（项）</w:t>
      </w:r>
      <w:r>
        <w:rPr>
          <w:rFonts w:hint="eastAsia"/>
          <w:szCs w:val="32"/>
        </w:rPr>
        <w:t>：反映电影制片、发行、反映等方面的支出。</w:t>
      </w:r>
    </w:p>
    <w:p>
      <w:pPr>
        <w:pStyle w:val="3"/>
        <w:keepNext w:val="0"/>
        <w:keepLines w:val="0"/>
        <w:pageBreakBefore w:val="0"/>
        <w:widowControl w:val="0"/>
        <w:kinsoku/>
        <w:wordWrap/>
        <w:overflowPunct/>
        <w:topLinePunct w:val="0"/>
        <w:autoSpaceDE/>
        <w:autoSpaceDN/>
        <w:bidi w:val="0"/>
        <w:adjustRightInd/>
        <w:snapToGrid/>
        <w:spacing w:line="240" w:lineRule="auto"/>
        <w:ind w:left="0" w:leftChars="0" w:firstLine="643" w:firstLineChars="200"/>
        <w:textAlignment w:val="auto"/>
        <w:rPr>
          <w:rFonts w:hint="eastAsia"/>
          <w:sz w:val="30"/>
          <w:szCs w:val="30"/>
        </w:rPr>
      </w:pPr>
      <w:r>
        <w:rPr>
          <w:rFonts w:hint="eastAsia"/>
          <w:b/>
          <w:szCs w:val="32"/>
        </w:rPr>
        <w:t>19.</w:t>
      </w:r>
      <w:r>
        <w:rPr>
          <w:rFonts w:hint="eastAsia"/>
          <w:b/>
          <w:sz w:val="30"/>
          <w:szCs w:val="30"/>
        </w:rPr>
        <w:t xml:space="preserve"> 文化</w:t>
      </w:r>
      <w:r>
        <w:rPr>
          <w:rFonts w:hint="eastAsia"/>
          <w:b/>
          <w:szCs w:val="32"/>
          <w:lang w:eastAsia="zh-CN"/>
        </w:rPr>
        <w:t>旅游</w:t>
      </w:r>
      <w:r>
        <w:rPr>
          <w:rFonts w:hint="eastAsia"/>
          <w:b/>
          <w:sz w:val="30"/>
          <w:szCs w:val="30"/>
        </w:rPr>
        <w:t>体育与传媒支出（类）广播影视（款）行政运行（项）：</w:t>
      </w:r>
      <w:r>
        <w:rPr>
          <w:rFonts w:hint="eastAsia"/>
          <w:sz w:val="30"/>
          <w:szCs w:val="30"/>
        </w:rPr>
        <w:t>反映行政单位（包括实行公务员管理的事业单位）的基本支出。</w:t>
      </w:r>
    </w:p>
    <w:p>
      <w:pPr>
        <w:pStyle w:val="3"/>
        <w:keepNext w:val="0"/>
        <w:keepLines w:val="0"/>
        <w:pageBreakBefore w:val="0"/>
        <w:widowControl w:val="0"/>
        <w:kinsoku/>
        <w:wordWrap/>
        <w:overflowPunct/>
        <w:topLinePunct w:val="0"/>
        <w:autoSpaceDE/>
        <w:autoSpaceDN/>
        <w:bidi w:val="0"/>
        <w:adjustRightInd/>
        <w:snapToGrid/>
        <w:spacing w:line="240" w:lineRule="auto"/>
        <w:ind w:left="0" w:leftChars="0" w:firstLine="643" w:firstLineChars="200"/>
        <w:textAlignment w:val="auto"/>
        <w:rPr>
          <w:rFonts w:hint="eastAsia"/>
          <w:color w:val="000000"/>
          <w:sz w:val="30"/>
          <w:szCs w:val="30"/>
        </w:rPr>
      </w:pPr>
      <w:r>
        <w:rPr>
          <w:rFonts w:hint="eastAsia"/>
          <w:b/>
          <w:color w:val="000000"/>
          <w:szCs w:val="32"/>
        </w:rPr>
        <w:t>20.</w:t>
      </w:r>
      <w:r>
        <w:rPr>
          <w:rFonts w:hint="eastAsia"/>
          <w:b/>
          <w:color w:val="000000"/>
          <w:sz w:val="30"/>
          <w:szCs w:val="30"/>
        </w:rPr>
        <w:t xml:space="preserve"> 文化</w:t>
      </w:r>
      <w:r>
        <w:rPr>
          <w:rFonts w:hint="eastAsia"/>
          <w:b/>
          <w:szCs w:val="32"/>
          <w:lang w:eastAsia="zh-CN"/>
        </w:rPr>
        <w:t>旅游</w:t>
      </w:r>
      <w:r>
        <w:rPr>
          <w:rFonts w:hint="eastAsia"/>
          <w:b/>
          <w:color w:val="000000"/>
          <w:sz w:val="30"/>
          <w:szCs w:val="30"/>
        </w:rPr>
        <w:t>体育与传媒支出（类）广播影视（款）电视（项）：</w:t>
      </w:r>
      <w:r>
        <w:rPr>
          <w:rFonts w:hint="eastAsia"/>
          <w:color w:val="000000"/>
          <w:sz w:val="30"/>
          <w:szCs w:val="30"/>
        </w:rPr>
        <w:t>反映电视台、电视发射台、电视转播台的支出等。</w:t>
      </w:r>
    </w:p>
    <w:p>
      <w:pPr>
        <w:pStyle w:val="3"/>
        <w:keepNext w:val="0"/>
        <w:keepLines w:val="0"/>
        <w:pageBreakBefore w:val="0"/>
        <w:widowControl w:val="0"/>
        <w:kinsoku/>
        <w:wordWrap/>
        <w:overflowPunct/>
        <w:topLinePunct w:val="0"/>
        <w:autoSpaceDE/>
        <w:autoSpaceDN/>
        <w:bidi w:val="0"/>
        <w:adjustRightInd/>
        <w:snapToGrid/>
        <w:spacing w:line="240" w:lineRule="auto"/>
        <w:ind w:left="0" w:leftChars="0" w:firstLine="643" w:firstLineChars="200"/>
        <w:textAlignment w:val="auto"/>
        <w:rPr>
          <w:rFonts w:hint="eastAsia"/>
          <w:color w:val="000000"/>
          <w:sz w:val="30"/>
          <w:szCs w:val="30"/>
        </w:rPr>
      </w:pPr>
      <w:r>
        <w:rPr>
          <w:rFonts w:hint="eastAsia"/>
          <w:b/>
          <w:color w:val="000000"/>
          <w:szCs w:val="32"/>
        </w:rPr>
        <w:t>21.</w:t>
      </w:r>
      <w:r>
        <w:rPr>
          <w:rFonts w:hint="eastAsia"/>
          <w:b/>
          <w:color w:val="000000"/>
          <w:sz w:val="30"/>
          <w:szCs w:val="30"/>
        </w:rPr>
        <w:t xml:space="preserve"> 文化</w:t>
      </w:r>
      <w:r>
        <w:rPr>
          <w:rFonts w:hint="eastAsia"/>
          <w:b/>
          <w:szCs w:val="32"/>
          <w:lang w:eastAsia="zh-CN"/>
        </w:rPr>
        <w:t>旅游</w:t>
      </w:r>
      <w:r>
        <w:rPr>
          <w:rFonts w:hint="eastAsia"/>
          <w:b/>
          <w:color w:val="000000"/>
          <w:sz w:val="30"/>
          <w:szCs w:val="30"/>
        </w:rPr>
        <w:t>体育与传媒支出（类）新闻出版（款）新闻通讯（项）：</w:t>
      </w:r>
      <w:r>
        <w:rPr>
          <w:rFonts w:hint="eastAsia"/>
          <w:color w:val="000000"/>
          <w:sz w:val="30"/>
          <w:szCs w:val="30"/>
        </w:rPr>
        <w:t>反映新闻通讯社等新闻宣传支出。</w:t>
      </w:r>
    </w:p>
    <w:p>
      <w:pPr>
        <w:pStyle w:val="3"/>
        <w:keepNext w:val="0"/>
        <w:keepLines w:val="0"/>
        <w:pageBreakBefore w:val="0"/>
        <w:widowControl w:val="0"/>
        <w:kinsoku/>
        <w:wordWrap/>
        <w:overflowPunct/>
        <w:topLinePunct w:val="0"/>
        <w:autoSpaceDE/>
        <w:autoSpaceDN/>
        <w:bidi w:val="0"/>
        <w:adjustRightInd/>
        <w:snapToGrid/>
        <w:spacing w:line="240" w:lineRule="auto"/>
        <w:ind w:left="0" w:leftChars="0" w:firstLine="643" w:firstLineChars="200"/>
        <w:textAlignment w:val="auto"/>
        <w:rPr>
          <w:rFonts w:hint="eastAsia"/>
          <w:color w:val="000000"/>
          <w:sz w:val="30"/>
          <w:szCs w:val="30"/>
        </w:rPr>
      </w:pPr>
      <w:r>
        <w:rPr>
          <w:rFonts w:hint="eastAsia"/>
          <w:b/>
          <w:color w:val="000000"/>
          <w:szCs w:val="32"/>
        </w:rPr>
        <w:t>22.</w:t>
      </w:r>
      <w:r>
        <w:rPr>
          <w:rFonts w:hint="eastAsia"/>
          <w:b/>
          <w:sz w:val="30"/>
          <w:szCs w:val="30"/>
        </w:rPr>
        <w:t>文化</w:t>
      </w:r>
      <w:r>
        <w:rPr>
          <w:rFonts w:hint="eastAsia"/>
          <w:b/>
          <w:szCs w:val="32"/>
          <w:lang w:eastAsia="zh-CN"/>
        </w:rPr>
        <w:t>旅游</w:t>
      </w:r>
      <w:r>
        <w:rPr>
          <w:rFonts w:hint="eastAsia"/>
          <w:b/>
          <w:sz w:val="30"/>
          <w:szCs w:val="30"/>
        </w:rPr>
        <w:t>体育与传媒支出（类）其他文化体育与传媒支出（款）文化产业发展专项支出（项）：</w:t>
      </w:r>
      <w:r>
        <w:rPr>
          <w:rFonts w:hint="eastAsia"/>
          <w:color w:val="000000"/>
          <w:sz w:val="30"/>
          <w:szCs w:val="30"/>
        </w:rPr>
        <w:t>反映支持文化产业发展专项支出。</w:t>
      </w:r>
    </w:p>
    <w:p>
      <w:pPr>
        <w:pStyle w:val="3"/>
        <w:keepNext w:val="0"/>
        <w:keepLines w:val="0"/>
        <w:pageBreakBefore w:val="0"/>
        <w:widowControl w:val="0"/>
        <w:kinsoku/>
        <w:wordWrap/>
        <w:overflowPunct/>
        <w:topLinePunct w:val="0"/>
        <w:autoSpaceDE/>
        <w:autoSpaceDN/>
        <w:bidi w:val="0"/>
        <w:adjustRightInd/>
        <w:snapToGrid/>
        <w:spacing w:line="240" w:lineRule="auto"/>
        <w:ind w:left="0" w:leftChars="0" w:firstLine="643" w:firstLineChars="200"/>
        <w:textAlignment w:val="auto"/>
        <w:rPr>
          <w:rFonts w:hint="eastAsia"/>
          <w:sz w:val="30"/>
          <w:szCs w:val="30"/>
        </w:rPr>
      </w:pPr>
      <w:r>
        <w:rPr>
          <w:rFonts w:hint="eastAsia"/>
          <w:b/>
          <w:color w:val="000000"/>
          <w:szCs w:val="32"/>
        </w:rPr>
        <w:t>23.</w:t>
      </w:r>
      <w:r>
        <w:rPr>
          <w:rFonts w:hint="eastAsia"/>
          <w:b/>
          <w:sz w:val="30"/>
          <w:szCs w:val="30"/>
        </w:rPr>
        <w:t xml:space="preserve"> 文化</w:t>
      </w:r>
      <w:r>
        <w:rPr>
          <w:rFonts w:hint="eastAsia"/>
          <w:b/>
          <w:szCs w:val="32"/>
          <w:lang w:eastAsia="zh-CN"/>
        </w:rPr>
        <w:t>旅游</w:t>
      </w:r>
      <w:r>
        <w:rPr>
          <w:rFonts w:hint="eastAsia"/>
          <w:b/>
          <w:sz w:val="30"/>
          <w:szCs w:val="30"/>
        </w:rPr>
        <w:t>体育与传媒支出（类）体育（款）体育竞赛（项）：</w:t>
      </w:r>
      <w:r>
        <w:rPr>
          <w:rFonts w:hint="eastAsia"/>
          <w:sz w:val="30"/>
          <w:szCs w:val="30"/>
        </w:rPr>
        <w:t>反映综合性运动会及单项体育比赛支出。</w:t>
      </w:r>
    </w:p>
    <w:p>
      <w:pPr>
        <w:pStyle w:val="3"/>
        <w:keepNext w:val="0"/>
        <w:keepLines w:val="0"/>
        <w:pageBreakBefore w:val="0"/>
        <w:widowControl w:val="0"/>
        <w:kinsoku/>
        <w:wordWrap/>
        <w:overflowPunct/>
        <w:topLinePunct w:val="0"/>
        <w:autoSpaceDE/>
        <w:autoSpaceDN/>
        <w:bidi w:val="0"/>
        <w:adjustRightInd/>
        <w:snapToGrid/>
        <w:spacing w:line="240" w:lineRule="auto"/>
        <w:ind w:left="0" w:leftChars="0" w:firstLine="643" w:firstLineChars="200"/>
        <w:textAlignment w:val="auto"/>
        <w:rPr>
          <w:rFonts w:hint="eastAsia"/>
          <w:color w:val="000000"/>
          <w:sz w:val="30"/>
          <w:szCs w:val="30"/>
        </w:rPr>
      </w:pPr>
      <w:r>
        <w:rPr>
          <w:rFonts w:hint="eastAsia"/>
          <w:b/>
          <w:color w:val="000000"/>
          <w:szCs w:val="32"/>
        </w:rPr>
        <w:t>24.</w:t>
      </w:r>
      <w:r>
        <w:rPr>
          <w:rFonts w:hint="eastAsia"/>
          <w:b/>
          <w:sz w:val="30"/>
          <w:szCs w:val="30"/>
        </w:rPr>
        <w:t xml:space="preserve"> 文化</w:t>
      </w:r>
      <w:r>
        <w:rPr>
          <w:rFonts w:hint="eastAsia"/>
          <w:b/>
          <w:szCs w:val="32"/>
          <w:lang w:eastAsia="zh-CN"/>
        </w:rPr>
        <w:t>旅游</w:t>
      </w:r>
      <w:r>
        <w:rPr>
          <w:rFonts w:hint="eastAsia"/>
          <w:b/>
          <w:sz w:val="30"/>
          <w:szCs w:val="30"/>
        </w:rPr>
        <w:t>体育与传媒支出（类）其他文化体育与传媒支出（款）宣传文化发展专项支出（项）：反映按照国家有关政策支持宣传文化单位发展的专项支出。</w:t>
      </w:r>
    </w:p>
    <w:p>
      <w:pPr>
        <w:pStyle w:val="3"/>
        <w:keepNext w:val="0"/>
        <w:keepLines w:val="0"/>
        <w:pageBreakBefore w:val="0"/>
        <w:widowControl w:val="0"/>
        <w:kinsoku/>
        <w:wordWrap/>
        <w:overflowPunct/>
        <w:topLinePunct w:val="0"/>
        <w:autoSpaceDE/>
        <w:autoSpaceDN/>
        <w:bidi w:val="0"/>
        <w:adjustRightInd/>
        <w:snapToGrid/>
        <w:spacing w:line="240" w:lineRule="auto"/>
        <w:ind w:left="0" w:leftChars="0" w:firstLine="643" w:firstLineChars="200"/>
        <w:textAlignment w:val="auto"/>
        <w:rPr>
          <w:rFonts w:hint="eastAsia"/>
          <w:szCs w:val="32"/>
        </w:rPr>
      </w:pPr>
      <w:r>
        <w:rPr>
          <w:rFonts w:hint="eastAsia"/>
          <w:b/>
          <w:szCs w:val="32"/>
        </w:rPr>
        <w:t>25. 医疗卫生与计划生育支出（类）医疗保障（款）行政单位医疗（项）：</w:t>
      </w:r>
      <w:r>
        <w:rPr>
          <w:rFonts w:hint="eastAsia"/>
          <w:szCs w:val="32"/>
        </w:rPr>
        <w:t>反映财政部门集中安排的行政单位基本医疗保险缴费经费，未参加医疗保险的行政单位的公费医疗经费，按规定享受离休人员、红军老战士待遇人员的医疗经费。</w:t>
      </w:r>
    </w:p>
    <w:p>
      <w:pPr>
        <w:pStyle w:val="3"/>
        <w:keepNext w:val="0"/>
        <w:keepLines w:val="0"/>
        <w:pageBreakBefore w:val="0"/>
        <w:widowControl w:val="0"/>
        <w:kinsoku/>
        <w:wordWrap/>
        <w:overflowPunct/>
        <w:topLinePunct w:val="0"/>
        <w:autoSpaceDE/>
        <w:autoSpaceDN/>
        <w:bidi w:val="0"/>
        <w:adjustRightInd/>
        <w:snapToGrid/>
        <w:spacing w:line="240" w:lineRule="auto"/>
        <w:ind w:left="0" w:leftChars="0" w:firstLine="643" w:firstLineChars="200"/>
        <w:textAlignment w:val="auto"/>
        <w:rPr>
          <w:rFonts w:hint="eastAsia"/>
          <w:szCs w:val="32"/>
        </w:rPr>
      </w:pPr>
      <w:r>
        <w:rPr>
          <w:rFonts w:hint="eastAsia"/>
          <w:b/>
          <w:szCs w:val="32"/>
        </w:rPr>
        <w:t>26.医疗卫生与计划生育支出（类）医疗保障（款）事业单位医疗（项）：</w:t>
      </w:r>
      <w:r>
        <w:rPr>
          <w:rFonts w:hint="eastAsia"/>
          <w:szCs w:val="32"/>
        </w:rPr>
        <w:t>反映财政部门集中安排的事业单位基本医疗保险缴费经费，未参加医疗保险的事业单位的公费医疗经费，按规定享受离休人员、红军老战士待遇人员的医疗经费。</w:t>
      </w:r>
    </w:p>
    <w:p>
      <w:pPr>
        <w:pStyle w:val="3"/>
        <w:keepNext w:val="0"/>
        <w:keepLines w:val="0"/>
        <w:pageBreakBefore w:val="0"/>
        <w:widowControl w:val="0"/>
        <w:kinsoku/>
        <w:wordWrap/>
        <w:overflowPunct/>
        <w:topLinePunct w:val="0"/>
        <w:autoSpaceDE/>
        <w:autoSpaceDN/>
        <w:bidi w:val="0"/>
        <w:adjustRightInd/>
        <w:snapToGrid/>
        <w:spacing w:line="240" w:lineRule="auto"/>
        <w:ind w:left="0" w:leftChars="0" w:firstLine="643" w:firstLineChars="200"/>
        <w:textAlignment w:val="auto"/>
        <w:rPr>
          <w:rFonts w:hint="eastAsia"/>
          <w:szCs w:val="32"/>
        </w:rPr>
      </w:pPr>
      <w:r>
        <w:rPr>
          <w:rFonts w:hint="eastAsia" w:ascii="宋体" w:hAnsi="宋体"/>
          <w:b/>
          <w:szCs w:val="32"/>
        </w:rPr>
        <w:t>27．</w:t>
      </w:r>
      <w:r>
        <w:rPr>
          <w:rFonts w:ascii="宋体" w:hAnsi="宋体"/>
          <w:b/>
          <w:szCs w:val="21"/>
        </w:rPr>
        <w:t>社会保障和就业支出</w:t>
      </w:r>
      <w:r>
        <w:rPr>
          <w:rFonts w:hint="eastAsia" w:ascii="宋体" w:hAnsi="宋体"/>
          <w:b/>
          <w:szCs w:val="21"/>
        </w:rPr>
        <w:t>（类）</w:t>
      </w:r>
      <w:r>
        <w:rPr>
          <w:rFonts w:ascii="宋体" w:hAnsi="宋体"/>
          <w:b/>
          <w:szCs w:val="21"/>
        </w:rPr>
        <w:t>行政事业单位离退休</w:t>
      </w:r>
      <w:r>
        <w:rPr>
          <w:rFonts w:hint="eastAsia" w:ascii="宋体" w:hAnsi="宋体"/>
          <w:b/>
          <w:szCs w:val="21"/>
        </w:rPr>
        <w:t>（款）事业</w:t>
      </w:r>
      <w:r>
        <w:rPr>
          <w:rFonts w:hint="eastAsia" w:ascii="宋体" w:hAnsi="宋体"/>
          <w:b/>
          <w:szCs w:val="32"/>
        </w:rPr>
        <w:t>单位</w:t>
      </w:r>
      <w:r>
        <w:rPr>
          <w:rFonts w:ascii="宋体" w:hAnsi="宋体"/>
          <w:b/>
          <w:szCs w:val="32"/>
        </w:rPr>
        <w:t>离退休</w:t>
      </w:r>
      <w:r>
        <w:rPr>
          <w:rFonts w:hint="eastAsia" w:ascii="宋体" w:hAnsi="宋体"/>
          <w:b/>
          <w:szCs w:val="32"/>
        </w:rPr>
        <w:t>（项）</w:t>
      </w:r>
      <w:r>
        <w:rPr>
          <w:rFonts w:hint="eastAsia" w:ascii="宋体" w:hAnsi="宋体"/>
          <w:szCs w:val="32"/>
        </w:rPr>
        <w:t>：反映实行归口管理的事业单位开支的离退休经费。</w:t>
      </w:r>
    </w:p>
    <w:p>
      <w:pPr>
        <w:pStyle w:val="3"/>
        <w:keepNext w:val="0"/>
        <w:keepLines w:val="0"/>
        <w:pageBreakBefore w:val="0"/>
        <w:widowControl w:val="0"/>
        <w:kinsoku/>
        <w:wordWrap/>
        <w:overflowPunct/>
        <w:topLinePunct w:val="0"/>
        <w:autoSpaceDE/>
        <w:autoSpaceDN/>
        <w:bidi w:val="0"/>
        <w:adjustRightInd/>
        <w:snapToGrid/>
        <w:spacing w:line="240" w:lineRule="auto"/>
        <w:ind w:left="0" w:leftChars="0" w:firstLine="643" w:firstLineChars="200"/>
        <w:jc w:val="both"/>
        <w:textAlignment w:val="auto"/>
        <w:rPr>
          <w:rFonts w:hint="eastAsia"/>
          <w:szCs w:val="32"/>
        </w:rPr>
      </w:pPr>
      <w:r>
        <w:rPr>
          <w:rFonts w:hint="eastAsia"/>
          <w:b/>
          <w:szCs w:val="32"/>
        </w:rPr>
        <w:t>28.住房保障（类）住房改革（款）住房公积金（项）：</w:t>
      </w:r>
      <w:r>
        <w:rPr>
          <w:rFonts w:hint="eastAsia"/>
          <w:szCs w:val="32"/>
        </w:rPr>
        <w:t>反映行政事业单位按人力资源和社会保障部、财政部规定的基本工资和津贴补贴以及规定比例为职工缴纳的住房公积金。</w:t>
      </w:r>
    </w:p>
    <w:p>
      <w:pPr>
        <w:keepNext w:val="0"/>
        <w:keepLines w:val="0"/>
        <w:pageBreakBefore w:val="0"/>
        <w:widowControl w:val="0"/>
        <w:kinsoku/>
        <w:wordWrap/>
        <w:overflowPunct/>
        <w:topLinePunct w:val="0"/>
        <w:autoSpaceDE/>
        <w:autoSpaceDN/>
        <w:bidi w:val="0"/>
        <w:adjustRightInd/>
        <w:snapToGrid/>
        <w:spacing w:line="240" w:lineRule="auto"/>
        <w:ind w:left="0" w:leftChars="0" w:firstLine="643" w:firstLineChars="200"/>
        <w:jc w:val="left"/>
        <w:textAlignment w:val="auto"/>
        <w:rPr>
          <w:rFonts w:hint="eastAsia" w:ascii="仿宋_GB2312" w:eastAsia="仿宋_GB2312"/>
          <w:b/>
          <w:sz w:val="32"/>
          <w:szCs w:val="32"/>
        </w:rPr>
      </w:pPr>
      <w:r>
        <w:rPr>
          <w:rFonts w:hint="eastAsia" w:ascii="仿宋_GB2312" w:eastAsia="仿宋_GB2312"/>
          <w:b/>
          <w:sz w:val="32"/>
          <w:szCs w:val="32"/>
        </w:rPr>
        <w:t>29.机关运行经费</w:t>
      </w:r>
      <w:r>
        <w:rPr>
          <w:rFonts w:hint="eastAsia" w:ascii="仿宋_GB2312" w:eastAsia="仿宋_GB2312"/>
          <w:sz w:val="32"/>
          <w:szCs w:val="32"/>
        </w:rPr>
        <w:t>：为保障行政单位（包括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FangSong_GB2312">
    <w:altName w:val="仿宋"/>
    <w:panose1 w:val="00000000000000000000"/>
    <w:charset w:val="86"/>
    <w:family w:val="auto"/>
    <w:pitch w:val="default"/>
    <w:sig w:usb0="00000000" w:usb1="00000000" w:usb2="00000000" w:usb3="00000000" w:csb0="00040000" w:csb1="00000000"/>
  </w:font>
  <w:font w:name="华文中宋">
    <w:altName w:val="宋体"/>
    <w:panose1 w:val="02010600040101010101"/>
    <w:charset w:val="86"/>
    <w:family w:val="auto"/>
    <w:pitch w:val="default"/>
    <w:sig w:usb0="00000000" w:usb1="00000000" w:usb2="00000000" w:usb3="00000000" w:csb0="0004009F" w:csb1="DFD7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7"/>
      </w:rPr>
    </w:pPr>
    <w:r>
      <w:fldChar w:fldCharType="begin"/>
    </w:r>
    <w:r>
      <w:rPr>
        <w:rStyle w:val="7"/>
      </w:rPr>
      <w:instrText xml:space="preserve">PAGE  </w:instrText>
    </w:r>
    <w:r>
      <w:fldChar w:fldCharType="separate"/>
    </w:r>
    <w:r>
      <w:rPr>
        <w:rStyle w:val="7"/>
      </w:rPr>
      <w:t>26</w:t>
    </w:r>
    <w:r>
      <w:fldChar w:fldCharType="end"/>
    </w:r>
  </w:p>
  <w:p>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7"/>
      </w:rPr>
    </w:pPr>
    <w:r>
      <w:fldChar w:fldCharType="begin"/>
    </w:r>
    <w:r>
      <w:rPr>
        <w:rStyle w:val="7"/>
      </w:rPr>
      <w:instrText xml:space="preserve">PAGE  </w:instrText>
    </w:r>
    <w:r>
      <w:fldChar w:fldCharType="separate"/>
    </w:r>
    <w:r>
      <w:fldChar w:fldCharType="end"/>
    </w:r>
  </w:p>
  <w:p>
    <w:pPr>
      <w:pStyle w:val="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7"/>
      </w:rPr>
    </w:pPr>
    <w:r>
      <w:fldChar w:fldCharType="begin"/>
    </w:r>
    <w:r>
      <w:rPr>
        <w:rStyle w:val="7"/>
      </w:rPr>
      <w:instrText xml:space="preserve">PAGE  </w:instrText>
    </w:r>
    <w:r>
      <w:fldChar w:fldCharType="separate"/>
    </w:r>
    <w:r>
      <w:rPr>
        <w:rStyle w:val="7"/>
      </w:rPr>
      <w:t>26</w:t>
    </w:r>
    <w:r>
      <w:fldChar w:fldCharType="end"/>
    </w:r>
  </w:p>
  <w:p>
    <w:pPr>
      <w:pStyle w:val="4"/>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7"/>
      </w:rPr>
    </w:pPr>
    <w:r>
      <w:fldChar w:fldCharType="begin"/>
    </w:r>
    <w:r>
      <w:rPr>
        <w:rStyle w:val="7"/>
      </w:rPr>
      <w:instrText xml:space="preserve">PAGE  </w:instrText>
    </w:r>
    <w:r>
      <w:fldChar w:fldCharType="separate"/>
    </w:r>
    <w:r>
      <w:fldChar w:fldCharType="end"/>
    </w:r>
  </w:p>
  <w:p>
    <w:pPr>
      <w:pStyle w:val="4"/>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F"/>
    <w:multiLevelType w:val="multilevel"/>
    <w:tmpl w:val="0000000F"/>
    <w:lvl w:ilvl="0" w:tentative="0">
      <w:start w:val="1"/>
      <w:numFmt w:val="japaneseCounting"/>
      <w:lvlText w:val="%1、"/>
      <w:lvlJc w:val="left"/>
      <w:pPr>
        <w:tabs>
          <w:tab w:val="left" w:pos="720"/>
        </w:tabs>
        <w:ind w:left="720" w:hanging="720"/>
      </w:pPr>
      <w:rPr>
        <w:rFonts w:hint="default"/>
      </w:rPr>
    </w:lvl>
    <w:lvl w:ilvl="1" w:tentative="0">
      <w:start w:val="2"/>
      <w:numFmt w:val="japaneseCounting"/>
      <w:lvlText w:val="%2、"/>
      <w:lvlJc w:val="left"/>
      <w:pPr>
        <w:tabs>
          <w:tab w:val="left" w:pos="1140"/>
        </w:tabs>
        <w:ind w:left="1140" w:hanging="720"/>
      </w:pPr>
      <w:rPr>
        <w:rFonts w:hint="default"/>
      </w:r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EzZTcwYTAxYjg5YThkMWJhMmRiNmFkOGZjM2FlNzkifQ=="/>
  </w:docVars>
  <w:rsids>
    <w:rsidRoot w:val="258B5F50"/>
    <w:rsid w:val="009C15CF"/>
    <w:rsid w:val="00D02DC8"/>
    <w:rsid w:val="01213BE1"/>
    <w:rsid w:val="013F2C34"/>
    <w:rsid w:val="015C7D2F"/>
    <w:rsid w:val="01976746"/>
    <w:rsid w:val="03EC4641"/>
    <w:rsid w:val="04D46D9F"/>
    <w:rsid w:val="052F267F"/>
    <w:rsid w:val="055D7BA9"/>
    <w:rsid w:val="056C5A14"/>
    <w:rsid w:val="060546ED"/>
    <w:rsid w:val="085754E3"/>
    <w:rsid w:val="09C45E64"/>
    <w:rsid w:val="0A4707F9"/>
    <w:rsid w:val="0AF07676"/>
    <w:rsid w:val="0B274F9F"/>
    <w:rsid w:val="0C9D1A87"/>
    <w:rsid w:val="0DE3026C"/>
    <w:rsid w:val="0F627270"/>
    <w:rsid w:val="107C05C6"/>
    <w:rsid w:val="123E2DF2"/>
    <w:rsid w:val="13BF7CD7"/>
    <w:rsid w:val="149038C9"/>
    <w:rsid w:val="154A23A7"/>
    <w:rsid w:val="166B7B8A"/>
    <w:rsid w:val="17504C84"/>
    <w:rsid w:val="1A574F28"/>
    <w:rsid w:val="1A64110D"/>
    <w:rsid w:val="1A8A0FA4"/>
    <w:rsid w:val="1B2312DE"/>
    <w:rsid w:val="1BE06521"/>
    <w:rsid w:val="1F794145"/>
    <w:rsid w:val="1F9D71BE"/>
    <w:rsid w:val="208F66E8"/>
    <w:rsid w:val="21F56AEA"/>
    <w:rsid w:val="229A5C89"/>
    <w:rsid w:val="250E77B6"/>
    <w:rsid w:val="251926A9"/>
    <w:rsid w:val="258B5F50"/>
    <w:rsid w:val="27576AAE"/>
    <w:rsid w:val="2B434848"/>
    <w:rsid w:val="2D257C58"/>
    <w:rsid w:val="2D440535"/>
    <w:rsid w:val="2EFF2618"/>
    <w:rsid w:val="32213705"/>
    <w:rsid w:val="32465EFE"/>
    <w:rsid w:val="324B4201"/>
    <w:rsid w:val="335C4241"/>
    <w:rsid w:val="33B55F0E"/>
    <w:rsid w:val="345F2FE4"/>
    <w:rsid w:val="3491429F"/>
    <w:rsid w:val="35F61689"/>
    <w:rsid w:val="383448F4"/>
    <w:rsid w:val="3A4229C1"/>
    <w:rsid w:val="3A681814"/>
    <w:rsid w:val="3A860C67"/>
    <w:rsid w:val="3B1F483D"/>
    <w:rsid w:val="3B5949A5"/>
    <w:rsid w:val="3BCC7C28"/>
    <w:rsid w:val="3D547CF1"/>
    <w:rsid w:val="3DDC0ACE"/>
    <w:rsid w:val="3E135AA0"/>
    <w:rsid w:val="40110E46"/>
    <w:rsid w:val="40395D8D"/>
    <w:rsid w:val="4043252E"/>
    <w:rsid w:val="43202762"/>
    <w:rsid w:val="45445708"/>
    <w:rsid w:val="46CD77C4"/>
    <w:rsid w:val="4ABD72C1"/>
    <w:rsid w:val="4EA62086"/>
    <w:rsid w:val="4EEB589A"/>
    <w:rsid w:val="4EFA4142"/>
    <w:rsid w:val="4F523345"/>
    <w:rsid w:val="4FE46932"/>
    <w:rsid w:val="50396CC4"/>
    <w:rsid w:val="50D805C4"/>
    <w:rsid w:val="52260C6D"/>
    <w:rsid w:val="540014D6"/>
    <w:rsid w:val="55882026"/>
    <w:rsid w:val="56AA4D70"/>
    <w:rsid w:val="5710636E"/>
    <w:rsid w:val="58B50DDB"/>
    <w:rsid w:val="58EE78DD"/>
    <w:rsid w:val="5A2473C4"/>
    <w:rsid w:val="5B7736D6"/>
    <w:rsid w:val="5D3270CE"/>
    <w:rsid w:val="5DD83E75"/>
    <w:rsid w:val="5DE643B5"/>
    <w:rsid w:val="5EF91DCB"/>
    <w:rsid w:val="604D7FE8"/>
    <w:rsid w:val="60624F02"/>
    <w:rsid w:val="60A319C1"/>
    <w:rsid w:val="61176CB4"/>
    <w:rsid w:val="61F4146C"/>
    <w:rsid w:val="62A20254"/>
    <w:rsid w:val="63CD49CD"/>
    <w:rsid w:val="64C0225F"/>
    <w:rsid w:val="65FC67BC"/>
    <w:rsid w:val="673E6519"/>
    <w:rsid w:val="687575B5"/>
    <w:rsid w:val="68BE5813"/>
    <w:rsid w:val="69EE087A"/>
    <w:rsid w:val="6B211496"/>
    <w:rsid w:val="6B7A4A6E"/>
    <w:rsid w:val="6E9D4365"/>
    <w:rsid w:val="6ECA6597"/>
    <w:rsid w:val="6F4821BE"/>
    <w:rsid w:val="6F6013B2"/>
    <w:rsid w:val="714114DB"/>
    <w:rsid w:val="71AB0640"/>
    <w:rsid w:val="740A6D2E"/>
    <w:rsid w:val="74167707"/>
    <w:rsid w:val="748E5C99"/>
    <w:rsid w:val="74F1400C"/>
    <w:rsid w:val="765E607B"/>
    <w:rsid w:val="77786C57"/>
    <w:rsid w:val="77CB0E43"/>
    <w:rsid w:val="78A016C4"/>
    <w:rsid w:val="78DD5ABB"/>
    <w:rsid w:val="79632B83"/>
    <w:rsid w:val="7B947E4A"/>
    <w:rsid w:val="7BE41C3E"/>
    <w:rsid w:val="7CAC1F74"/>
    <w:rsid w:val="7CFE2349"/>
    <w:rsid w:val="7E192895"/>
    <w:rsid w:val="7EDA5B8E"/>
    <w:rsid w:val="7FB203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Body Text"/>
    <w:basedOn w:val="1"/>
    <w:next w:val="1"/>
    <w:qFormat/>
    <w:uiPriority w:val="0"/>
    <w:pPr>
      <w:widowControl w:val="0"/>
      <w:spacing w:before="0" w:after="120"/>
      <w:ind w:left="0" w:right="0"/>
      <w:jc w:val="both"/>
    </w:pPr>
    <w:rPr>
      <w:rFonts w:hint="eastAsia" w:ascii="Times New Roman" w:hAnsi="Times New Roman" w:eastAsia="宋体" w:cs="Times New Roman"/>
      <w:kern w:val="2"/>
      <w:sz w:val="32"/>
      <w:szCs w:val="24"/>
      <w:lang w:val="en-US" w:eastAsia="zh-CN" w:bidi="ar-SA"/>
    </w:rPr>
  </w:style>
  <w:style w:type="paragraph" w:styleId="3">
    <w:name w:val="Body Text Indent"/>
    <w:basedOn w:val="1"/>
    <w:qFormat/>
    <w:uiPriority w:val="0"/>
    <w:pPr>
      <w:spacing w:line="540" w:lineRule="exact"/>
      <w:ind w:firstLine="525"/>
    </w:pPr>
    <w:rPr>
      <w:rFonts w:ascii="仿宋_GB2312" w:eastAsia="仿宋_GB2312"/>
      <w:sz w:val="32"/>
    </w:rPr>
  </w:style>
  <w:style w:type="paragraph" w:styleId="4">
    <w:name w:val="footer"/>
    <w:basedOn w:val="1"/>
    <w:qFormat/>
    <w:uiPriority w:val="0"/>
    <w:pPr>
      <w:tabs>
        <w:tab w:val="center" w:pos="4153"/>
        <w:tab w:val="right" w:pos="8306"/>
      </w:tabs>
      <w:snapToGrid w:val="0"/>
      <w:jc w:val="left"/>
    </w:pPr>
    <w:rPr>
      <w:sz w:val="18"/>
      <w:szCs w:val="18"/>
    </w:rPr>
  </w:style>
  <w:style w:type="character" w:styleId="7">
    <w:name w:val="page number"/>
    <w:basedOn w:val="6"/>
    <w:qFormat/>
    <w:uiPriority w:val="0"/>
  </w:style>
  <w:style w:type="paragraph" w:customStyle="1" w:styleId="8">
    <w:name w:val="正文-公1"/>
    <w:basedOn w:val="9"/>
    <w:next w:val="1"/>
    <w:qFormat/>
    <w:uiPriority w:val="0"/>
    <w:pPr>
      <w:ind w:firstLine="200" w:firstLineChars="200"/>
    </w:pPr>
  </w:style>
  <w:style w:type="paragraph" w:customStyle="1" w:styleId="9">
    <w:name w:val="正文 New New New New New New New New New New New New New New New New New New New New New New New New New New New New New New New New New New New New New New New New New New New New New New New New New New New New New New New New New New New New New New Ne"/>
    <w:next w:val="8"/>
    <w:qFormat/>
    <w:uiPriority w:val="0"/>
    <w:pPr>
      <w:widowControl w:val="0"/>
      <w:jc w:val="both"/>
    </w:pPr>
    <w:rPr>
      <w:rFonts w:ascii="Times New Roman" w:hAnsi="Times New Roman" w:eastAsia="宋体" w:cs="Times New Roman"/>
      <w:kern w:val="2"/>
      <w:sz w:val="21"/>
      <w:lang w:val="en-US" w:eastAsia="zh-CN"/>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13</Pages>
  <Words>4070</Words>
  <Characters>4255</Characters>
  <Lines>0</Lines>
  <Paragraphs>0</Paragraphs>
  <TotalTime>2</TotalTime>
  <ScaleCrop>false</ScaleCrop>
  <LinksUpToDate>false</LinksUpToDate>
  <CharactersWithSpaces>4297</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2019-01-23T07:37:00Z</dcterms:created>
  <dc:creator>Administrator</dc:creator>
  <cp:lastModifiedBy>Administrator</cp:lastModifiedBy>
  <cp:lastPrinted>2024-02-05T06:24:00Z</cp:lastPrinted>
  <dcterms:modified xsi:type="dcterms:W3CDTF">2025-02-08T07:48:57Z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y fmtid="{D5CDD505-2E9C-101B-9397-08002B2CF9AE}" pid="3" name="ICV">
    <vt:lpwstr>4AF5B65289184F0CABA95EA4EA789589</vt:lpwstr>
  </property>
</Properties>
</file>