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default"/>
          <w:b/>
          <w:sz w:val="44"/>
          <w:u w:val="single"/>
        </w:rPr>
      </w:pPr>
    </w:p>
    <w:p>
      <w:pPr>
        <w:jc w:val="center"/>
        <w:rPr>
          <w:rFonts w:hint="default"/>
          <w:b/>
          <w:sz w:val="44"/>
          <w:u w:val="single"/>
        </w:rPr>
      </w:pPr>
    </w:p>
    <w:p>
      <w:pPr>
        <w:jc w:val="center"/>
        <w:rPr>
          <w:rFonts w:hint="default"/>
          <w:b/>
          <w:sz w:val="44"/>
          <w:u w:val="single"/>
        </w:rPr>
      </w:pPr>
    </w:p>
    <w:p>
      <w:pPr>
        <w:jc w:val="center"/>
        <w:rPr>
          <w:rFonts w:hint="default"/>
          <w:b/>
          <w:sz w:val="44"/>
          <w:u w:val="single"/>
        </w:rPr>
      </w:pPr>
    </w:p>
    <w:p>
      <w:pPr>
        <w:jc w:val="center"/>
        <w:rPr>
          <w:rFonts w:hint="default"/>
          <w:b/>
          <w:sz w:val="44"/>
          <w:u w:val="single"/>
        </w:rPr>
      </w:pPr>
    </w:p>
    <w:p>
      <w:pPr>
        <w:jc w:val="center"/>
        <w:rPr>
          <w:rFonts w:hint="default"/>
          <w:b/>
          <w:sz w:val="44"/>
          <w:u w:val="single"/>
        </w:rPr>
      </w:pPr>
    </w:p>
    <w:p>
      <w:pPr>
        <w:jc w:val="center"/>
        <w:rPr>
          <w:rFonts w:hint="default"/>
          <w:b/>
          <w:sz w:val="44"/>
          <w:u w:val="single"/>
        </w:rPr>
      </w:pPr>
    </w:p>
    <w:p>
      <w:pPr>
        <w:jc w:val="center"/>
        <w:rPr>
          <w:rFonts w:hint="default" w:asciiTheme="minorEastAsia" w:hAnsiTheme="minorEastAsia" w:eastAsiaTheme="minorEastAsia"/>
          <w:b/>
          <w:sz w:val="52"/>
          <w:szCs w:val="52"/>
        </w:rPr>
      </w:pPr>
      <w:r>
        <w:rPr>
          <w:rFonts w:asciiTheme="minorEastAsia" w:hAnsiTheme="minorEastAsia" w:eastAsiaTheme="minorEastAsia"/>
          <w:b/>
          <w:sz w:val="52"/>
          <w:szCs w:val="52"/>
        </w:rPr>
        <w:t>沈阳市浑南区人民法院</w:t>
      </w:r>
    </w:p>
    <w:p>
      <w:pPr>
        <w:jc w:val="center"/>
        <w:rPr>
          <w:rFonts w:hint="default" w:asciiTheme="minorEastAsia" w:hAnsiTheme="minorEastAsia" w:eastAsiaTheme="minorEastAsia"/>
          <w:b/>
          <w:sz w:val="52"/>
          <w:szCs w:val="52"/>
        </w:rPr>
      </w:pPr>
      <w:r>
        <w:rPr>
          <w:rFonts w:asciiTheme="minorEastAsia" w:hAnsiTheme="minorEastAsia" w:eastAsiaTheme="minorEastAsia"/>
          <w:b/>
          <w:sz w:val="52"/>
          <w:szCs w:val="52"/>
        </w:rPr>
        <w:t>2020年度决算说明</w:t>
      </w:r>
    </w:p>
    <w:p>
      <w:pPr>
        <w:jc w:val="center"/>
        <w:rPr>
          <w:rFonts w:hint="default" w:ascii="楷体" w:hAnsi="楷体" w:eastAsia="楷体"/>
          <w:b/>
          <w:sz w:val="72"/>
        </w:rPr>
      </w:pPr>
    </w:p>
    <w:p>
      <w:pPr>
        <w:jc w:val="center"/>
        <w:rPr>
          <w:rFonts w:hint="default" w:ascii="楷体" w:hAnsi="楷体" w:eastAsia="楷体"/>
          <w:b/>
          <w:sz w:val="72"/>
        </w:rPr>
      </w:pPr>
    </w:p>
    <w:p>
      <w:pPr>
        <w:jc w:val="center"/>
        <w:rPr>
          <w:rFonts w:hint="default" w:ascii="楷体" w:hAnsi="楷体" w:eastAsia="楷体"/>
          <w:b/>
          <w:sz w:val="72"/>
        </w:rPr>
      </w:pPr>
    </w:p>
    <w:p>
      <w:pPr>
        <w:jc w:val="center"/>
        <w:rPr>
          <w:rFonts w:hint="default"/>
          <w:b/>
          <w:sz w:val="44"/>
          <w:u w:val="single"/>
        </w:rPr>
      </w:pPr>
    </w:p>
    <w:p>
      <w:pPr>
        <w:jc w:val="center"/>
        <w:rPr>
          <w:rFonts w:hint="default"/>
          <w:b/>
          <w:sz w:val="44"/>
          <w:u w:val="single"/>
        </w:rPr>
      </w:pPr>
    </w:p>
    <w:p>
      <w:pPr>
        <w:jc w:val="center"/>
        <w:rPr>
          <w:rFonts w:hint="default"/>
          <w:b/>
          <w:sz w:val="44"/>
          <w:u w:val="single"/>
        </w:rPr>
      </w:pPr>
    </w:p>
    <w:p>
      <w:pPr>
        <w:jc w:val="center"/>
        <w:rPr>
          <w:rFonts w:hint="default"/>
          <w:b/>
          <w:sz w:val="44"/>
          <w:u w:val="single"/>
        </w:rPr>
      </w:pPr>
    </w:p>
    <w:p>
      <w:pPr>
        <w:jc w:val="center"/>
        <w:rPr>
          <w:rFonts w:hint="default"/>
          <w:b/>
          <w:sz w:val="44"/>
          <w:u w:val="single"/>
        </w:rPr>
      </w:pPr>
    </w:p>
    <w:p>
      <w:pPr>
        <w:jc w:val="center"/>
        <w:rPr>
          <w:rFonts w:hint="default"/>
          <w:b/>
          <w:sz w:val="44"/>
          <w:u w:val="single"/>
        </w:rPr>
      </w:pPr>
    </w:p>
    <w:p>
      <w:pPr>
        <w:spacing w:line="560" w:lineRule="exact"/>
        <w:jc w:val="center"/>
        <w:rPr>
          <w:rFonts w:hint="default"/>
          <w:b/>
          <w:sz w:val="44"/>
        </w:rPr>
      </w:pPr>
      <w:r>
        <w:rPr>
          <w:b/>
          <w:sz w:val="44"/>
        </w:rPr>
        <w:t>目  录</w:t>
      </w:r>
    </w:p>
    <w:p>
      <w:pPr>
        <w:spacing w:line="560" w:lineRule="exact"/>
        <w:rPr>
          <w:rFonts w:hint="default"/>
          <w:b/>
          <w:sz w:val="44"/>
          <w:u w:val="single"/>
        </w:rPr>
      </w:pPr>
    </w:p>
    <w:p>
      <w:pPr>
        <w:spacing w:line="560" w:lineRule="exact"/>
        <w:rPr>
          <w:rFonts w:hint="default"/>
          <w:b/>
          <w:sz w:val="44"/>
          <w:u w:val="single"/>
        </w:rPr>
      </w:pPr>
    </w:p>
    <w:p>
      <w:pPr>
        <w:spacing w:line="560" w:lineRule="exact"/>
        <w:rPr>
          <w:rFonts w:hint="default" w:ascii="黑体" w:hAnsi="黑体" w:eastAsia="黑体"/>
          <w:sz w:val="32"/>
        </w:rPr>
      </w:pPr>
      <w:r>
        <w:rPr>
          <w:rFonts w:ascii="黑体" w:hAnsi="黑体" w:eastAsia="黑体"/>
          <w:sz w:val="32"/>
        </w:rPr>
        <w:t>第一部分    沈阳市浑南区人民法院概况</w:t>
      </w:r>
    </w:p>
    <w:p>
      <w:pPr>
        <w:numPr>
          <w:ilvl w:val="0"/>
          <w:numId w:val="1"/>
        </w:numPr>
        <w:spacing w:line="560" w:lineRule="exact"/>
        <w:rPr>
          <w:rFonts w:hint="default" w:ascii="仿宋_GB2312" w:hAnsi="黑体" w:eastAsia="仿宋_GB2312"/>
          <w:sz w:val="32"/>
        </w:rPr>
      </w:pPr>
      <w:r>
        <w:rPr>
          <w:rFonts w:ascii="仿宋_GB2312" w:hAnsi="黑体" w:eastAsia="仿宋_GB2312"/>
          <w:sz w:val="32"/>
        </w:rPr>
        <w:t>主要职责</w:t>
      </w:r>
    </w:p>
    <w:p>
      <w:pPr>
        <w:numPr>
          <w:ilvl w:val="0"/>
          <w:numId w:val="1"/>
        </w:numPr>
        <w:spacing w:line="560" w:lineRule="exact"/>
        <w:rPr>
          <w:rFonts w:hint="default" w:ascii="仿宋_GB2312" w:hAnsi="黑体" w:eastAsia="仿宋_GB2312"/>
          <w:sz w:val="32"/>
        </w:rPr>
      </w:pPr>
      <w:r>
        <w:rPr>
          <w:rFonts w:ascii="仿宋_GB2312" w:hAnsi="黑体" w:eastAsia="仿宋_GB2312"/>
          <w:sz w:val="32"/>
        </w:rPr>
        <w:t>沈阳市浑南区人民法院构成</w:t>
      </w:r>
    </w:p>
    <w:p>
      <w:pPr>
        <w:spacing w:line="560" w:lineRule="exact"/>
        <w:rPr>
          <w:rFonts w:hint="default" w:ascii="黑体" w:hAnsi="黑体" w:eastAsia="黑体"/>
          <w:sz w:val="32"/>
        </w:rPr>
      </w:pPr>
      <w:r>
        <w:rPr>
          <w:rFonts w:ascii="黑体" w:hAnsi="黑体" w:eastAsia="黑体"/>
          <w:sz w:val="32"/>
        </w:rPr>
        <w:t>第二部分    沈阳市浑南区人民法院2020年决算情况说明</w:t>
      </w:r>
    </w:p>
    <w:p>
      <w:pPr>
        <w:spacing w:line="560" w:lineRule="exact"/>
        <w:rPr>
          <w:rFonts w:hint="default" w:ascii="黑体" w:hAnsi="黑体" w:eastAsia="黑体"/>
          <w:sz w:val="32"/>
        </w:rPr>
      </w:pPr>
      <w:r>
        <w:rPr>
          <w:rFonts w:ascii="黑体" w:hAnsi="黑体" w:eastAsia="黑体"/>
          <w:sz w:val="32"/>
        </w:rPr>
        <w:t>第三部分    名词解释</w:t>
      </w:r>
    </w:p>
    <w:p>
      <w:pPr>
        <w:spacing w:line="560" w:lineRule="exact"/>
        <w:rPr>
          <w:rFonts w:hint="default" w:ascii="黑体" w:hAnsi="黑体" w:eastAsia="黑体"/>
          <w:sz w:val="32"/>
        </w:rPr>
      </w:pPr>
      <w:r>
        <w:rPr>
          <w:rFonts w:ascii="黑体" w:hAnsi="黑体" w:eastAsia="黑体"/>
          <w:sz w:val="32"/>
        </w:rPr>
        <w:t>第四部分    沈阳市浑南区人民法院2020年决算报表</w:t>
      </w:r>
    </w:p>
    <w:p>
      <w:pPr>
        <w:spacing w:line="540" w:lineRule="exact"/>
        <w:rPr>
          <w:rFonts w:hint="default" w:ascii="仿宋_GB2312" w:hAnsi="黑体" w:eastAsia="仿宋_GB2312"/>
          <w:sz w:val="32"/>
          <w:szCs w:val="32"/>
        </w:rPr>
      </w:pPr>
      <w:r>
        <w:rPr>
          <w:rFonts w:ascii="仿宋_GB2312" w:eastAsia="仿宋_GB2312"/>
          <w:sz w:val="32"/>
          <w:szCs w:val="32"/>
        </w:rPr>
        <w:t>一、</w:t>
      </w:r>
      <w:r>
        <w:rPr>
          <w:rFonts w:ascii="仿宋_GB2312" w:hAnsi="仿宋" w:eastAsia="仿宋_GB2312"/>
          <w:sz w:val="32"/>
          <w:szCs w:val="32"/>
        </w:rPr>
        <w:t>2020年度收入支出决算总表</w:t>
      </w:r>
    </w:p>
    <w:p>
      <w:pPr>
        <w:spacing w:line="540" w:lineRule="exact"/>
        <w:rPr>
          <w:rFonts w:hint="default" w:ascii="仿宋_GB2312" w:eastAsia="仿宋_GB2312"/>
          <w:sz w:val="32"/>
          <w:szCs w:val="32"/>
        </w:rPr>
      </w:pPr>
      <w:r>
        <w:rPr>
          <w:rFonts w:ascii="仿宋_GB2312" w:eastAsia="仿宋_GB2312"/>
          <w:sz w:val="32"/>
          <w:szCs w:val="32"/>
        </w:rPr>
        <w:t>二、2020</w:t>
      </w:r>
      <w:r>
        <w:rPr>
          <w:rFonts w:ascii="仿宋_GB2312" w:hAnsi="仿宋" w:eastAsia="仿宋_GB2312"/>
          <w:sz w:val="32"/>
          <w:szCs w:val="32"/>
        </w:rPr>
        <w:t>年度</w:t>
      </w:r>
      <w:r>
        <w:rPr>
          <w:rFonts w:ascii="仿宋_GB2312" w:eastAsia="仿宋_GB2312"/>
          <w:sz w:val="32"/>
          <w:szCs w:val="32"/>
        </w:rPr>
        <w:t>收入决算表</w:t>
      </w:r>
    </w:p>
    <w:p>
      <w:pPr>
        <w:spacing w:line="540" w:lineRule="exact"/>
        <w:rPr>
          <w:rFonts w:hint="default" w:ascii="仿宋_GB2312" w:eastAsia="仿宋_GB2312"/>
          <w:sz w:val="32"/>
          <w:szCs w:val="32"/>
        </w:rPr>
      </w:pPr>
      <w:r>
        <w:rPr>
          <w:rFonts w:ascii="仿宋_GB2312" w:eastAsia="仿宋_GB2312"/>
          <w:sz w:val="32"/>
          <w:szCs w:val="32"/>
        </w:rPr>
        <w:t>三、2020</w:t>
      </w:r>
      <w:r>
        <w:rPr>
          <w:rFonts w:ascii="仿宋_GB2312" w:hAnsi="仿宋" w:eastAsia="仿宋_GB2312"/>
          <w:sz w:val="32"/>
          <w:szCs w:val="32"/>
        </w:rPr>
        <w:t>年度</w:t>
      </w:r>
      <w:r>
        <w:rPr>
          <w:rFonts w:ascii="仿宋_GB2312" w:eastAsia="仿宋_GB2312"/>
          <w:sz w:val="32"/>
          <w:szCs w:val="32"/>
        </w:rPr>
        <w:t>支出决算表</w:t>
      </w:r>
    </w:p>
    <w:p>
      <w:pPr>
        <w:spacing w:line="540" w:lineRule="exact"/>
        <w:rPr>
          <w:rFonts w:hint="default" w:ascii="仿宋_GB2312" w:hAnsi="黑体" w:eastAsia="仿宋_GB2312"/>
          <w:sz w:val="32"/>
          <w:szCs w:val="32"/>
        </w:rPr>
      </w:pPr>
      <w:r>
        <w:rPr>
          <w:rFonts w:ascii="仿宋_GB2312" w:eastAsia="仿宋_GB2312"/>
          <w:sz w:val="32"/>
          <w:szCs w:val="32"/>
        </w:rPr>
        <w:t>四、</w:t>
      </w:r>
      <w:r>
        <w:rPr>
          <w:rFonts w:ascii="仿宋_GB2312" w:hAnsi="仿宋" w:eastAsia="仿宋_GB2312"/>
          <w:sz w:val="32"/>
          <w:szCs w:val="32"/>
        </w:rPr>
        <w:t>2020年度财政拨款收入支出决算表</w:t>
      </w:r>
    </w:p>
    <w:p>
      <w:pPr>
        <w:spacing w:line="540" w:lineRule="exact"/>
        <w:rPr>
          <w:rFonts w:hint="default" w:ascii="仿宋_GB2312" w:eastAsia="仿宋_GB2312"/>
          <w:sz w:val="32"/>
          <w:szCs w:val="32"/>
        </w:rPr>
      </w:pPr>
      <w:r>
        <w:rPr>
          <w:rFonts w:ascii="仿宋_GB2312" w:eastAsia="仿宋_GB2312"/>
          <w:sz w:val="32"/>
          <w:szCs w:val="32"/>
        </w:rPr>
        <w:t>五、2020年度一般公共预算财政拨款支出决算表</w:t>
      </w:r>
    </w:p>
    <w:p>
      <w:pPr>
        <w:spacing w:line="540" w:lineRule="exact"/>
        <w:rPr>
          <w:rFonts w:hint="default" w:ascii="仿宋_GB2312" w:eastAsia="仿宋_GB2312"/>
          <w:sz w:val="32"/>
          <w:szCs w:val="32"/>
        </w:rPr>
      </w:pPr>
      <w:r>
        <w:rPr>
          <w:rFonts w:ascii="仿宋_GB2312" w:eastAsia="仿宋_GB2312"/>
          <w:sz w:val="32"/>
          <w:szCs w:val="32"/>
        </w:rPr>
        <w:t>六、2020年度一般公共预算财政拨款基本支出决算表</w:t>
      </w:r>
    </w:p>
    <w:p>
      <w:pPr>
        <w:spacing w:line="540" w:lineRule="exact"/>
        <w:rPr>
          <w:rFonts w:hint="default" w:ascii="仿宋_GB2312" w:eastAsia="仿宋_GB2312"/>
          <w:sz w:val="32"/>
          <w:szCs w:val="32"/>
        </w:rPr>
      </w:pPr>
      <w:r>
        <w:rPr>
          <w:rFonts w:ascii="仿宋_GB2312" w:eastAsia="仿宋_GB2312"/>
          <w:sz w:val="32"/>
          <w:szCs w:val="32"/>
        </w:rPr>
        <w:t>七、2020年度政府性基金预算财政拨款支出决算表</w:t>
      </w:r>
    </w:p>
    <w:p>
      <w:pPr>
        <w:spacing w:line="540" w:lineRule="exact"/>
        <w:ind w:left="640" w:hanging="640" w:hangingChars="200"/>
        <w:rPr>
          <w:rFonts w:hint="default" w:ascii="仿宋_GB2312" w:eastAsia="仿宋_GB2312"/>
          <w:sz w:val="32"/>
          <w:szCs w:val="32"/>
        </w:rPr>
      </w:pPr>
      <w:r>
        <w:rPr>
          <w:rFonts w:ascii="仿宋_GB2312" w:eastAsia="仿宋_GB2312"/>
          <w:sz w:val="32"/>
          <w:szCs w:val="32"/>
        </w:rPr>
        <w:t>八、2020</w:t>
      </w:r>
      <w:r>
        <w:rPr>
          <w:rFonts w:ascii="仿宋_GB2312" w:hAnsi="仿宋" w:eastAsia="仿宋_GB2312"/>
          <w:sz w:val="32"/>
          <w:szCs w:val="32"/>
        </w:rPr>
        <w:t>年度</w:t>
      </w:r>
      <w:r>
        <w:rPr>
          <w:rFonts w:ascii="仿宋_GB2312" w:eastAsia="仿宋_GB2312"/>
          <w:sz w:val="32"/>
          <w:szCs w:val="32"/>
        </w:rPr>
        <w:t>一般公共预算财政拨款“三公”经费支出决算表</w:t>
      </w:r>
    </w:p>
    <w:p>
      <w:pPr>
        <w:spacing w:line="540" w:lineRule="exact"/>
        <w:ind w:left="640" w:hanging="640" w:hangingChars="200"/>
        <w:rPr>
          <w:rFonts w:hint="default" w:ascii="仿宋_GB2312" w:eastAsia="仿宋_GB2312"/>
          <w:sz w:val="32"/>
          <w:szCs w:val="32"/>
        </w:rPr>
      </w:pPr>
      <w:r>
        <w:rPr>
          <w:rFonts w:ascii="仿宋_GB2312" w:eastAsia="仿宋_GB2312"/>
          <w:sz w:val="32"/>
          <w:szCs w:val="32"/>
        </w:rPr>
        <w:t>九、2020年度国有资本经营预算财政拨款支出决算表</w:t>
      </w:r>
    </w:p>
    <w:p>
      <w:pPr>
        <w:spacing w:line="540" w:lineRule="exact"/>
        <w:rPr>
          <w:rFonts w:hint="default" w:ascii="黑体" w:hAnsi="黑体" w:eastAsia="黑体"/>
          <w:sz w:val="32"/>
          <w:szCs w:val="32"/>
        </w:rPr>
      </w:pPr>
    </w:p>
    <w:p>
      <w:pPr>
        <w:spacing w:line="560" w:lineRule="exact"/>
        <w:rPr>
          <w:rFonts w:hint="default" w:ascii="黑体" w:hAnsi="黑体" w:eastAsia="黑体"/>
          <w:b/>
          <w:sz w:val="44"/>
          <w:u w:val="single"/>
        </w:rPr>
      </w:pPr>
    </w:p>
    <w:p>
      <w:pPr>
        <w:spacing w:line="560" w:lineRule="exact"/>
        <w:rPr>
          <w:rFonts w:hint="default" w:ascii="黑体" w:hAnsi="黑体" w:eastAsia="黑体"/>
          <w:b/>
          <w:sz w:val="44"/>
          <w:u w:val="single"/>
        </w:rPr>
      </w:pPr>
    </w:p>
    <w:p>
      <w:pPr>
        <w:spacing w:line="560" w:lineRule="exact"/>
        <w:rPr>
          <w:rFonts w:hint="default" w:ascii="黑体" w:hAnsi="黑体" w:eastAsia="黑体"/>
          <w:b/>
          <w:sz w:val="44"/>
          <w:u w:val="single"/>
        </w:rPr>
      </w:pPr>
    </w:p>
    <w:p>
      <w:pPr>
        <w:spacing w:line="560" w:lineRule="exact"/>
        <w:rPr>
          <w:rFonts w:hint="default" w:ascii="黑体" w:hAnsi="黑体" w:eastAsia="黑体"/>
          <w:b/>
          <w:sz w:val="44"/>
          <w:u w:val="single"/>
        </w:rPr>
      </w:pPr>
    </w:p>
    <w:p>
      <w:pPr>
        <w:spacing w:line="560" w:lineRule="exact"/>
        <w:rPr>
          <w:rFonts w:hint="default"/>
          <w:b/>
          <w:sz w:val="44"/>
          <w:u w:val="single"/>
        </w:rPr>
      </w:pPr>
    </w:p>
    <w:p>
      <w:pPr>
        <w:adjustRightInd w:val="0"/>
        <w:spacing w:line="300" w:lineRule="auto"/>
        <w:jc w:val="left"/>
        <w:rPr>
          <w:rFonts w:hint="default" w:ascii="宋体" w:hAnsi="宋体"/>
          <w:b/>
          <w:sz w:val="36"/>
        </w:rPr>
      </w:pPr>
    </w:p>
    <w:p>
      <w:pPr>
        <w:adjustRightInd w:val="0"/>
        <w:spacing w:line="300" w:lineRule="auto"/>
        <w:ind w:firstLine="645"/>
        <w:jc w:val="left"/>
        <w:rPr>
          <w:rFonts w:hint="default" w:ascii="宋体" w:hAnsi="宋体"/>
          <w:b/>
          <w:sz w:val="36"/>
        </w:rPr>
      </w:pPr>
    </w:p>
    <w:p>
      <w:pPr>
        <w:pStyle w:val="13"/>
        <w:spacing w:line="560" w:lineRule="atLeast"/>
        <w:ind w:firstLine="1807" w:firstLineChars="500"/>
        <w:rPr>
          <w:b/>
          <w:bCs/>
          <w:sz w:val="36"/>
          <w:szCs w:val="36"/>
        </w:rPr>
      </w:pPr>
      <w:r>
        <w:rPr>
          <w:rFonts w:hint="eastAsia"/>
          <w:b/>
          <w:bCs/>
          <w:sz w:val="36"/>
          <w:szCs w:val="36"/>
        </w:rPr>
        <w:t>第一部分 沈阳市</w:t>
      </w:r>
      <w:r>
        <w:rPr>
          <w:rFonts w:hint="eastAsia" w:ascii="黑体" w:eastAsia="黑体"/>
          <w:sz w:val="36"/>
          <w:szCs w:val="36"/>
        </w:rPr>
        <w:t>浑南区人民</w:t>
      </w:r>
      <w:r>
        <w:rPr>
          <w:rFonts w:hint="eastAsia"/>
          <w:b/>
          <w:bCs/>
          <w:sz w:val="36"/>
          <w:szCs w:val="36"/>
        </w:rPr>
        <w:t>法院概况</w:t>
      </w:r>
    </w:p>
    <w:p>
      <w:pPr>
        <w:pStyle w:val="13"/>
        <w:spacing w:beforeLines="50" w:afterLines="50" w:line="560" w:lineRule="atLeast"/>
        <w:ind w:firstLine="640" w:firstLineChars="200"/>
        <w:rPr>
          <w:rFonts w:ascii="黑体" w:hAnsi="黑体" w:eastAsia="黑体"/>
          <w:bCs/>
          <w:sz w:val="32"/>
          <w:szCs w:val="32"/>
        </w:rPr>
      </w:pPr>
      <w:r>
        <w:rPr>
          <w:rFonts w:hint="eastAsia" w:ascii="黑体" w:hAnsi="黑体" w:eastAsia="黑体"/>
          <w:bCs/>
          <w:sz w:val="32"/>
          <w:szCs w:val="32"/>
        </w:rPr>
        <w:t>一、主要职责</w:t>
      </w:r>
    </w:p>
    <w:p>
      <w:pPr>
        <w:spacing w:line="360" w:lineRule="auto"/>
        <w:ind w:firstLine="640" w:firstLineChars="200"/>
        <w:rPr>
          <w:rFonts w:hint="default" w:ascii="仿宋_GB2312" w:hAnsi="微软雅黑" w:eastAsia="仿宋_GB2312"/>
          <w:sz w:val="32"/>
          <w:szCs w:val="32"/>
        </w:rPr>
      </w:pPr>
      <w:r>
        <w:rPr>
          <w:rFonts w:ascii="仿宋_GB2312" w:hAnsi="微软雅黑" w:eastAsia="仿宋_GB2312"/>
          <w:sz w:val="32"/>
          <w:szCs w:val="32"/>
        </w:rPr>
        <w:t>法院是司法(审判)机关，是负责审理案件，解决基本民事、行政、刑事案件纠纷的国家机构，拥有和行使调解的职能。</w:t>
      </w:r>
    </w:p>
    <w:p>
      <w:pPr>
        <w:spacing w:line="360" w:lineRule="auto"/>
        <w:ind w:firstLine="640" w:firstLineChars="200"/>
        <w:rPr>
          <w:rFonts w:hint="default" w:ascii="仿宋_GB2312" w:hAnsi="微软雅黑" w:eastAsia="仿宋_GB2312"/>
          <w:sz w:val="32"/>
          <w:szCs w:val="32"/>
        </w:rPr>
      </w:pPr>
      <w:r>
        <w:rPr>
          <w:rFonts w:ascii="仿宋_GB2312" w:hAnsi="微软雅黑" w:eastAsia="仿宋_GB2312"/>
          <w:sz w:val="32"/>
          <w:szCs w:val="32"/>
        </w:rPr>
        <w:t xml:space="preserve">沈阳市浑南区人民法院，是基层人民法院，是四级审判机关中最基础的组成部分。主要职责为： </w:t>
      </w:r>
    </w:p>
    <w:p>
      <w:pPr>
        <w:spacing w:line="360" w:lineRule="auto"/>
        <w:ind w:firstLine="640" w:firstLineChars="200"/>
        <w:rPr>
          <w:rFonts w:hint="default" w:ascii="仿宋_GB2312" w:hAnsi="微软雅黑" w:eastAsia="仿宋_GB2312"/>
          <w:sz w:val="32"/>
          <w:szCs w:val="32"/>
        </w:rPr>
      </w:pPr>
      <w:r>
        <w:rPr>
          <w:rFonts w:ascii="仿宋_GB2312" w:hAnsi="微软雅黑" w:eastAsia="仿宋_GB2312"/>
          <w:sz w:val="32"/>
          <w:szCs w:val="32"/>
        </w:rPr>
        <w:t xml:space="preserve">（一）审判法律规定，基层人民法院应当依法在职权范围内受理和审理的自诉和公诉的刑事、民事、行政等第一审案件。 </w:t>
      </w:r>
    </w:p>
    <w:p>
      <w:pPr>
        <w:spacing w:line="360" w:lineRule="auto"/>
        <w:ind w:firstLine="640" w:firstLineChars="200"/>
        <w:rPr>
          <w:rFonts w:hint="default" w:ascii="仿宋_GB2312" w:hAnsi="微软雅黑" w:eastAsia="仿宋_GB2312"/>
          <w:sz w:val="32"/>
          <w:szCs w:val="32"/>
        </w:rPr>
      </w:pPr>
      <w:r>
        <w:rPr>
          <w:rFonts w:ascii="仿宋_GB2312" w:hAnsi="微软雅黑" w:eastAsia="仿宋_GB2312"/>
          <w:sz w:val="32"/>
          <w:szCs w:val="32"/>
        </w:rPr>
        <w:t xml:space="preserve">（二）依法行使司法执行权和司法决定权。 </w:t>
      </w:r>
    </w:p>
    <w:p>
      <w:pPr>
        <w:spacing w:line="360" w:lineRule="auto"/>
        <w:ind w:firstLine="640" w:firstLineChars="200"/>
        <w:rPr>
          <w:rFonts w:hint="default" w:ascii="仿宋_GB2312" w:hAnsi="微软雅黑" w:eastAsia="仿宋_GB2312"/>
          <w:sz w:val="32"/>
          <w:szCs w:val="32"/>
        </w:rPr>
      </w:pPr>
      <w:r>
        <w:rPr>
          <w:rFonts w:ascii="仿宋_GB2312" w:hAnsi="微软雅黑" w:eastAsia="仿宋_GB2312"/>
          <w:sz w:val="32"/>
          <w:szCs w:val="32"/>
        </w:rPr>
        <w:t xml:space="preserve">（三）依法决定国家赔偿。 </w:t>
      </w:r>
    </w:p>
    <w:p>
      <w:pPr>
        <w:spacing w:line="360" w:lineRule="auto"/>
        <w:ind w:firstLine="640" w:firstLineChars="200"/>
        <w:rPr>
          <w:rFonts w:hint="default" w:ascii="仿宋_GB2312" w:hAnsi="微软雅黑" w:eastAsia="仿宋_GB2312"/>
          <w:sz w:val="32"/>
          <w:szCs w:val="32"/>
        </w:rPr>
      </w:pPr>
      <w:r>
        <w:rPr>
          <w:rFonts w:ascii="仿宋_GB2312" w:hAnsi="微软雅黑" w:eastAsia="仿宋_GB2312"/>
          <w:sz w:val="32"/>
          <w:szCs w:val="32"/>
        </w:rPr>
        <w:t xml:space="preserve">（四）行使审判监督职能。 </w:t>
      </w:r>
    </w:p>
    <w:p>
      <w:pPr>
        <w:spacing w:line="360" w:lineRule="auto"/>
        <w:ind w:firstLine="640" w:firstLineChars="200"/>
        <w:rPr>
          <w:rFonts w:hint="default" w:ascii="仿宋_GB2312" w:hAnsi="微软雅黑" w:eastAsia="仿宋_GB2312"/>
          <w:sz w:val="32"/>
          <w:szCs w:val="32"/>
        </w:rPr>
      </w:pPr>
      <w:r>
        <w:rPr>
          <w:rFonts w:ascii="仿宋_GB2312" w:hAnsi="微软雅黑" w:eastAsia="仿宋_GB2312"/>
          <w:sz w:val="32"/>
          <w:szCs w:val="32"/>
        </w:rPr>
        <w:t xml:space="preserve">（五）研究、征集对法律、法规、规章草案的意见；对案件审理中发现的问题提出司法建议。 </w:t>
      </w:r>
    </w:p>
    <w:p>
      <w:pPr>
        <w:spacing w:line="360" w:lineRule="auto"/>
        <w:ind w:firstLine="640" w:firstLineChars="200"/>
        <w:rPr>
          <w:rFonts w:hint="default" w:ascii="仿宋_GB2312" w:hAnsi="微软雅黑" w:eastAsia="仿宋_GB2312"/>
          <w:sz w:val="32"/>
          <w:szCs w:val="32"/>
        </w:rPr>
      </w:pPr>
      <w:r>
        <w:rPr>
          <w:rFonts w:ascii="仿宋_GB2312" w:hAnsi="微软雅黑" w:eastAsia="仿宋_GB2312"/>
          <w:sz w:val="32"/>
          <w:szCs w:val="32"/>
        </w:rPr>
        <w:t>（六）负责法院思想政治工作、教育培训工作；按照权限管理法官及其他人员；协助管理法院机构、人员编制工作；主管法院监察工作；</w:t>
      </w:r>
      <w:r>
        <w:rPr>
          <w:rFonts w:ascii="仿宋_GB2312" w:hAnsi="微软雅黑" w:eastAsia="仿宋_GB2312" w:cs="Arial"/>
          <w:sz w:val="32"/>
          <w:szCs w:val="32"/>
        </w:rPr>
        <w:t>管理本院的经费、物质装备。</w:t>
      </w:r>
    </w:p>
    <w:p>
      <w:pPr>
        <w:spacing w:line="360" w:lineRule="auto"/>
        <w:ind w:firstLine="640" w:firstLineChars="200"/>
        <w:rPr>
          <w:rFonts w:hint="default" w:ascii="仿宋_GB2312" w:hAnsi="微软雅黑" w:eastAsia="仿宋_GB2312"/>
          <w:sz w:val="32"/>
          <w:szCs w:val="32"/>
        </w:rPr>
      </w:pPr>
      <w:r>
        <w:rPr>
          <w:rFonts w:ascii="仿宋_GB2312" w:hAnsi="微软雅黑" w:eastAsia="仿宋_GB2312"/>
          <w:sz w:val="32"/>
          <w:szCs w:val="32"/>
        </w:rPr>
        <w:t xml:space="preserve">（七）结合审判工作宣传法制，教育公民自觉遵守宪法和法律。 </w:t>
      </w:r>
    </w:p>
    <w:p>
      <w:pPr>
        <w:spacing w:line="360" w:lineRule="auto"/>
        <w:ind w:firstLine="640" w:firstLineChars="200"/>
        <w:rPr>
          <w:rFonts w:hint="default" w:ascii="仿宋_GB2312" w:hAnsi="微软雅黑" w:eastAsia="仿宋_GB2312"/>
          <w:sz w:val="32"/>
          <w:szCs w:val="32"/>
        </w:rPr>
      </w:pPr>
      <w:r>
        <w:rPr>
          <w:rFonts w:ascii="仿宋_GB2312" w:hAnsi="微软雅黑" w:eastAsia="仿宋_GB2312"/>
          <w:sz w:val="32"/>
          <w:szCs w:val="32"/>
        </w:rPr>
        <w:t xml:space="preserve">（八）协调、管理、监督人民陪审员和调解员各项工作。 </w:t>
      </w:r>
    </w:p>
    <w:p>
      <w:pPr>
        <w:autoSpaceDN w:val="0"/>
        <w:spacing w:line="360" w:lineRule="auto"/>
        <w:ind w:firstLine="640" w:firstLineChars="200"/>
        <w:rPr>
          <w:rFonts w:hint="default" w:ascii="仿宋_GB2312" w:hAnsi="仿宋_GB2312" w:eastAsia="仿宋_GB2312" w:cs="仿宋_GB2312"/>
          <w:sz w:val="32"/>
          <w:szCs w:val="32"/>
        </w:rPr>
      </w:pPr>
      <w:r>
        <w:rPr>
          <w:rFonts w:ascii="仿宋_GB2312" w:eastAsia="仿宋_GB2312"/>
          <w:sz w:val="32"/>
          <w:szCs w:val="32"/>
        </w:rPr>
        <w:t>（九）承办其他应由基层法院负责的工作。</w:t>
      </w:r>
    </w:p>
    <w:p>
      <w:pPr>
        <w:adjustRightInd w:val="0"/>
        <w:spacing w:line="300" w:lineRule="auto"/>
        <w:jc w:val="left"/>
        <w:rPr>
          <w:rFonts w:hint="default" w:ascii="仿宋" w:hAnsi="仿宋" w:eastAsia="仿宋" w:cs="仿宋"/>
          <w:sz w:val="32"/>
          <w:szCs w:val="32"/>
        </w:rPr>
      </w:pPr>
    </w:p>
    <w:p>
      <w:pPr>
        <w:spacing w:line="560" w:lineRule="exact"/>
        <w:ind w:firstLine="640" w:firstLineChars="200"/>
        <w:rPr>
          <w:rFonts w:hint="default" w:ascii="黑体" w:eastAsia="黑体"/>
          <w:sz w:val="32"/>
        </w:rPr>
      </w:pPr>
      <w:r>
        <w:rPr>
          <w:rFonts w:ascii="黑体" w:eastAsia="黑体"/>
          <w:sz w:val="32"/>
        </w:rPr>
        <w:t>二、</w:t>
      </w:r>
      <w:r>
        <w:rPr>
          <w:rFonts w:ascii="黑体" w:hAnsi="黑体" w:eastAsia="黑体"/>
          <w:sz w:val="32"/>
        </w:rPr>
        <w:t>沈阳市浑南区人民法院</w:t>
      </w:r>
      <w:r>
        <w:rPr>
          <w:rFonts w:ascii="黑体" w:eastAsia="黑体"/>
          <w:sz w:val="32"/>
        </w:rPr>
        <w:t>决算单位构成</w:t>
      </w:r>
    </w:p>
    <w:p>
      <w:pPr>
        <w:spacing w:line="560" w:lineRule="exact"/>
        <w:ind w:firstLine="640" w:firstLineChars="200"/>
        <w:rPr>
          <w:rFonts w:hint="default" w:ascii="仿宋_GB2312" w:eastAsia="仿宋_GB2312"/>
          <w:sz w:val="32"/>
        </w:rPr>
      </w:pPr>
      <w:r>
        <w:rPr>
          <w:rFonts w:ascii="仿宋_GB2312" w:eastAsia="仿宋_GB2312"/>
          <w:sz w:val="32"/>
        </w:rPr>
        <w:t>本单位无下设机构。</w:t>
      </w:r>
    </w:p>
    <w:p>
      <w:pPr>
        <w:spacing w:line="560" w:lineRule="exact"/>
        <w:rPr>
          <w:rFonts w:hint="default" w:ascii="仿宋_GB2312" w:eastAsia="仿宋_GB2312"/>
          <w:sz w:val="32"/>
        </w:rPr>
      </w:pPr>
    </w:p>
    <w:p>
      <w:pPr>
        <w:spacing w:line="560" w:lineRule="exact"/>
        <w:ind w:firstLine="723" w:firstLineChars="200"/>
        <w:jc w:val="center"/>
        <w:rPr>
          <w:rFonts w:hint="default" w:ascii="宋体" w:hAnsi="宋体"/>
          <w:b/>
          <w:sz w:val="36"/>
        </w:rPr>
      </w:pPr>
      <w:r>
        <w:rPr>
          <w:rFonts w:ascii="宋体" w:hAnsi="宋体"/>
          <w:b/>
          <w:sz w:val="36"/>
        </w:rPr>
        <w:t>第二部分 沈阳市浑南区人民法院2020年度决算情况说明</w:t>
      </w:r>
    </w:p>
    <w:p>
      <w:pPr>
        <w:spacing w:line="560" w:lineRule="exact"/>
        <w:ind w:firstLine="640" w:firstLineChars="200"/>
        <w:jc w:val="center"/>
        <w:rPr>
          <w:rFonts w:hint="default" w:ascii="黑体" w:eastAsia="黑体"/>
          <w:sz w:val="32"/>
        </w:rPr>
      </w:pPr>
    </w:p>
    <w:p>
      <w:pPr>
        <w:spacing w:line="540" w:lineRule="exact"/>
        <w:ind w:firstLine="627" w:firstLineChars="196"/>
        <w:rPr>
          <w:rFonts w:hint="default" w:ascii="黑体" w:hAnsi="黑体" w:eastAsia="黑体"/>
          <w:sz w:val="32"/>
          <w:szCs w:val="32"/>
        </w:rPr>
      </w:pPr>
      <w:r>
        <w:rPr>
          <w:rFonts w:ascii="黑体" w:hAnsi="黑体" w:eastAsia="黑体"/>
          <w:sz w:val="32"/>
          <w:szCs w:val="32"/>
        </w:rPr>
        <w:t>一、收入支出决算总体情况</w:t>
      </w:r>
    </w:p>
    <w:p>
      <w:pPr>
        <w:spacing w:line="540" w:lineRule="exact"/>
        <w:ind w:firstLine="660"/>
        <w:rPr>
          <w:rFonts w:hint="default" w:ascii="楷体_GB2312" w:hAnsi="宋体" w:eastAsia="楷体_GB2312"/>
          <w:b/>
          <w:sz w:val="32"/>
          <w:szCs w:val="32"/>
        </w:rPr>
      </w:pPr>
      <w:r>
        <w:rPr>
          <w:rFonts w:ascii="楷体_GB2312" w:hAnsi="宋体" w:eastAsia="楷体_GB2312"/>
          <w:b/>
          <w:sz w:val="32"/>
          <w:szCs w:val="32"/>
        </w:rPr>
        <w:t>（一）收入总计6703.38万元，包括：</w:t>
      </w:r>
    </w:p>
    <w:p>
      <w:pPr>
        <w:spacing w:line="540" w:lineRule="exact"/>
        <w:ind w:firstLine="660"/>
        <w:rPr>
          <w:rFonts w:hint="default" w:ascii="仿宋_GB2312" w:hAnsi="宋体" w:eastAsia="仿宋_GB2312"/>
          <w:sz w:val="32"/>
          <w:szCs w:val="32"/>
        </w:rPr>
      </w:pPr>
      <w:r>
        <w:rPr>
          <w:rFonts w:ascii="仿宋_GB2312" w:hAnsi="宋体" w:eastAsia="仿宋_GB2312"/>
          <w:sz w:val="32"/>
          <w:szCs w:val="32"/>
        </w:rPr>
        <w:t>1.财政拨款收入6688.40万元，占收入总计的99.78%。其中：一般公共预算财政拨款收入6688.40万元，政府性基金收入0万元，国有资本经营预算财政拨款收入0万元。</w:t>
      </w:r>
    </w:p>
    <w:p>
      <w:pPr>
        <w:spacing w:line="540" w:lineRule="exact"/>
        <w:ind w:firstLine="660"/>
        <w:rPr>
          <w:rFonts w:hint="default" w:ascii="仿宋_GB2312" w:hAnsi="宋体" w:eastAsia="仿宋_GB2312"/>
          <w:sz w:val="32"/>
          <w:szCs w:val="32"/>
        </w:rPr>
      </w:pPr>
      <w:r>
        <w:rPr>
          <w:rFonts w:ascii="仿宋_GB2312" w:hAnsi="宋体" w:eastAsia="仿宋_GB2312"/>
          <w:sz w:val="32"/>
          <w:szCs w:val="32"/>
        </w:rPr>
        <w:t>2.上级补助收入0万元，占收入总计的0%。</w:t>
      </w:r>
    </w:p>
    <w:p>
      <w:pPr>
        <w:spacing w:line="540" w:lineRule="exact"/>
        <w:ind w:firstLine="660"/>
        <w:rPr>
          <w:rFonts w:hint="default" w:ascii="仿宋_GB2312" w:hAnsi="宋体" w:eastAsia="仿宋_GB2312"/>
          <w:sz w:val="32"/>
          <w:szCs w:val="32"/>
        </w:rPr>
      </w:pPr>
      <w:r>
        <w:rPr>
          <w:rFonts w:ascii="仿宋_GB2312" w:hAnsi="宋体" w:eastAsia="仿宋_GB2312"/>
          <w:sz w:val="32"/>
          <w:szCs w:val="32"/>
        </w:rPr>
        <w:t>3.事业收入0万元，占收入总计的0%。</w:t>
      </w:r>
    </w:p>
    <w:p>
      <w:pPr>
        <w:spacing w:line="540" w:lineRule="exact"/>
        <w:ind w:firstLine="660"/>
        <w:rPr>
          <w:rFonts w:hint="default" w:ascii="仿宋_GB2312" w:hAnsi="宋体" w:eastAsia="仿宋_GB2312"/>
          <w:sz w:val="32"/>
          <w:szCs w:val="32"/>
        </w:rPr>
      </w:pPr>
      <w:r>
        <w:rPr>
          <w:rFonts w:ascii="仿宋_GB2312" w:hAnsi="宋体" w:eastAsia="仿宋_GB2312"/>
          <w:sz w:val="32"/>
          <w:szCs w:val="32"/>
        </w:rPr>
        <w:t>4.经营收入0万元，占收入总计的0%。</w:t>
      </w:r>
    </w:p>
    <w:p>
      <w:pPr>
        <w:spacing w:line="540" w:lineRule="exact"/>
        <w:ind w:firstLine="660"/>
        <w:rPr>
          <w:rFonts w:hint="default" w:ascii="仿宋_GB2312" w:hAnsi="宋体" w:eastAsia="仿宋_GB2312"/>
          <w:sz w:val="32"/>
          <w:szCs w:val="32"/>
        </w:rPr>
      </w:pPr>
      <w:r>
        <w:rPr>
          <w:rFonts w:ascii="仿宋_GB2312" w:hAnsi="宋体" w:eastAsia="仿宋_GB2312"/>
          <w:sz w:val="32"/>
          <w:szCs w:val="32"/>
        </w:rPr>
        <w:t>5.附属单位上缴收入0万元，占收入总计的0%。</w:t>
      </w:r>
    </w:p>
    <w:p>
      <w:pPr>
        <w:spacing w:line="540" w:lineRule="exact"/>
        <w:ind w:firstLine="660"/>
        <w:rPr>
          <w:rFonts w:hint="default" w:ascii="仿宋_GB2312" w:hAnsi="宋体" w:eastAsia="仿宋_GB2312"/>
          <w:sz w:val="32"/>
          <w:szCs w:val="32"/>
        </w:rPr>
      </w:pPr>
      <w:r>
        <w:rPr>
          <w:rFonts w:ascii="仿宋_GB2312" w:hAnsi="宋体" w:eastAsia="仿宋_GB2312"/>
          <w:sz w:val="32"/>
          <w:szCs w:val="32"/>
        </w:rPr>
        <w:t>6.其他收入0万元，占收入总计的0%。</w:t>
      </w:r>
    </w:p>
    <w:p>
      <w:pPr>
        <w:spacing w:line="540" w:lineRule="exact"/>
        <w:ind w:firstLine="660"/>
        <w:rPr>
          <w:rFonts w:hint="default" w:ascii="仿宋_GB2312" w:hAnsi="宋体" w:eastAsia="仿宋_GB2312"/>
          <w:sz w:val="32"/>
          <w:szCs w:val="32"/>
        </w:rPr>
      </w:pPr>
      <w:r>
        <w:rPr>
          <w:rFonts w:ascii="仿宋_GB2312" w:hAnsi="宋体" w:eastAsia="仿宋_GB2312"/>
          <w:sz w:val="32"/>
          <w:szCs w:val="32"/>
        </w:rPr>
        <w:t>7.上年结转和结余14.98万元，占收入总计的0.22%。主要是上级专项资金。</w:t>
      </w:r>
    </w:p>
    <w:p>
      <w:pPr>
        <w:spacing w:line="540" w:lineRule="exact"/>
        <w:ind w:firstLine="660"/>
        <w:rPr>
          <w:rFonts w:hint="default" w:ascii="仿宋_GB2312" w:hAnsi="宋体" w:eastAsia="仿宋_GB2312"/>
          <w:sz w:val="32"/>
          <w:szCs w:val="32"/>
        </w:rPr>
      </w:pPr>
      <w:r>
        <w:rPr>
          <w:rFonts w:ascii="仿宋_GB2312" w:hAnsi="宋体" w:eastAsia="仿宋_GB2312"/>
          <w:sz w:val="32"/>
          <w:szCs w:val="32"/>
        </w:rPr>
        <w:t xml:space="preserve">与上年相比，今年收入增加695.29万元，增长11.57%，主要原因是我院2020年专项项目数量及数额均有所增加，相应财政拨款收入随之增加。 </w:t>
      </w:r>
    </w:p>
    <w:p>
      <w:pPr>
        <w:spacing w:line="540" w:lineRule="exact"/>
        <w:ind w:firstLine="660"/>
        <w:rPr>
          <w:rFonts w:hint="default" w:ascii="楷体_GB2312" w:hAnsi="宋体" w:eastAsia="楷体_GB2312"/>
          <w:b/>
          <w:sz w:val="32"/>
          <w:szCs w:val="32"/>
        </w:rPr>
      </w:pPr>
      <w:r>
        <w:rPr>
          <w:rFonts w:ascii="楷体_GB2312" w:hAnsi="宋体" w:eastAsia="楷体_GB2312"/>
          <w:b/>
          <w:sz w:val="32"/>
          <w:szCs w:val="32"/>
        </w:rPr>
        <w:t>（二）支出总计6635.16万元，包括：</w:t>
      </w:r>
    </w:p>
    <w:p>
      <w:pPr>
        <w:spacing w:line="540" w:lineRule="exact"/>
        <w:ind w:firstLine="660"/>
        <w:rPr>
          <w:rFonts w:hint="default" w:ascii="仿宋_GB2312" w:hAnsi="宋体" w:eastAsia="仿宋_GB2312"/>
          <w:sz w:val="32"/>
          <w:szCs w:val="32"/>
        </w:rPr>
      </w:pPr>
      <w:r>
        <w:rPr>
          <w:rFonts w:ascii="仿宋_GB2312" w:hAnsi="宋体" w:eastAsia="仿宋_GB2312"/>
          <w:sz w:val="32"/>
          <w:szCs w:val="32"/>
        </w:rPr>
        <w:t>1.基本支出2505.64万元，占支出总计的37.76%。主要是为保障机构正常运转、完成日常工作任务而发生的各项支出，其中：工资福利支出1981.32万元，对个人和家庭的补助支出76.80万元，商品和服务支出447.52万元。</w:t>
      </w:r>
    </w:p>
    <w:p>
      <w:pPr>
        <w:spacing w:line="540" w:lineRule="exact"/>
        <w:ind w:firstLine="660"/>
        <w:rPr>
          <w:rFonts w:hint="default" w:ascii="仿宋_GB2312" w:hAnsi="宋体" w:eastAsia="仿宋_GB2312"/>
          <w:sz w:val="32"/>
          <w:szCs w:val="32"/>
        </w:rPr>
      </w:pPr>
      <w:r>
        <w:rPr>
          <w:rFonts w:ascii="仿宋_GB2312" w:hAnsi="宋体" w:eastAsia="仿宋_GB2312"/>
          <w:sz w:val="32"/>
          <w:szCs w:val="32"/>
        </w:rPr>
        <w:t>2.项目支出4129.52万元，占支出总计的62.24%。主要包括办公费、劳务费等业务支出。</w:t>
      </w:r>
    </w:p>
    <w:p>
      <w:pPr>
        <w:spacing w:line="540" w:lineRule="exact"/>
        <w:ind w:firstLine="660"/>
        <w:rPr>
          <w:rFonts w:hint="default" w:ascii="仿宋_GB2312" w:hAnsi="宋体" w:eastAsia="仿宋_GB2312"/>
          <w:sz w:val="32"/>
          <w:szCs w:val="32"/>
        </w:rPr>
      </w:pPr>
      <w:r>
        <w:rPr>
          <w:rFonts w:ascii="仿宋_GB2312" w:hAnsi="宋体" w:eastAsia="仿宋_GB2312"/>
          <w:sz w:val="32"/>
          <w:szCs w:val="32"/>
        </w:rPr>
        <w:t>3.上缴上级支出0万元，占支出总计的0%。</w:t>
      </w:r>
    </w:p>
    <w:p>
      <w:pPr>
        <w:spacing w:line="540" w:lineRule="exact"/>
        <w:ind w:firstLine="660"/>
        <w:rPr>
          <w:rFonts w:hint="default" w:ascii="仿宋_GB2312" w:hAnsi="宋体" w:eastAsia="仿宋_GB2312"/>
          <w:sz w:val="32"/>
          <w:szCs w:val="32"/>
        </w:rPr>
      </w:pPr>
      <w:r>
        <w:rPr>
          <w:rFonts w:ascii="仿宋_GB2312" w:hAnsi="宋体" w:eastAsia="仿宋_GB2312"/>
          <w:sz w:val="32"/>
          <w:szCs w:val="32"/>
        </w:rPr>
        <w:t>4.经营支出0万元，占支出总计的0%。</w:t>
      </w:r>
    </w:p>
    <w:p>
      <w:pPr>
        <w:spacing w:line="540" w:lineRule="exact"/>
        <w:ind w:firstLine="660"/>
        <w:rPr>
          <w:rFonts w:hint="default" w:ascii="仿宋_GB2312" w:hAnsi="宋体" w:eastAsia="仿宋_GB2312"/>
          <w:sz w:val="32"/>
          <w:szCs w:val="32"/>
        </w:rPr>
      </w:pPr>
      <w:r>
        <w:rPr>
          <w:rFonts w:ascii="仿宋_GB2312" w:hAnsi="宋体" w:eastAsia="仿宋_GB2312"/>
          <w:sz w:val="32"/>
          <w:szCs w:val="32"/>
        </w:rPr>
        <w:t>5.对附属单位补助支出0万元，占支出总计的0%。</w:t>
      </w:r>
    </w:p>
    <w:p>
      <w:pPr>
        <w:spacing w:line="540" w:lineRule="exact"/>
        <w:ind w:firstLine="660"/>
        <w:rPr>
          <w:rFonts w:hint="default" w:ascii="仿宋_GB2312" w:hAnsi="宋体" w:eastAsia="仿宋_GB2312"/>
          <w:sz w:val="32"/>
          <w:szCs w:val="32"/>
        </w:rPr>
      </w:pPr>
      <w:r>
        <w:rPr>
          <w:rFonts w:ascii="仿宋_GB2312" w:hAnsi="宋体" w:eastAsia="仿宋_GB2312"/>
          <w:sz w:val="32"/>
          <w:szCs w:val="32"/>
        </w:rPr>
        <w:t>与上年相比，今年支出增加642.05万元，增长10.71%，主要原因是我院2020年专项项目数量及数额均有所增加，相应项目支出随之增加。</w:t>
      </w:r>
    </w:p>
    <w:p>
      <w:pPr>
        <w:spacing w:line="540" w:lineRule="exact"/>
        <w:ind w:firstLine="660"/>
        <w:rPr>
          <w:rFonts w:hint="default" w:ascii="楷体_GB2312" w:hAnsi="宋体" w:eastAsia="楷体_GB2312"/>
          <w:b/>
          <w:sz w:val="32"/>
          <w:szCs w:val="32"/>
        </w:rPr>
      </w:pPr>
      <w:r>
        <w:rPr>
          <w:rFonts w:ascii="楷体_GB2312" w:hAnsi="宋体" w:eastAsia="楷体_GB2312"/>
          <w:b/>
          <w:sz w:val="32"/>
          <w:szCs w:val="32"/>
        </w:rPr>
        <w:t>（三）年末结转和结余68.22万元</w:t>
      </w:r>
    </w:p>
    <w:p>
      <w:pPr>
        <w:spacing w:line="540" w:lineRule="exact"/>
        <w:ind w:firstLine="660"/>
        <w:rPr>
          <w:rFonts w:hint="default" w:ascii="仿宋_GB2312" w:hAnsi="宋体" w:eastAsia="仿宋_GB2312"/>
          <w:sz w:val="32"/>
          <w:szCs w:val="32"/>
        </w:rPr>
      </w:pPr>
      <w:r>
        <w:rPr>
          <w:rFonts w:ascii="仿宋_GB2312" w:hAnsi="宋体" w:eastAsia="仿宋_GB2312"/>
          <w:sz w:val="32"/>
          <w:szCs w:val="32"/>
        </w:rPr>
        <w:t>主要是上级专项资金等原因形成的结余。与上年相比，今年结转结余增加53.24万元，增长355.41%，主要原因是受疫情影响外出办案差旅费减少，上级拨付的办案费专项资金使用量减少，致使结余增加。</w:t>
      </w:r>
    </w:p>
    <w:p>
      <w:pPr>
        <w:spacing w:line="540" w:lineRule="exact"/>
        <w:ind w:firstLine="660"/>
        <w:rPr>
          <w:rFonts w:hint="default" w:ascii="黑体" w:hAnsi="黑体" w:eastAsia="黑体"/>
          <w:sz w:val="32"/>
          <w:szCs w:val="32"/>
        </w:rPr>
      </w:pPr>
      <w:r>
        <w:rPr>
          <w:rFonts w:ascii="黑体" w:hAnsi="黑体" w:eastAsia="黑体"/>
          <w:sz w:val="32"/>
          <w:szCs w:val="32"/>
        </w:rPr>
        <w:t>二、财政拨款支出决算情况</w:t>
      </w:r>
    </w:p>
    <w:p>
      <w:pPr>
        <w:spacing w:line="540" w:lineRule="exact"/>
        <w:ind w:firstLine="660"/>
        <w:rPr>
          <w:rFonts w:hint="default" w:ascii="楷体_GB2312" w:hAnsi="宋体" w:eastAsia="楷体_GB2312"/>
          <w:b/>
          <w:sz w:val="32"/>
          <w:szCs w:val="32"/>
        </w:rPr>
      </w:pPr>
      <w:r>
        <w:rPr>
          <w:rFonts w:ascii="楷体_GB2312" w:hAnsi="宋体" w:eastAsia="楷体_GB2312"/>
          <w:b/>
          <w:sz w:val="32"/>
          <w:szCs w:val="32"/>
        </w:rPr>
        <w:t>（一）总体情况</w:t>
      </w:r>
    </w:p>
    <w:p>
      <w:pPr>
        <w:spacing w:line="540" w:lineRule="exact"/>
        <w:ind w:firstLine="660"/>
        <w:rPr>
          <w:rFonts w:hint="default" w:ascii="仿宋_GB2312" w:hAnsi="宋体" w:eastAsia="仿宋_GB2312"/>
          <w:sz w:val="32"/>
          <w:szCs w:val="32"/>
        </w:rPr>
      </w:pPr>
      <w:r>
        <w:rPr>
          <w:rFonts w:ascii="仿宋_GB2312" w:hAnsi="宋体" w:eastAsia="仿宋_GB2312"/>
          <w:sz w:val="32"/>
          <w:szCs w:val="32"/>
        </w:rPr>
        <w:t>2020年度财政拨款支出6635.16万元，其中：基本支出2505.64万元，项目支出4129.52万元。与上年相比，财政拨款支出增加642.05万元，增长10.71%，主要原因是我院2020年项目数量及数额均有所增加，相应项目支出随之增加。与年初预算相比，2020年度财政拨款支出完成年初预算的93.13%，其中：基本支出完成年初预算的54.63%，项目完成年初预算的162.69%。</w:t>
      </w:r>
    </w:p>
    <w:p>
      <w:pPr>
        <w:spacing w:line="540" w:lineRule="exact"/>
        <w:ind w:firstLine="660"/>
        <w:rPr>
          <w:rFonts w:hint="default" w:ascii="楷体_GB2312" w:hAnsi="宋体" w:eastAsia="楷体_GB2312"/>
          <w:b/>
          <w:sz w:val="32"/>
          <w:szCs w:val="32"/>
        </w:rPr>
      </w:pPr>
      <w:r>
        <w:rPr>
          <w:rFonts w:ascii="楷体_GB2312" w:hAnsi="宋体" w:eastAsia="楷体_GB2312"/>
          <w:b/>
          <w:sz w:val="32"/>
          <w:szCs w:val="32"/>
        </w:rPr>
        <w:t>（二）一般公共预算财政拨款支出情况</w:t>
      </w:r>
    </w:p>
    <w:p>
      <w:pPr>
        <w:spacing w:line="540" w:lineRule="exact"/>
        <w:ind w:firstLine="660"/>
        <w:rPr>
          <w:rFonts w:hint="default" w:ascii="仿宋_GB2312" w:hAnsi="宋体" w:eastAsia="仿宋_GB2312"/>
          <w:sz w:val="32"/>
          <w:szCs w:val="32"/>
        </w:rPr>
      </w:pPr>
      <w:r>
        <w:rPr>
          <w:rFonts w:ascii="仿宋_GB2312" w:hAnsi="宋体" w:eastAsia="仿宋_GB2312"/>
          <w:sz w:val="32"/>
          <w:szCs w:val="32"/>
        </w:rPr>
        <w:t>2020年度财政拨款支出6635.16万元，按支出功能分类科目分，包括：一般公共服务支出47万元，占0.71%；公共安全支出5982.53万元，占90.16%；教育支出3.57万元，占0.05%；社会保障和就业支出200.18万元，占3.02%；卫生健康支出94.43万元，占1.42%；住房保障支出259.88万元，占3.92%；灾害防治及应急管理支出47.57万元，占0.72%；。</w:t>
      </w:r>
    </w:p>
    <w:p>
      <w:pPr>
        <w:spacing w:line="540" w:lineRule="exact"/>
        <w:ind w:firstLine="660"/>
        <w:rPr>
          <w:rFonts w:hint="default" w:ascii="仿宋_GB2312" w:hAnsi="宋体" w:eastAsia="仿宋_GB2312"/>
          <w:sz w:val="32"/>
          <w:szCs w:val="32"/>
        </w:rPr>
      </w:pPr>
      <w:r>
        <w:rPr>
          <w:rFonts w:ascii="仿宋_GB2312" w:hAnsi="宋体" w:eastAsia="仿宋_GB2312"/>
          <w:sz w:val="32"/>
          <w:szCs w:val="32"/>
        </w:rPr>
        <w:t>1. 一般公共服务支出47万元，具体包括：</w:t>
      </w:r>
    </w:p>
    <w:p>
      <w:pPr>
        <w:spacing w:line="540" w:lineRule="exact"/>
        <w:ind w:firstLine="660"/>
        <w:rPr>
          <w:rFonts w:hint="default" w:ascii="仿宋_GB2312" w:hAnsi="宋体" w:eastAsia="仿宋_GB2312"/>
          <w:sz w:val="32"/>
          <w:szCs w:val="32"/>
        </w:rPr>
      </w:pPr>
      <w:r>
        <w:rPr>
          <w:rFonts w:ascii="仿宋_GB2312" w:hAnsi="宋体" w:eastAsia="仿宋_GB2312"/>
          <w:sz w:val="32"/>
          <w:szCs w:val="32"/>
        </w:rPr>
        <w:t>（1）一般公共服务支出（类）政府办公厅（室）及相关机构事务（款）信访事务（项）</w:t>
      </w:r>
      <w:r>
        <w:rPr>
          <w:rFonts w:ascii="仿宋_GB2312" w:hAnsi="宋体" w:eastAsia="仿宋_GB2312"/>
          <w:color w:val="000000" w:themeColor="text1"/>
          <w:sz w:val="32"/>
        </w:rPr>
        <w:t>47万元，</w:t>
      </w:r>
      <w:r>
        <w:rPr>
          <w:rFonts w:ascii="仿宋_GB2312" w:hAnsi="宋体" w:eastAsia="仿宋_GB2312"/>
          <w:sz w:val="32"/>
          <w:szCs w:val="32"/>
        </w:rPr>
        <w:t>主要是司法救助款支出，因该支出属突发性支出，所以年初无预算，决算数为47万元。</w:t>
      </w:r>
    </w:p>
    <w:p>
      <w:pPr>
        <w:spacing w:line="360" w:lineRule="auto"/>
        <w:ind w:firstLine="660"/>
        <w:rPr>
          <w:rFonts w:hint="default" w:ascii="仿宋_GB2312" w:hAnsi="宋体" w:eastAsia="仿宋_GB2312"/>
          <w:color w:val="000000" w:themeColor="text1"/>
          <w:sz w:val="32"/>
        </w:rPr>
      </w:pPr>
      <w:r>
        <w:rPr>
          <w:rFonts w:ascii="仿宋_GB2312" w:hAnsi="宋体" w:eastAsia="仿宋_GB2312"/>
          <w:color w:val="000000" w:themeColor="text1"/>
          <w:sz w:val="32"/>
        </w:rPr>
        <w:t>2. 公共安全支出5982.53万元，包括：</w:t>
      </w:r>
    </w:p>
    <w:p>
      <w:pPr>
        <w:spacing w:line="360" w:lineRule="auto"/>
        <w:ind w:firstLine="660"/>
        <w:rPr>
          <w:rFonts w:hint="default" w:ascii="仿宋_GB2312" w:hAnsi="宋体" w:eastAsia="仿宋_GB2312"/>
          <w:color w:val="000000" w:themeColor="text1"/>
          <w:sz w:val="32"/>
        </w:rPr>
      </w:pPr>
      <w:r>
        <w:rPr>
          <w:rFonts w:ascii="仿宋_GB2312" w:hAnsi="宋体" w:eastAsia="仿宋_GB2312"/>
          <w:color w:val="000000" w:themeColor="text1"/>
          <w:sz w:val="32"/>
        </w:rPr>
        <w:t>（1）</w:t>
      </w:r>
      <w:r>
        <w:rPr>
          <w:rFonts w:ascii="仿宋" w:hAnsi="仿宋" w:eastAsia="仿宋"/>
          <w:sz w:val="32"/>
          <w:szCs w:val="32"/>
        </w:rPr>
        <w:t>公共安全支出（类）法院（款）行政运行（项）</w:t>
      </w:r>
      <w:r>
        <w:rPr>
          <w:rFonts w:ascii="仿宋_GB2312" w:hAnsi="宋体" w:eastAsia="仿宋_GB2312"/>
          <w:color w:val="000000" w:themeColor="text1"/>
          <w:sz w:val="32"/>
        </w:rPr>
        <w:t>1904.14万元，主要是单位运行所需的人员工资、邮电费等费用支出,</w:t>
      </w:r>
      <w:r>
        <w:rPr>
          <w:rFonts w:ascii="仿宋_GB2312" w:hAnsi="仿宋_GB2312" w:eastAsia="仿宋_GB2312" w:cs="仿宋_GB2312"/>
          <w:color w:val="000000" w:themeColor="text1"/>
          <w:sz w:val="32"/>
          <w:szCs w:val="32"/>
        </w:rPr>
        <w:t xml:space="preserve"> 完成年初预算的100 %</w:t>
      </w:r>
      <w:r>
        <w:rPr>
          <w:rFonts w:ascii="仿宋_GB2312" w:hAnsi="宋体" w:eastAsia="仿宋_GB2312"/>
          <w:color w:val="000000" w:themeColor="text1"/>
          <w:sz w:val="32"/>
        </w:rPr>
        <w:t>。</w:t>
      </w:r>
    </w:p>
    <w:p>
      <w:pPr>
        <w:spacing w:line="360" w:lineRule="auto"/>
        <w:ind w:firstLine="660"/>
        <w:rPr>
          <w:rFonts w:hint="default" w:ascii="仿宋_GB2312" w:hAnsi="宋体" w:eastAsia="仿宋_GB2312"/>
          <w:color w:val="000000" w:themeColor="text1"/>
          <w:sz w:val="32"/>
        </w:rPr>
      </w:pPr>
      <w:r>
        <w:rPr>
          <w:rFonts w:ascii="仿宋_GB2312" w:hAnsi="宋体" w:eastAsia="仿宋_GB2312"/>
          <w:color w:val="000000" w:themeColor="text1"/>
          <w:sz w:val="32"/>
        </w:rPr>
        <w:t>（2）</w:t>
      </w:r>
      <w:r>
        <w:rPr>
          <w:rFonts w:ascii="仿宋" w:hAnsi="仿宋" w:eastAsia="仿宋"/>
          <w:sz w:val="32"/>
          <w:szCs w:val="32"/>
        </w:rPr>
        <w:t>公共安全支出（类）法院（款）一般行政管理事务（项）</w:t>
      </w:r>
      <w:r>
        <w:rPr>
          <w:rFonts w:ascii="仿宋_GB2312" w:hAnsi="宋体" w:eastAsia="仿宋_GB2312"/>
          <w:color w:val="000000" w:themeColor="text1"/>
          <w:sz w:val="32"/>
        </w:rPr>
        <w:t>3461.02万元，主要是派遣制人员劳务费、绩效工资等费用支出,</w:t>
      </w:r>
      <w:r>
        <w:rPr>
          <w:rFonts w:ascii="仿宋_GB2312" w:hAnsi="仿宋_GB2312" w:eastAsia="仿宋_GB2312" w:cs="仿宋_GB2312"/>
          <w:color w:val="000000" w:themeColor="text1"/>
          <w:sz w:val="32"/>
          <w:szCs w:val="32"/>
        </w:rPr>
        <w:t xml:space="preserve"> 完成年初预算的100 %</w:t>
      </w:r>
      <w:r>
        <w:rPr>
          <w:rFonts w:ascii="仿宋_GB2312" w:hAnsi="宋体" w:eastAsia="仿宋_GB2312"/>
          <w:color w:val="000000" w:themeColor="text1"/>
          <w:sz w:val="32"/>
        </w:rPr>
        <w:t>。</w:t>
      </w:r>
    </w:p>
    <w:p>
      <w:pPr>
        <w:spacing w:line="360" w:lineRule="auto"/>
        <w:ind w:firstLine="660"/>
        <w:rPr>
          <w:rFonts w:hint="default" w:ascii="仿宋_GB2312" w:hAnsi="宋体" w:eastAsia="仿宋_GB2312"/>
          <w:color w:val="000000" w:themeColor="text1"/>
          <w:sz w:val="32"/>
        </w:rPr>
      </w:pPr>
      <w:r>
        <w:rPr>
          <w:rFonts w:ascii="仿宋_GB2312" w:hAnsi="宋体" w:eastAsia="仿宋_GB2312"/>
          <w:color w:val="000000" w:themeColor="text1"/>
          <w:sz w:val="32"/>
        </w:rPr>
        <w:t>（3）</w:t>
      </w:r>
      <w:r>
        <w:rPr>
          <w:rFonts w:ascii="仿宋" w:hAnsi="仿宋" w:eastAsia="仿宋"/>
          <w:sz w:val="32"/>
          <w:szCs w:val="32"/>
        </w:rPr>
        <w:t>公共安全支出（类）法院（款）</w:t>
      </w:r>
      <w:r>
        <w:rPr>
          <w:rFonts w:ascii="仿宋_GB2312" w:hAnsi="宋体" w:eastAsia="仿宋_GB2312"/>
          <w:color w:val="000000" w:themeColor="text1"/>
          <w:sz w:val="32"/>
        </w:rPr>
        <w:t>案件执行</w:t>
      </w:r>
      <w:r>
        <w:rPr>
          <w:rFonts w:ascii="仿宋" w:hAnsi="仿宋" w:eastAsia="仿宋"/>
          <w:sz w:val="32"/>
          <w:szCs w:val="32"/>
        </w:rPr>
        <w:t>（项）</w:t>
      </w:r>
      <w:r>
        <w:rPr>
          <w:rFonts w:ascii="仿宋_GB2312" w:hAnsi="宋体" w:eastAsia="仿宋_GB2312"/>
          <w:color w:val="000000" w:themeColor="text1"/>
          <w:sz w:val="32"/>
        </w:rPr>
        <w:t>50万元，主要是差旅费、劳务费等支出，完成年初预算的100%。</w:t>
      </w:r>
    </w:p>
    <w:p>
      <w:pPr>
        <w:spacing w:line="360" w:lineRule="auto"/>
        <w:ind w:firstLine="660"/>
        <w:rPr>
          <w:rFonts w:hint="default" w:ascii="仿宋_GB2312" w:hAnsi="宋体" w:eastAsia="仿宋_GB2312"/>
          <w:color w:val="000000" w:themeColor="text1"/>
          <w:sz w:val="32"/>
        </w:rPr>
      </w:pPr>
      <w:r>
        <w:rPr>
          <w:rFonts w:ascii="仿宋_GB2312" w:hAnsi="宋体" w:eastAsia="仿宋_GB2312"/>
          <w:color w:val="000000" w:themeColor="text1"/>
          <w:sz w:val="32"/>
        </w:rPr>
        <w:t>（4）</w:t>
      </w:r>
      <w:r>
        <w:rPr>
          <w:rFonts w:ascii="仿宋" w:hAnsi="仿宋" w:eastAsia="仿宋"/>
          <w:sz w:val="32"/>
          <w:szCs w:val="32"/>
        </w:rPr>
        <w:t>公共安全支出（类）法院（款）</w:t>
      </w:r>
      <w:r>
        <w:rPr>
          <w:rFonts w:ascii="仿宋_GB2312" w:hAnsi="宋体" w:eastAsia="仿宋_GB2312"/>
          <w:color w:val="000000" w:themeColor="text1"/>
          <w:sz w:val="32"/>
        </w:rPr>
        <w:t>其他法院支出</w:t>
      </w:r>
      <w:r>
        <w:rPr>
          <w:rFonts w:ascii="仿宋" w:hAnsi="仿宋" w:eastAsia="仿宋"/>
          <w:sz w:val="32"/>
          <w:szCs w:val="32"/>
        </w:rPr>
        <w:t>（项）</w:t>
      </w:r>
      <w:r>
        <w:rPr>
          <w:rFonts w:ascii="仿宋_GB2312" w:hAnsi="宋体" w:eastAsia="仿宋_GB2312"/>
          <w:color w:val="000000" w:themeColor="text1"/>
          <w:sz w:val="32"/>
        </w:rPr>
        <w:t>567.37万元，主要是委托业务费、被装购置费等费用支出,</w:t>
      </w:r>
      <w:r>
        <w:rPr>
          <w:rFonts w:ascii="仿宋_GB2312" w:hAnsi="仿宋_GB2312" w:eastAsia="仿宋_GB2312" w:cs="仿宋_GB2312"/>
          <w:color w:val="000000" w:themeColor="text1"/>
          <w:sz w:val="32"/>
          <w:szCs w:val="32"/>
        </w:rPr>
        <w:t xml:space="preserve"> 完成年初预算的100 %</w:t>
      </w:r>
      <w:r>
        <w:rPr>
          <w:rFonts w:ascii="仿宋_GB2312" w:hAnsi="宋体" w:eastAsia="仿宋_GB2312"/>
          <w:color w:val="000000" w:themeColor="text1"/>
          <w:sz w:val="32"/>
        </w:rPr>
        <w:t>。</w:t>
      </w:r>
    </w:p>
    <w:p>
      <w:pPr>
        <w:spacing w:line="360" w:lineRule="auto"/>
        <w:ind w:firstLine="660"/>
        <w:rPr>
          <w:rFonts w:hint="default" w:ascii="仿宋_GB2312" w:hAnsi="宋体" w:eastAsia="仿宋_GB2312"/>
          <w:color w:val="000000" w:themeColor="text1"/>
          <w:sz w:val="32"/>
        </w:rPr>
      </w:pPr>
      <w:r>
        <w:rPr>
          <w:rFonts w:ascii="仿宋_GB2312" w:hAnsi="宋体" w:eastAsia="仿宋_GB2312"/>
          <w:color w:val="000000" w:themeColor="text1"/>
          <w:sz w:val="32"/>
        </w:rPr>
        <w:t>3.教育支出3.57万元，包括：</w:t>
      </w:r>
    </w:p>
    <w:p>
      <w:pPr>
        <w:spacing w:line="360" w:lineRule="auto"/>
        <w:ind w:firstLine="660"/>
        <w:rPr>
          <w:rFonts w:hint="default" w:ascii="仿宋_GB2312" w:hAnsi="宋体" w:eastAsia="仿宋_GB2312"/>
          <w:color w:val="000000" w:themeColor="text1"/>
          <w:sz w:val="32"/>
        </w:rPr>
      </w:pPr>
      <w:r>
        <w:rPr>
          <w:rFonts w:ascii="仿宋" w:hAnsi="仿宋" w:eastAsia="仿宋"/>
          <w:sz w:val="32"/>
          <w:szCs w:val="32"/>
        </w:rPr>
        <w:t>（1）教育支出（类）进修及培训（款）培训支出（项）</w:t>
      </w:r>
      <w:r>
        <w:rPr>
          <w:rFonts w:ascii="仿宋_GB2312" w:hAnsi="宋体" w:eastAsia="仿宋_GB2312"/>
          <w:color w:val="000000" w:themeColor="text1"/>
          <w:sz w:val="32"/>
        </w:rPr>
        <w:t>3.57万元，主要参加是省、市法院组织的续职培训及专项培训等差旅费及培训费支出,</w:t>
      </w:r>
      <w:r>
        <w:rPr>
          <w:rFonts w:ascii="仿宋_GB2312" w:hAnsi="仿宋_GB2312" w:eastAsia="仿宋_GB2312" w:cs="仿宋_GB2312"/>
          <w:color w:val="000000" w:themeColor="text1"/>
          <w:sz w:val="32"/>
          <w:szCs w:val="32"/>
        </w:rPr>
        <w:t xml:space="preserve"> 完成年初预算的100 %</w:t>
      </w:r>
      <w:r>
        <w:rPr>
          <w:rFonts w:ascii="仿宋_GB2312" w:hAnsi="宋体" w:eastAsia="仿宋_GB2312"/>
          <w:color w:val="000000" w:themeColor="text1"/>
          <w:sz w:val="32"/>
        </w:rPr>
        <w:t>。</w:t>
      </w:r>
    </w:p>
    <w:p>
      <w:pPr>
        <w:spacing w:line="360" w:lineRule="auto"/>
        <w:ind w:firstLine="640" w:firstLineChars="200"/>
        <w:rPr>
          <w:rFonts w:hint="default" w:ascii="仿宋_GB2312" w:hAnsi="宋体" w:eastAsia="仿宋_GB2312"/>
          <w:color w:val="000000" w:themeColor="text1"/>
          <w:sz w:val="32"/>
        </w:rPr>
      </w:pPr>
      <w:r>
        <w:rPr>
          <w:rFonts w:ascii="仿宋_GB2312" w:hAnsi="宋体" w:eastAsia="仿宋_GB2312"/>
          <w:color w:val="000000" w:themeColor="text1"/>
          <w:sz w:val="32"/>
        </w:rPr>
        <w:t>4. 社会保障和就业支出200.18万元，包括：</w:t>
      </w:r>
    </w:p>
    <w:p>
      <w:pPr>
        <w:spacing w:line="360" w:lineRule="auto"/>
        <w:ind w:firstLine="660"/>
        <w:rPr>
          <w:rFonts w:hint="default" w:ascii="仿宋_GB2312" w:hAnsi="宋体" w:eastAsia="仿宋_GB2312"/>
          <w:color w:val="000000"/>
          <w:sz w:val="32"/>
        </w:rPr>
      </w:pPr>
      <w:r>
        <w:rPr>
          <w:rFonts w:ascii="仿宋_GB2312" w:hAnsi="宋体" w:eastAsia="仿宋_GB2312"/>
          <w:color w:val="000000" w:themeColor="text1"/>
          <w:sz w:val="32"/>
        </w:rPr>
        <w:t>（1）</w:t>
      </w:r>
      <w:r>
        <w:rPr>
          <w:rFonts w:ascii="仿宋_GB2312" w:hAnsi="宋体" w:eastAsia="仿宋_GB2312"/>
          <w:sz w:val="32"/>
          <w:szCs w:val="32"/>
        </w:rPr>
        <w:t>社会保障和就业支出支出（类）行政事业单位养老支出（款）行政单位离退休（项）</w:t>
      </w:r>
      <w:r>
        <w:rPr>
          <w:rFonts w:ascii="仿宋_GB2312" w:hAnsi="宋体" w:eastAsia="仿宋_GB2312"/>
          <w:color w:val="000000" w:themeColor="text1"/>
          <w:sz w:val="32"/>
        </w:rPr>
        <w:t>28.74万元，主要是行政单位离休人员离休费及退休费支出,</w:t>
      </w:r>
      <w:r>
        <w:rPr>
          <w:rFonts w:ascii="仿宋_GB2312" w:hAnsi="仿宋_GB2312" w:eastAsia="仿宋_GB2312" w:cs="仿宋_GB2312"/>
          <w:color w:val="000000" w:themeColor="text1"/>
          <w:sz w:val="32"/>
          <w:szCs w:val="32"/>
        </w:rPr>
        <w:t xml:space="preserve"> 完成年初预算的101.91%</w:t>
      </w:r>
      <w:r>
        <w:rPr>
          <w:rFonts w:ascii="仿宋_GB2312" w:hAnsi="宋体" w:eastAsia="仿宋_GB2312"/>
          <w:color w:val="000000" w:themeColor="text1"/>
          <w:sz w:val="32"/>
        </w:rPr>
        <w:t>，决算数大于年</w:t>
      </w:r>
      <w:r>
        <w:rPr>
          <w:rFonts w:ascii="仿宋_GB2312" w:hAnsi="宋体" w:eastAsia="仿宋_GB2312"/>
          <w:color w:val="000000"/>
          <w:sz w:val="32"/>
        </w:rPr>
        <w:t>初预算数的原因主要是基本离休费增加。</w:t>
      </w:r>
    </w:p>
    <w:p>
      <w:pPr>
        <w:spacing w:line="360" w:lineRule="auto"/>
        <w:ind w:firstLine="660"/>
        <w:rPr>
          <w:rFonts w:hint="default" w:ascii="仿宋_GB2312" w:hAnsi="宋体" w:eastAsia="仿宋_GB2312"/>
          <w:color w:val="000000"/>
          <w:sz w:val="32"/>
        </w:rPr>
      </w:pPr>
      <w:r>
        <w:rPr>
          <w:rFonts w:ascii="仿宋_GB2312" w:hAnsi="宋体" w:eastAsia="仿宋_GB2312"/>
          <w:sz w:val="32"/>
        </w:rPr>
        <w:t>（2）</w:t>
      </w:r>
      <w:r>
        <w:rPr>
          <w:rFonts w:ascii="仿宋_GB2312" w:hAnsi="宋体" w:eastAsia="仿宋_GB2312"/>
          <w:sz w:val="32"/>
          <w:szCs w:val="32"/>
        </w:rPr>
        <w:t>社会保障和就业支出支出（类）行政事业单位养老支出（款） 机关事业单位基本养老保险缴费支出（项）</w:t>
      </w:r>
      <w:r>
        <w:rPr>
          <w:rFonts w:ascii="仿宋_GB2312" w:hAnsi="宋体" w:eastAsia="仿宋_GB2312"/>
          <w:sz w:val="32"/>
        </w:rPr>
        <w:t>154.34万元，</w:t>
      </w:r>
      <w:r>
        <w:rPr>
          <w:rFonts w:ascii="仿宋_GB2312" w:hAnsi="宋体" w:eastAsia="仿宋_GB2312"/>
          <w:color w:val="000000"/>
          <w:sz w:val="32"/>
        </w:rPr>
        <w:t>主要是机关单位人员基本养老保险支出，</w:t>
      </w:r>
      <w:r>
        <w:rPr>
          <w:rFonts w:ascii="仿宋_GB2312" w:hAnsi="仿宋_GB2312" w:eastAsia="仿宋_GB2312" w:cs="仿宋_GB2312"/>
          <w:color w:val="000000"/>
          <w:sz w:val="32"/>
          <w:szCs w:val="32"/>
        </w:rPr>
        <w:t>完成年初预算的</w:t>
      </w:r>
      <w:r>
        <w:rPr>
          <w:rFonts w:ascii="仿宋_GB2312" w:hAnsi="仿宋_GB2312" w:eastAsia="仿宋_GB2312" w:cs="仿宋_GB2312"/>
          <w:color w:val="000000" w:themeColor="text1"/>
          <w:sz w:val="32"/>
          <w:szCs w:val="32"/>
        </w:rPr>
        <w:t>79.21%</w:t>
      </w:r>
      <w:r>
        <w:rPr>
          <w:rFonts w:ascii="仿宋_GB2312" w:hAnsi="宋体" w:eastAsia="仿宋_GB2312"/>
          <w:color w:val="000000" w:themeColor="text1"/>
          <w:sz w:val="32"/>
        </w:rPr>
        <w:t>，</w:t>
      </w:r>
      <w:r>
        <w:rPr>
          <w:rFonts w:ascii="仿宋_GB2312" w:hAnsi="宋体" w:eastAsia="仿宋_GB2312"/>
          <w:color w:val="000000"/>
          <w:sz w:val="32"/>
        </w:rPr>
        <w:t>决算数小于年初预算数的原因主要是有人员减少，实际发生额减少。</w:t>
      </w:r>
    </w:p>
    <w:p>
      <w:pPr>
        <w:spacing w:line="360" w:lineRule="auto"/>
        <w:ind w:firstLine="660"/>
        <w:rPr>
          <w:rFonts w:hint="default" w:ascii="仿宋_GB2312" w:hAnsi="宋体" w:eastAsia="仿宋_GB2312"/>
          <w:color w:val="000000"/>
          <w:sz w:val="32"/>
        </w:rPr>
      </w:pPr>
      <w:r>
        <w:rPr>
          <w:rFonts w:ascii="仿宋_GB2312" w:hAnsi="宋体" w:eastAsia="仿宋_GB2312"/>
          <w:sz w:val="32"/>
        </w:rPr>
        <w:t>（3）</w:t>
      </w:r>
      <w:r>
        <w:rPr>
          <w:rFonts w:ascii="仿宋_GB2312" w:hAnsi="宋体" w:eastAsia="仿宋_GB2312"/>
          <w:sz w:val="32"/>
          <w:szCs w:val="32"/>
        </w:rPr>
        <w:t>社会保障和就业支出支出（类）行政事业单位职业年金支出（款）机关事业单位职业年金缴费支出（项）</w:t>
      </w:r>
      <w:r>
        <w:rPr>
          <w:rFonts w:ascii="仿宋_GB2312" w:hAnsi="宋体" w:eastAsia="仿宋_GB2312"/>
          <w:sz w:val="32"/>
        </w:rPr>
        <w:t>17.1万元，</w:t>
      </w:r>
      <w:r>
        <w:rPr>
          <w:rFonts w:ascii="仿宋_GB2312" w:hAnsi="宋体" w:eastAsia="仿宋_GB2312"/>
          <w:color w:val="000000"/>
          <w:sz w:val="32"/>
        </w:rPr>
        <w:t>主要是机关单位人员职业年金支出，</w:t>
      </w:r>
      <w:r>
        <w:rPr>
          <w:rFonts w:ascii="仿宋_GB2312" w:hAnsi="仿宋_GB2312" w:eastAsia="仿宋_GB2312" w:cs="仿宋_GB2312"/>
          <w:color w:val="000000"/>
          <w:sz w:val="32"/>
          <w:szCs w:val="32"/>
        </w:rPr>
        <w:t>完成年初预算的17.61%</w:t>
      </w:r>
      <w:r>
        <w:rPr>
          <w:rFonts w:ascii="仿宋_GB2312" w:hAnsi="宋体" w:eastAsia="仿宋_GB2312"/>
          <w:color w:val="000000"/>
          <w:sz w:val="32"/>
        </w:rPr>
        <w:t>，决算数小于年初预算数的原因主要是按实际发生列支。</w:t>
      </w:r>
    </w:p>
    <w:p>
      <w:pPr>
        <w:spacing w:line="360" w:lineRule="auto"/>
        <w:ind w:firstLine="640" w:firstLineChars="200"/>
        <w:rPr>
          <w:rFonts w:hint="default" w:ascii="仿宋_GB2312" w:hAnsi="宋体" w:eastAsia="仿宋_GB2312"/>
          <w:sz w:val="32"/>
        </w:rPr>
      </w:pPr>
      <w:r>
        <w:rPr>
          <w:rFonts w:ascii="仿宋_GB2312" w:hAnsi="宋体" w:eastAsia="仿宋_GB2312"/>
          <w:sz w:val="32"/>
        </w:rPr>
        <w:t>5. 卫生健康支出94.43万元，包括：</w:t>
      </w:r>
    </w:p>
    <w:p>
      <w:pPr>
        <w:spacing w:line="360" w:lineRule="auto"/>
        <w:ind w:firstLine="660"/>
        <w:rPr>
          <w:rFonts w:hint="default" w:ascii="仿宋_GB2312" w:hAnsi="宋体" w:eastAsia="仿宋_GB2312"/>
          <w:color w:val="000000"/>
          <w:sz w:val="32"/>
        </w:rPr>
      </w:pPr>
      <w:r>
        <w:rPr>
          <w:rFonts w:ascii="仿宋_GB2312" w:hAnsi="宋体" w:eastAsia="仿宋_GB2312"/>
          <w:sz w:val="32"/>
        </w:rPr>
        <w:t>（1）</w:t>
      </w:r>
      <w:r>
        <w:rPr>
          <w:rFonts w:ascii="仿宋_GB2312" w:hAnsi="宋体" w:eastAsia="仿宋_GB2312"/>
          <w:sz w:val="32"/>
          <w:szCs w:val="32"/>
        </w:rPr>
        <w:t>卫生健康支出（类）行政事业单位医疗（款）行政单位医疗（项）</w:t>
      </w:r>
      <w:r>
        <w:rPr>
          <w:rFonts w:ascii="仿宋_GB2312" w:hAnsi="宋体" w:eastAsia="仿宋_GB2312"/>
          <w:sz w:val="32"/>
        </w:rPr>
        <w:t>87.38万元，主要是行政单位职工基本医疗保险缴费支出,</w:t>
      </w:r>
      <w:r>
        <w:rPr>
          <w:rFonts w:ascii="仿宋_GB2312" w:hAnsi="仿宋_GB2312" w:eastAsia="仿宋_GB2312" w:cs="仿宋_GB2312"/>
          <w:sz w:val="32"/>
          <w:szCs w:val="32"/>
        </w:rPr>
        <w:t xml:space="preserve"> 完成年初预算的87.42%</w:t>
      </w:r>
      <w:r>
        <w:rPr>
          <w:rFonts w:ascii="仿宋_GB2312" w:hAnsi="宋体" w:eastAsia="仿宋_GB2312"/>
          <w:sz w:val="32"/>
        </w:rPr>
        <w:t>，</w:t>
      </w:r>
      <w:r>
        <w:rPr>
          <w:rFonts w:ascii="仿宋_GB2312" w:hAnsi="宋体" w:eastAsia="仿宋_GB2312"/>
          <w:color w:val="000000"/>
          <w:sz w:val="32"/>
        </w:rPr>
        <w:t>决算数小于年初预算数的原因主要是按现有人员实际发生列支。</w:t>
      </w:r>
    </w:p>
    <w:p>
      <w:pPr>
        <w:spacing w:line="360" w:lineRule="auto"/>
        <w:ind w:firstLine="660"/>
        <w:rPr>
          <w:rFonts w:hint="default" w:ascii="仿宋_GB2312" w:hAnsi="宋体" w:eastAsia="仿宋_GB2312"/>
          <w:color w:val="000000"/>
          <w:sz w:val="32"/>
        </w:rPr>
      </w:pPr>
      <w:r>
        <w:rPr>
          <w:rFonts w:ascii="仿宋_GB2312" w:hAnsi="宋体" w:eastAsia="仿宋_GB2312"/>
          <w:sz w:val="32"/>
        </w:rPr>
        <w:t>（2）</w:t>
      </w:r>
      <w:r>
        <w:rPr>
          <w:rFonts w:ascii="仿宋_GB2312" w:hAnsi="宋体" w:eastAsia="仿宋_GB2312"/>
          <w:sz w:val="32"/>
          <w:szCs w:val="32"/>
        </w:rPr>
        <w:t>卫生健康支出（类）行政事业单位医疗（款）公务员医疗补助（项）</w:t>
      </w:r>
      <w:r>
        <w:rPr>
          <w:rFonts w:ascii="仿宋_GB2312" w:hAnsi="宋体" w:eastAsia="仿宋_GB2312"/>
          <w:sz w:val="32"/>
        </w:rPr>
        <w:t>7.05万元，主要是对公务员实行的医疗补助支出，完成年初预算的97.24%，</w:t>
      </w:r>
      <w:r>
        <w:rPr>
          <w:rFonts w:ascii="仿宋_GB2312" w:hAnsi="宋体" w:eastAsia="仿宋_GB2312"/>
          <w:color w:val="000000"/>
          <w:sz w:val="32"/>
        </w:rPr>
        <w:t>决算数小于年初预算数的原因主要是按现有人员实际发生列支。</w:t>
      </w:r>
    </w:p>
    <w:p>
      <w:pPr>
        <w:spacing w:line="360" w:lineRule="auto"/>
        <w:ind w:firstLine="640" w:firstLineChars="200"/>
        <w:rPr>
          <w:rFonts w:hint="default" w:ascii="仿宋_GB2312" w:hAnsi="宋体" w:eastAsia="仿宋_GB2312"/>
          <w:sz w:val="32"/>
        </w:rPr>
      </w:pPr>
      <w:r>
        <w:rPr>
          <w:rFonts w:ascii="仿宋_GB2312" w:hAnsi="宋体" w:eastAsia="仿宋_GB2312"/>
          <w:sz w:val="32"/>
        </w:rPr>
        <w:t>6. 住房保障支出259.88万元，包括：</w:t>
      </w:r>
    </w:p>
    <w:p>
      <w:pPr>
        <w:spacing w:line="360" w:lineRule="auto"/>
        <w:ind w:firstLine="660"/>
        <w:rPr>
          <w:rFonts w:hint="default" w:ascii="仿宋_GB2312" w:hAnsi="宋体" w:eastAsia="仿宋_GB2312"/>
          <w:color w:val="000000"/>
          <w:sz w:val="32"/>
        </w:rPr>
      </w:pPr>
      <w:r>
        <w:rPr>
          <w:rFonts w:ascii="仿宋_GB2312" w:hAnsi="宋体" w:eastAsia="仿宋_GB2312"/>
          <w:sz w:val="32"/>
          <w:szCs w:val="32"/>
        </w:rPr>
        <w:t>（1）住房保障支出（类）住房改革支出（款）住房公积金（项）</w:t>
      </w:r>
      <w:r>
        <w:rPr>
          <w:rFonts w:ascii="仿宋_GB2312" w:hAnsi="宋体" w:eastAsia="仿宋_GB2312"/>
          <w:sz w:val="32"/>
        </w:rPr>
        <w:t>259.88万元，主要是职工住房公积金支出,</w:t>
      </w:r>
      <w:r>
        <w:rPr>
          <w:rFonts w:ascii="仿宋_GB2312" w:hAnsi="仿宋_GB2312" w:eastAsia="仿宋_GB2312" w:cs="仿宋_GB2312"/>
          <w:sz w:val="32"/>
          <w:szCs w:val="32"/>
        </w:rPr>
        <w:t xml:space="preserve"> 完成年初预算的88.62%</w:t>
      </w:r>
      <w:r>
        <w:rPr>
          <w:rFonts w:ascii="仿宋_GB2312" w:hAnsi="宋体" w:eastAsia="仿宋_GB2312"/>
          <w:sz w:val="32"/>
        </w:rPr>
        <w:t>，</w:t>
      </w:r>
      <w:r>
        <w:rPr>
          <w:rFonts w:ascii="仿宋_GB2312" w:hAnsi="宋体" w:eastAsia="仿宋_GB2312"/>
          <w:color w:val="000000"/>
          <w:sz w:val="32"/>
        </w:rPr>
        <w:t>决算数小于年初预算数的原因主要是按现有人员实际发生列支。</w:t>
      </w:r>
    </w:p>
    <w:p>
      <w:pPr>
        <w:spacing w:line="360" w:lineRule="auto"/>
        <w:ind w:firstLine="660"/>
        <w:rPr>
          <w:rFonts w:hint="default" w:ascii="仿宋_GB2312" w:hAnsi="宋体" w:eastAsia="仿宋_GB2312"/>
          <w:sz w:val="32"/>
        </w:rPr>
      </w:pPr>
      <w:r>
        <w:rPr>
          <w:rFonts w:ascii="仿宋_GB2312" w:hAnsi="宋体" w:eastAsia="仿宋_GB2312"/>
          <w:sz w:val="32"/>
        </w:rPr>
        <w:t>7.灾害防治及应急管理支出，47.57万元，包括：</w:t>
      </w:r>
    </w:p>
    <w:p>
      <w:pPr>
        <w:spacing w:line="360" w:lineRule="auto"/>
        <w:ind w:firstLine="660"/>
        <w:rPr>
          <w:rFonts w:ascii="仿宋_GB2312" w:hAnsi="宋体" w:eastAsia="仿宋_GB2312"/>
          <w:sz w:val="32"/>
        </w:rPr>
      </w:pPr>
      <w:r>
        <w:rPr>
          <w:rFonts w:ascii="仿宋_GB2312" w:hAnsi="宋体" w:eastAsia="仿宋_GB2312"/>
          <w:sz w:val="32"/>
          <w:szCs w:val="32"/>
        </w:rPr>
        <w:t>（1）灾害防治及应急管理支出（类）应急管理事务（款）  其他应急管理支出（项）</w:t>
      </w:r>
      <w:r>
        <w:rPr>
          <w:rFonts w:ascii="仿宋_GB2312" w:hAnsi="宋体" w:eastAsia="仿宋_GB2312"/>
          <w:sz w:val="32"/>
        </w:rPr>
        <w:t>47.57万元，主要是安全奖励支出，完成年初预算的100%。</w:t>
      </w:r>
    </w:p>
    <w:p>
      <w:pPr>
        <w:spacing w:line="560" w:lineRule="exact"/>
        <w:ind w:firstLine="660"/>
        <w:outlineLvl w:val="2"/>
        <w:rPr>
          <w:rFonts w:ascii="楷体_GB2312" w:hAnsi="宋体" w:eastAsia="楷体_GB2312"/>
          <w:b/>
          <w:sz w:val="32"/>
          <w:szCs w:val="32"/>
        </w:rPr>
      </w:pPr>
      <w:r>
        <w:rPr>
          <w:rFonts w:ascii="楷体_GB2312" w:hAnsi="宋体" w:eastAsia="楷体_GB2312"/>
          <w:b/>
          <w:sz w:val="32"/>
          <w:szCs w:val="32"/>
        </w:rPr>
        <w:t>（三）政府性基金预算财政拨款支出情况</w:t>
      </w:r>
    </w:p>
    <w:p>
      <w:pPr>
        <w:spacing w:line="560" w:lineRule="exact"/>
        <w:ind w:firstLine="660"/>
        <w:rPr>
          <w:rFonts w:ascii="仿宋_GB2312" w:hAnsi="宋体" w:eastAsia="仿宋_GB2312"/>
          <w:sz w:val="32"/>
          <w:szCs w:val="32"/>
        </w:rPr>
      </w:pPr>
      <w:r>
        <w:rPr>
          <w:rFonts w:ascii="仿宋_GB2312" w:hAnsi="宋体" w:eastAsia="仿宋_GB2312"/>
          <w:sz w:val="32"/>
          <w:szCs w:val="32"/>
        </w:rPr>
        <w:t>2020年度政府性基金预算财政拨款支出0万元，占0%，主要是本年无此业务发生。</w:t>
      </w:r>
    </w:p>
    <w:p>
      <w:pPr>
        <w:spacing w:line="560" w:lineRule="exact"/>
        <w:ind w:firstLine="660"/>
        <w:outlineLvl w:val="2"/>
        <w:rPr>
          <w:rFonts w:ascii="楷体_GB2312" w:hAnsi="宋体" w:eastAsia="楷体_GB2312"/>
          <w:b/>
          <w:sz w:val="32"/>
          <w:szCs w:val="32"/>
        </w:rPr>
      </w:pPr>
      <w:r>
        <w:rPr>
          <w:rFonts w:ascii="楷体_GB2312" w:hAnsi="宋体" w:eastAsia="楷体_GB2312"/>
          <w:b/>
          <w:sz w:val="32"/>
          <w:szCs w:val="32"/>
        </w:rPr>
        <w:t>（四）国有资本经营预算财政拨款支出情况。</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2020年度国有资本经营预算财政拨款支出0万元，占0%，主要是本年无此业务发生。</w:t>
      </w:r>
    </w:p>
    <w:p>
      <w:pPr>
        <w:spacing w:line="540" w:lineRule="exact"/>
        <w:ind w:firstLine="660"/>
        <w:rPr>
          <w:rFonts w:hint="default" w:ascii="仿宋_GB2312" w:hAnsi="仿宋_GB2312" w:eastAsia="仿宋_GB2312" w:cs="仿宋_GB2312"/>
          <w:b/>
          <w:color w:val="FF0000"/>
          <w:sz w:val="32"/>
          <w:szCs w:val="32"/>
        </w:rPr>
      </w:pPr>
      <w:r>
        <w:rPr>
          <w:rFonts w:ascii="黑体" w:hAnsi="黑体" w:eastAsia="黑体"/>
          <w:sz w:val="32"/>
          <w:szCs w:val="32"/>
        </w:rPr>
        <w:t>三、一般公共预算财政拨款“三公”经费支出决算情况</w:t>
      </w:r>
    </w:p>
    <w:p>
      <w:pPr>
        <w:spacing w:line="540" w:lineRule="exact"/>
        <w:ind w:firstLine="645"/>
        <w:rPr>
          <w:rFonts w:hint="default" w:ascii="仿宋_GB2312" w:hAnsi="宋体" w:eastAsia="仿宋_GB2312"/>
          <w:sz w:val="32"/>
          <w:szCs w:val="32"/>
        </w:rPr>
      </w:pPr>
      <w:r>
        <w:rPr>
          <w:rFonts w:ascii="仿宋_GB2312" w:hAnsi="宋体" w:eastAsia="仿宋_GB2312"/>
          <w:sz w:val="32"/>
          <w:szCs w:val="32"/>
        </w:rPr>
        <w:t>2020年度一般公共预算财政拨款安排的“三公”经费支出81.47万元，完成年初预算的82.35%，决算数小于年初预算数的主要原因是厉行节约，公务用车运行维护费有所减少。其中：因公出国（境）费0万元，公务接待费0万元，公务用车购置及运行维护费81.47万元。</w:t>
      </w:r>
    </w:p>
    <w:p>
      <w:pPr>
        <w:spacing w:line="540" w:lineRule="exact"/>
        <w:ind w:firstLine="645"/>
        <w:rPr>
          <w:rFonts w:hint="default" w:ascii="仿宋_GB2312" w:hAnsi="宋体" w:eastAsia="仿宋_GB2312"/>
          <w:color w:val="000000" w:themeColor="text1"/>
          <w:sz w:val="32"/>
          <w:szCs w:val="32"/>
        </w:rPr>
      </w:pPr>
      <w:r>
        <w:rPr>
          <w:rFonts w:ascii="仿宋_GB2312" w:hAnsi="宋体" w:eastAsia="仿宋_GB2312"/>
          <w:sz w:val="32"/>
          <w:szCs w:val="32"/>
        </w:rPr>
        <w:t>1.因公出国（境）费0万元，占“三公”经费支出的0%。2020年参加出国（境）团组0个，累计0人次。2020年因公出国（境）费与年初预算数相比减少0万元，下降0%，</w:t>
      </w:r>
      <w:r>
        <w:rPr>
          <w:rFonts w:ascii="仿宋_GB2312" w:hAnsi="仿宋_GB2312" w:eastAsia="仿宋_GB2312" w:cs="仿宋_GB2312"/>
          <w:color w:val="000000" w:themeColor="text1"/>
          <w:sz w:val="32"/>
          <w:szCs w:val="32"/>
        </w:rPr>
        <w:t>主要是出国任务</w:t>
      </w:r>
      <w:r>
        <w:rPr>
          <w:rFonts w:ascii="仿宋_GB2312" w:hAnsi="宋体" w:eastAsia="仿宋_GB2312"/>
          <w:color w:val="000000" w:themeColor="text1"/>
          <w:sz w:val="32"/>
          <w:szCs w:val="32"/>
        </w:rPr>
        <w:t>。</w:t>
      </w:r>
    </w:p>
    <w:p>
      <w:pPr>
        <w:spacing w:line="540" w:lineRule="exact"/>
        <w:ind w:firstLine="645"/>
        <w:rPr>
          <w:rFonts w:hint="default" w:ascii="仿宋_GB2312" w:hAnsi="宋体" w:eastAsia="仿宋_GB2312"/>
          <w:color w:val="000000" w:themeColor="text1"/>
          <w:sz w:val="32"/>
          <w:szCs w:val="32"/>
        </w:rPr>
      </w:pPr>
      <w:r>
        <w:rPr>
          <w:rFonts w:ascii="仿宋_GB2312" w:hAnsi="宋体" w:eastAsia="仿宋_GB2312"/>
          <w:sz w:val="32"/>
          <w:szCs w:val="32"/>
        </w:rPr>
        <w:t>2.公务接待费0万元，占“三公”经费支出的0%。2020年国内公务接待累计0批次、0人、0万元；其中外事接待累计0批次、0人、0万元。2020年公务接待费与年初预算数相比减少0万元，下降0%，</w:t>
      </w:r>
      <w:r>
        <w:rPr>
          <w:rFonts w:ascii="仿宋_GB2312" w:hAnsi="仿宋_GB2312" w:eastAsia="仿宋_GB2312" w:cs="仿宋_GB2312"/>
          <w:color w:val="000000" w:themeColor="text1"/>
          <w:sz w:val="32"/>
          <w:szCs w:val="32"/>
        </w:rPr>
        <w:t>主要是无公务接待任务</w:t>
      </w:r>
      <w:r>
        <w:rPr>
          <w:rFonts w:ascii="仿宋_GB2312" w:hAnsi="宋体" w:eastAsia="仿宋_GB2312"/>
          <w:color w:val="000000" w:themeColor="text1"/>
          <w:sz w:val="32"/>
          <w:szCs w:val="32"/>
        </w:rPr>
        <w:t>。</w:t>
      </w:r>
    </w:p>
    <w:p>
      <w:pPr>
        <w:spacing w:line="540" w:lineRule="exact"/>
        <w:ind w:firstLine="645"/>
        <w:rPr>
          <w:rFonts w:ascii="仿宋_GB2312" w:hAnsi="宋体" w:eastAsia="仿宋_GB2312"/>
          <w:sz w:val="32"/>
          <w:szCs w:val="32"/>
        </w:rPr>
      </w:pPr>
      <w:r>
        <w:rPr>
          <w:rFonts w:ascii="仿宋_GB2312" w:hAnsi="宋体" w:eastAsia="仿宋_GB2312"/>
          <w:sz w:val="32"/>
          <w:szCs w:val="32"/>
        </w:rPr>
        <w:t>3.公务用车购置及运行费81.47万元，占“三公”经费支出的100%。与年初预算数相比减少16.53万元，下降17%。</w:t>
      </w:r>
    </w:p>
    <w:p>
      <w:pPr>
        <w:spacing w:line="540" w:lineRule="exact"/>
        <w:ind w:firstLine="645"/>
        <w:rPr>
          <w:rFonts w:hint="default" w:ascii="仿宋_GB2312" w:hAnsi="宋体" w:eastAsia="仿宋_GB2312"/>
          <w:sz w:val="32"/>
          <w:szCs w:val="32"/>
        </w:rPr>
      </w:pPr>
      <w:r>
        <w:rPr>
          <w:rFonts w:ascii="仿宋_GB2312" w:hAnsi="宋体" w:eastAsia="仿宋_GB2312"/>
          <w:sz w:val="32"/>
          <w:szCs w:val="32"/>
        </w:rPr>
        <w:t>其中：公务用车购置费0万元,当年购置公务用车0辆。公务用车运行维护费81.47万元，与年初预算数相比减少16.53万元，下降17%，主要是2020年受疫情影响，公务用车出差办案使用量减少，相应公务用车运行维</w:t>
      </w:r>
      <w:bookmarkStart w:id="0" w:name="_GoBack"/>
      <w:bookmarkEnd w:id="0"/>
      <w:r>
        <w:rPr>
          <w:rFonts w:ascii="仿宋_GB2312" w:hAnsi="宋体" w:eastAsia="仿宋_GB2312"/>
          <w:sz w:val="32"/>
          <w:szCs w:val="32"/>
        </w:rPr>
        <w:t>护费减少。</w:t>
      </w:r>
    </w:p>
    <w:p>
      <w:pPr>
        <w:spacing w:line="540" w:lineRule="exact"/>
        <w:ind w:firstLine="645"/>
        <w:rPr>
          <w:rFonts w:hint="default" w:ascii="仿宋_GB2312" w:hAnsi="宋体" w:eastAsia="仿宋_GB2312"/>
          <w:sz w:val="32"/>
          <w:szCs w:val="32"/>
        </w:rPr>
      </w:pPr>
      <w:r>
        <w:rPr>
          <w:rFonts w:ascii="仿宋_GB2312" w:hAnsi="宋体" w:eastAsia="仿宋_GB2312"/>
          <w:sz w:val="32"/>
          <w:szCs w:val="32"/>
        </w:rPr>
        <w:t>截至年末使用一般公共预算财政拨款开支运行维护费的公务用车保有量28辆。</w:t>
      </w:r>
    </w:p>
    <w:p>
      <w:pPr>
        <w:spacing w:line="540" w:lineRule="exact"/>
        <w:ind w:firstLine="645"/>
        <w:rPr>
          <w:rFonts w:hint="default" w:ascii="黑体" w:hAnsi="黑体" w:eastAsia="黑体"/>
          <w:sz w:val="32"/>
          <w:szCs w:val="32"/>
        </w:rPr>
      </w:pPr>
      <w:r>
        <w:rPr>
          <w:rFonts w:ascii="黑体" w:hAnsi="黑体" w:eastAsia="黑体"/>
          <w:sz w:val="32"/>
          <w:szCs w:val="32"/>
        </w:rPr>
        <w:t>四、一般公共预算财政拨款基本支出决算情况说明</w:t>
      </w:r>
    </w:p>
    <w:p>
      <w:pPr>
        <w:spacing w:line="540" w:lineRule="exact"/>
        <w:ind w:firstLine="645"/>
        <w:rPr>
          <w:rFonts w:hint="default" w:ascii="仿宋_GB2312" w:hAnsi="宋体" w:eastAsia="仿宋_GB2312"/>
          <w:sz w:val="32"/>
          <w:szCs w:val="32"/>
        </w:rPr>
      </w:pPr>
      <w:r>
        <w:rPr>
          <w:rFonts w:ascii="仿宋_GB2312" w:hAnsi="宋体" w:eastAsia="仿宋_GB2312"/>
          <w:sz w:val="32"/>
          <w:szCs w:val="32"/>
        </w:rPr>
        <w:t>2020年度一般公共预算财政拨款基本支出2505.64万元，其中：人员经费2058.12万元，主要包括基本工资、津贴补贴、奖金、机关事业单位基本养老保险缴费、职业年金缴费、职工基本医疗保险缴费、公务员医疗补助缴费、离休费、退休费、生活补助、奖励金、住房公积金；日常公用经费447.52万元，主要包括办公费、水费、电费、邮电费、取暖费、物业管理费、维修（护）费、劳务费、工会经费、公务用车运行维护费、其他交通费用、其他商品和服务支出。</w:t>
      </w:r>
    </w:p>
    <w:p>
      <w:pPr>
        <w:spacing w:line="540" w:lineRule="exact"/>
        <w:ind w:firstLine="640" w:firstLineChars="200"/>
        <w:rPr>
          <w:rFonts w:hint="default" w:ascii="黑体" w:hAnsi="黑体" w:eastAsia="黑体"/>
          <w:sz w:val="32"/>
          <w:szCs w:val="32"/>
        </w:rPr>
      </w:pPr>
      <w:r>
        <w:rPr>
          <w:rFonts w:ascii="黑体" w:hAnsi="黑体" w:eastAsia="黑体"/>
          <w:sz w:val="32"/>
          <w:szCs w:val="32"/>
        </w:rPr>
        <w:t>五、其他重要事项的情况说明</w:t>
      </w:r>
    </w:p>
    <w:p>
      <w:pPr>
        <w:spacing w:line="540" w:lineRule="exact"/>
        <w:ind w:firstLine="643" w:firstLineChars="200"/>
        <w:rPr>
          <w:rFonts w:hint="default" w:ascii="楷体_GB2312" w:hAnsi="黑体" w:eastAsia="楷体_GB2312"/>
          <w:b/>
          <w:sz w:val="32"/>
          <w:szCs w:val="32"/>
        </w:rPr>
      </w:pPr>
      <w:r>
        <w:rPr>
          <w:rFonts w:ascii="楷体_GB2312" w:hAnsi="黑体" w:eastAsia="楷体_GB2312"/>
          <w:b/>
          <w:sz w:val="32"/>
          <w:szCs w:val="32"/>
        </w:rPr>
        <w:t>（一）机关运行经费支出情况</w:t>
      </w:r>
    </w:p>
    <w:p>
      <w:pPr>
        <w:spacing w:line="540" w:lineRule="exact"/>
        <w:ind w:firstLine="640" w:firstLineChars="200"/>
        <w:rPr>
          <w:rFonts w:hint="default" w:ascii="仿宋_GB2312" w:hAnsi="黑体" w:eastAsia="仿宋_GB2312"/>
          <w:sz w:val="32"/>
          <w:szCs w:val="32"/>
        </w:rPr>
      </w:pPr>
      <w:r>
        <w:rPr>
          <w:rFonts w:ascii="仿宋_GB2312" w:hAnsi="黑体" w:eastAsia="仿宋_GB2312"/>
          <w:sz w:val="32"/>
          <w:szCs w:val="32"/>
        </w:rPr>
        <w:t>2020年机关运行经费支出447.52万元，比上年增加132.56万元，增长42.09%，主要原因是商品和服务支出中其他交通费用有所增加。</w:t>
      </w:r>
    </w:p>
    <w:p>
      <w:pPr>
        <w:spacing w:line="540" w:lineRule="exact"/>
        <w:ind w:firstLine="643" w:firstLineChars="200"/>
        <w:rPr>
          <w:rFonts w:hint="default" w:ascii="仿宋_GB2312" w:hAnsi="仿宋_GB2312" w:eastAsia="仿宋_GB2312" w:cs="仿宋_GB2312"/>
          <w:b/>
          <w:sz w:val="32"/>
          <w:szCs w:val="32"/>
        </w:rPr>
      </w:pPr>
      <w:r>
        <w:rPr>
          <w:rFonts w:ascii="楷体_GB2312" w:hAnsi="黑体" w:eastAsia="楷体_GB2312"/>
          <w:b/>
          <w:sz w:val="32"/>
          <w:szCs w:val="32"/>
        </w:rPr>
        <w:t>（二）政府采购支出情况</w:t>
      </w:r>
    </w:p>
    <w:p>
      <w:pPr>
        <w:spacing w:line="540" w:lineRule="exact"/>
        <w:ind w:firstLine="640" w:firstLineChars="200"/>
        <w:rPr>
          <w:rFonts w:hint="default" w:ascii="仿宋_GB2312" w:hAnsi="黑体" w:eastAsia="仿宋_GB2312"/>
          <w:sz w:val="32"/>
          <w:szCs w:val="32"/>
        </w:rPr>
      </w:pPr>
      <w:r>
        <w:rPr>
          <w:rFonts w:ascii="仿宋_GB2312" w:hAnsi="黑体" w:eastAsia="仿宋_GB2312"/>
          <w:sz w:val="32"/>
          <w:szCs w:val="32"/>
        </w:rPr>
        <w:t>2020年政府采购支出总额545万元，其中：政府采购货物支出316.4万元，政府采购工程支出48.7万元，政府采购服务支出179.9万元。</w:t>
      </w:r>
      <w:r>
        <w:rPr>
          <w:rFonts w:ascii="仿宋_GB2312" w:eastAsia="仿宋_GB2312"/>
          <w:sz w:val="32"/>
          <w:szCs w:val="32"/>
        </w:rPr>
        <w:t>授予中小企业合同金额358.9万元，占政府采购支出总额的65.85%，其中：授予小微企业合同金额358.9万元，占政府采购支出总额的65.85%。</w:t>
      </w:r>
    </w:p>
    <w:p>
      <w:pPr>
        <w:spacing w:line="540" w:lineRule="exact"/>
        <w:ind w:firstLine="643" w:firstLineChars="200"/>
        <w:rPr>
          <w:rFonts w:hint="default" w:ascii="楷体_GB2312" w:hAnsi="黑体" w:eastAsia="楷体_GB2312"/>
          <w:b/>
          <w:sz w:val="32"/>
          <w:szCs w:val="32"/>
        </w:rPr>
      </w:pPr>
      <w:r>
        <w:rPr>
          <w:rFonts w:ascii="楷体_GB2312" w:hAnsi="黑体" w:eastAsia="楷体_GB2312"/>
          <w:b/>
          <w:sz w:val="32"/>
          <w:szCs w:val="32"/>
        </w:rPr>
        <w:t>（三）国有资产占用情况</w:t>
      </w:r>
    </w:p>
    <w:p>
      <w:pPr>
        <w:spacing w:line="540" w:lineRule="exact"/>
        <w:ind w:firstLine="640" w:firstLineChars="200"/>
        <w:rPr>
          <w:rFonts w:hint="default" w:ascii="仿宋_GB2312" w:hAnsi="黑体" w:eastAsia="仿宋_GB2312"/>
          <w:sz w:val="32"/>
          <w:szCs w:val="32"/>
        </w:rPr>
      </w:pPr>
      <w:r>
        <w:rPr>
          <w:rFonts w:ascii="仿宋_GB2312" w:hAnsi="黑体" w:eastAsia="仿宋_GB2312"/>
          <w:sz w:val="32"/>
          <w:szCs w:val="32"/>
        </w:rPr>
        <w:t>截至2020年12月31日，共有车辆28辆，其中：副省级以上领导干部用车0辆，主要领导干部用车1辆，机要通讯用车0辆，应急保障用车0辆，执法执勤用车27辆，特种专业技术用车0辆，离退休干部用车0辆，其他用车0辆；单位价值50万元以上通用设备2台（套），单价100万元以上专用设备0台（套）。</w:t>
      </w:r>
    </w:p>
    <w:p>
      <w:pPr>
        <w:widowControl/>
        <w:spacing w:line="540" w:lineRule="exact"/>
        <w:ind w:firstLine="643" w:firstLineChars="200"/>
        <w:jc w:val="left"/>
        <w:rPr>
          <w:rFonts w:hint="default"/>
          <w:b/>
          <w:color w:val="FF0000"/>
        </w:rPr>
      </w:pPr>
      <w:r>
        <w:rPr>
          <w:rFonts w:ascii="楷体_GB2312" w:hAnsi="宋体" w:eastAsia="楷体_GB2312" w:cs="楷体_GB2312"/>
          <w:b/>
          <w:sz w:val="32"/>
          <w:szCs w:val="32"/>
        </w:rPr>
        <w:t>（四）预算绩效管理工作开展情况</w:t>
      </w:r>
    </w:p>
    <w:p>
      <w:pPr>
        <w:widowControl/>
        <w:spacing w:line="540" w:lineRule="exact"/>
        <w:ind w:firstLine="643" w:firstLineChars="200"/>
        <w:jc w:val="left"/>
        <w:rPr>
          <w:rFonts w:hint="default"/>
        </w:rPr>
      </w:pPr>
      <w:r>
        <w:rPr>
          <w:rFonts w:hAnsi="宋体" w:eastAsia="仿宋_GB2312" w:cs="仿宋_GB2312"/>
          <w:b/>
          <w:bCs/>
          <w:sz w:val="32"/>
          <w:szCs w:val="32"/>
        </w:rPr>
        <w:t>1.绩效自评情况。</w:t>
      </w:r>
      <w:r>
        <w:rPr>
          <w:rFonts w:ascii="仿宋_GB2312" w:hAnsi="宋体" w:eastAsia="仿宋_GB2312" w:cs="仿宋_GB2312"/>
          <w:sz w:val="32"/>
          <w:szCs w:val="32"/>
        </w:rPr>
        <w:t>根据预算</w:t>
      </w:r>
      <w:r>
        <w:rPr>
          <w:rFonts w:hAnsi="宋体" w:eastAsia="仿宋_GB2312" w:cs="仿宋_GB2312"/>
          <w:sz w:val="32"/>
          <w:szCs w:val="32"/>
        </w:rPr>
        <w:t>绩效</w:t>
      </w:r>
      <w:r>
        <w:rPr>
          <w:rFonts w:ascii="仿宋_GB2312" w:hAnsi="宋体" w:eastAsia="仿宋_GB2312" w:cs="仿宋_GB2312"/>
          <w:sz w:val="32"/>
          <w:szCs w:val="32"/>
        </w:rPr>
        <w:t>管理要求，我单位组织对</w:t>
      </w:r>
      <w:r>
        <w:rPr>
          <w:rFonts w:ascii="仿宋_GB2312" w:hAnsi="宋体" w:eastAsia="仿宋_GB2312" w:cs="宋体"/>
          <w:sz w:val="32"/>
          <w:szCs w:val="32"/>
        </w:rPr>
        <w:t>2020</w:t>
      </w:r>
      <w:r>
        <w:rPr>
          <w:rFonts w:ascii="仿宋_GB2312" w:hAnsi="宋体" w:eastAsia="仿宋_GB2312" w:cs="仿宋_GB2312"/>
          <w:sz w:val="32"/>
          <w:szCs w:val="32"/>
        </w:rPr>
        <w:t>年度预算项目支出全面开展绩效自评，共涉及预算支出项目1个，涉及资金392.13万元，自评覆盖率（开展绩效自评的项目数</w:t>
      </w:r>
      <w:r>
        <w:rPr>
          <w:rFonts w:ascii="仿宋_GB2312" w:hAnsi="宋体" w:eastAsia="仿宋_GB2312" w:cs="宋体"/>
          <w:sz w:val="32"/>
          <w:szCs w:val="32"/>
        </w:rPr>
        <w:t>/年初批复绩效目标的项目数）达到</w:t>
      </w:r>
      <w:r>
        <w:rPr>
          <w:rFonts w:ascii="仿宋_GB2312" w:hAnsi="宋体" w:eastAsia="仿宋_GB2312" w:cs="仿宋_GB2312"/>
          <w:sz w:val="32"/>
          <w:szCs w:val="32"/>
        </w:rPr>
        <w:t>100</w:t>
      </w:r>
      <w:r>
        <w:rPr>
          <w:rFonts w:ascii="仿宋_GB2312" w:hAnsi="宋体" w:eastAsia="仿宋_GB2312" w:cs="宋体"/>
          <w:sz w:val="32"/>
          <w:szCs w:val="32"/>
        </w:rPr>
        <w:t>%，自评平均分（开展绩效自评的项目分数总和/开展绩效自评的项目数）</w:t>
      </w:r>
      <w:r>
        <w:rPr>
          <w:rFonts w:ascii="仿宋_GB2312" w:hAnsi="宋体" w:eastAsia="仿宋_GB2312" w:cs="仿宋_GB2312"/>
          <w:sz w:val="32"/>
          <w:szCs w:val="32"/>
        </w:rPr>
        <w:t>94.75分。</w:t>
      </w:r>
    </w:p>
    <w:p>
      <w:pPr>
        <w:spacing w:line="540" w:lineRule="exact"/>
        <w:ind w:firstLine="640" w:firstLineChars="200"/>
        <w:rPr>
          <w:rFonts w:hint="default" w:ascii="仿宋_GB2312" w:hAnsi="宋体" w:eastAsia="仿宋_GB2312" w:cs="宋体"/>
          <w:color w:val="000000" w:themeColor="text1"/>
          <w:sz w:val="32"/>
          <w:szCs w:val="32"/>
        </w:rPr>
      </w:pPr>
      <w:r>
        <w:rPr>
          <w:rFonts w:ascii="仿宋_GB2312" w:hAnsi="宋体" w:eastAsia="仿宋_GB2312" w:cs="宋体"/>
          <w:color w:val="000000" w:themeColor="text1"/>
          <w:sz w:val="32"/>
          <w:szCs w:val="32"/>
        </w:rPr>
        <w:t>通过绩效自评发现预算项目管理主要存在以下问题：对</w:t>
      </w:r>
      <w:r>
        <w:rPr>
          <w:rFonts w:ascii="仿宋_GB2312" w:hAnsi="黑体" w:eastAsia="仿宋_GB2312"/>
          <w:color w:val="000000" w:themeColor="text1"/>
          <w:sz w:val="32"/>
          <w:szCs w:val="32"/>
        </w:rPr>
        <w:t>预算绩效管理工作没有深入学习，缺乏量化分析，对预算编制阶段、执行阶段等执行力度不够强。</w:t>
      </w:r>
      <w:r>
        <w:rPr>
          <w:rFonts w:ascii="仿宋_GB2312" w:hAnsi="宋体" w:eastAsia="仿宋_GB2312" w:cs="宋体"/>
          <w:color w:val="000000" w:themeColor="text1"/>
          <w:sz w:val="32"/>
          <w:szCs w:val="32"/>
        </w:rPr>
        <w:t>下一步将采取以下措施加以改进：</w:t>
      </w:r>
      <w:r>
        <w:rPr>
          <w:rFonts w:ascii="仿宋_GB2312" w:hAnsi="黑体" w:eastAsia="仿宋_GB2312"/>
          <w:color w:val="000000" w:themeColor="text1"/>
          <w:sz w:val="32"/>
          <w:szCs w:val="32"/>
        </w:rPr>
        <w:t>加强院内各部门对预算编制绩效目标的明确化程度，严格按照预算目标阶段化执行，对预算编制更加严谨化、科学化。</w:t>
      </w:r>
    </w:p>
    <w:p>
      <w:pPr>
        <w:spacing w:line="540" w:lineRule="exact"/>
        <w:rPr>
          <w:rFonts w:hint="default" w:ascii="仿宋_GB2312" w:hAnsi="宋体" w:eastAsia="仿宋_GB2312" w:cs="宋体"/>
          <w:sz w:val="32"/>
          <w:szCs w:val="32"/>
        </w:rPr>
      </w:pPr>
    </w:p>
    <w:p>
      <w:pPr>
        <w:spacing w:line="560" w:lineRule="exact"/>
        <w:jc w:val="center"/>
        <w:rPr>
          <w:rFonts w:hint="default" w:ascii="黑体" w:eastAsia="黑体"/>
          <w:sz w:val="36"/>
        </w:rPr>
      </w:pPr>
      <w:r>
        <w:rPr>
          <w:rFonts w:ascii="宋体" w:hAnsi="宋体"/>
          <w:b/>
          <w:sz w:val="36"/>
        </w:rPr>
        <w:t>第三部分 名词解释</w:t>
      </w:r>
    </w:p>
    <w:p>
      <w:pPr>
        <w:spacing w:line="540" w:lineRule="exact"/>
        <w:ind w:firstLine="643" w:firstLineChars="200"/>
        <w:rPr>
          <w:rFonts w:hint="default" w:ascii="仿宋_GB2312" w:eastAsia="仿宋_GB2312"/>
          <w:sz w:val="32"/>
          <w:szCs w:val="32"/>
        </w:rPr>
      </w:pPr>
      <w:r>
        <w:rPr>
          <w:rFonts w:ascii="仿宋_GB2312" w:eastAsia="仿宋_GB2312"/>
          <w:b/>
          <w:sz w:val="32"/>
          <w:szCs w:val="32"/>
        </w:rPr>
        <w:t>1.财政拨款收入：</w:t>
      </w:r>
      <w:r>
        <w:rPr>
          <w:rFonts w:ascii="仿宋_GB2312" w:eastAsia="仿宋_GB2312"/>
          <w:sz w:val="32"/>
          <w:szCs w:val="32"/>
        </w:rPr>
        <w:t>指单位从同级财政部门取得的财政预算资金。</w:t>
      </w:r>
    </w:p>
    <w:p>
      <w:pPr>
        <w:spacing w:line="540" w:lineRule="exact"/>
        <w:ind w:firstLine="643" w:firstLineChars="200"/>
        <w:rPr>
          <w:rFonts w:hint="default" w:ascii="仿宋_GB2312" w:eastAsia="仿宋_GB2312"/>
          <w:sz w:val="32"/>
          <w:szCs w:val="32"/>
        </w:rPr>
      </w:pPr>
      <w:r>
        <w:rPr>
          <w:rFonts w:ascii="仿宋_GB2312" w:eastAsia="仿宋_GB2312"/>
          <w:b/>
          <w:sz w:val="32"/>
          <w:szCs w:val="32"/>
        </w:rPr>
        <w:t>2.上级补助收入：</w:t>
      </w:r>
      <w:r>
        <w:rPr>
          <w:rFonts w:ascii="仿宋_GB2312" w:eastAsia="仿宋_GB2312"/>
          <w:sz w:val="32"/>
          <w:szCs w:val="32"/>
        </w:rPr>
        <w:t>指单位从主管部门和上级单位取得的非财政性补助收入。</w:t>
      </w:r>
    </w:p>
    <w:p>
      <w:pPr>
        <w:spacing w:line="540" w:lineRule="exact"/>
        <w:ind w:firstLine="643" w:firstLineChars="200"/>
        <w:rPr>
          <w:rFonts w:hint="default" w:ascii="仿宋_GB2312" w:eastAsia="仿宋_GB2312"/>
          <w:sz w:val="32"/>
          <w:szCs w:val="32"/>
        </w:rPr>
      </w:pPr>
      <w:r>
        <w:rPr>
          <w:rFonts w:ascii="仿宋_GB2312" w:eastAsia="仿宋_GB2312"/>
          <w:b/>
          <w:sz w:val="32"/>
          <w:szCs w:val="32"/>
        </w:rPr>
        <w:t>3.事业收入：</w:t>
      </w:r>
      <w:r>
        <w:rPr>
          <w:rFonts w:ascii="仿宋_GB2312" w:eastAsia="仿宋_GB2312"/>
          <w:sz w:val="32"/>
          <w:szCs w:val="32"/>
        </w:rPr>
        <w:t>指事业单位开展专业业务活动及辅助活动所取得的收入。</w:t>
      </w:r>
    </w:p>
    <w:p>
      <w:pPr>
        <w:spacing w:line="540" w:lineRule="exact"/>
        <w:ind w:firstLine="643" w:firstLineChars="200"/>
        <w:rPr>
          <w:rFonts w:hint="default" w:ascii="仿宋_GB2312" w:eastAsia="仿宋_GB2312"/>
          <w:sz w:val="32"/>
          <w:szCs w:val="32"/>
        </w:rPr>
      </w:pPr>
      <w:r>
        <w:rPr>
          <w:rFonts w:ascii="仿宋_GB2312" w:eastAsia="仿宋_GB2312"/>
          <w:b/>
          <w:sz w:val="32"/>
          <w:szCs w:val="32"/>
        </w:rPr>
        <w:t>4.经营收入：</w:t>
      </w:r>
      <w:r>
        <w:rPr>
          <w:rFonts w:ascii="仿宋_GB2312" w:eastAsia="仿宋_GB2312"/>
          <w:sz w:val="32"/>
          <w:szCs w:val="32"/>
        </w:rPr>
        <w:t>指事业单位在专业业务活动及辅助活动之外开展非独立核算经营活动取得的收入。</w:t>
      </w:r>
    </w:p>
    <w:p>
      <w:pPr>
        <w:spacing w:line="540" w:lineRule="exact"/>
        <w:ind w:firstLine="643" w:firstLineChars="200"/>
        <w:rPr>
          <w:rFonts w:hint="default" w:ascii="仿宋_GB2312" w:eastAsia="仿宋_GB2312"/>
          <w:sz w:val="32"/>
          <w:szCs w:val="32"/>
        </w:rPr>
      </w:pPr>
      <w:r>
        <w:rPr>
          <w:rFonts w:ascii="仿宋_GB2312" w:eastAsia="仿宋_GB2312"/>
          <w:b/>
          <w:sz w:val="32"/>
          <w:szCs w:val="32"/>
        </w:rPr>
        <w:t>5.附属单位上缴收入：</w:t>
      </w:r>
      <w:r>
        <w:rPr>
          <w:rFonts w:ascii="仿宋_GB2312" w:eastAsia="仿宋_GB2312"/>
          <w:sz w:val="32"/>
          <w:szCs w:val="32"/>
        </w:rPr>
        <w:t>指单位附属的独立核算单位按照规定上缴的收入。</w:t>
      </w:r>
    </w:p>
    <w:p>
      <w:pPr>
        <w:spacing w:line="540" w:lineRule="exact"/>
        <w:ind w:firstLine="643" w:firstLineChars="200"/>
        <w:rPr>
          <w:rFonts w:hint="default" w:ascii="仿宋_GB2312" w:eastAsia="仿宋_GB2312"/>
          <w:sz w:val="32"/>
          <w:szCs w:val="32"/>
        </w:rPr>
      </w:pPr>
      <w:r>
        <w:rPr>
          <w:rFonts w:ascii="仿宋_GB2312" w:eastAsia="仿宋_GB2312"/>
          <w:b/>
          <w:sz w:val="32"/>
          <w:szCs w:val="32"/>
        </w:rPr>
        <w:t>6.其他收入：</w:t>
      </w:r>
      <w:r>
        <w:rPr>
          <w:rFonts w:ascii="仿宋_GB2312" w:eastAsia="仿宋_GB2312"/>
          <w:sz w:val="32"/>
          <w:szCs w:val="32"/>
        </w:rPr>
        <w:t>指除上述“财政拨款收入”、“上级补助收入”、“事业收入”、“经营收入”、“附属单位上缴收入”等以外的收入。</w:t>
      </w:r>
    </w:p>
    <w:p>
      <w:pPr>
        <w:spacing w:line="540" w:lineRule="exact"/>
        <w:ind w:firstLine="643" w:firstLineChars="200"/>
        <w:rPr>
          <w:rFonts w:hint="default" w:ascii="仿宋_GB2312" w:eastAsia="仿宋_GB2312"/>
          <w:sz w:val="32"/>
          <w:szCs w:val="32"/>
        </w:rPr>
      </w:pPr>
      <w:r>
        <w:rPr>
          <w:rFonts w:ascii="仿宋_GB2312" w:eastAsia="仿宋_GB2312"/>
          <w:b/>
          <w:sz w:val="32"/>
          <w:szCs w:val="32"/>
        </w:rPr>
        <w:t>7.用事业基金弥补收支差额：</w:t>
      </w:r>
      <w:r>
        <w:rPr>
          <w:rFonts w:ascii="仿宋_GB2312" w:eastAsia="仿宋_GB2312"/>
          <w:sz w:val="32"/>
          <w:szCs w:val="32"/>
        </w:rPr>
        <w:t>指事业单位在当年的“财政拨款收入”、“财政拨款结转和结余资金”、“上级补助收入”、“事业收入”、“经营收入”、“附属单位上缴收入”、“其他收入”不足以安排当年支出情况下，使用以前年度积累的事业基金（事业单位当年收支相抵后按国家规定提取、用于弥补以后年度收支差额的基金）弥补本年度收支缺口的资金。</w:t>
      </w:r>
    </w:p>
    <w:p>
      <w:pPr>
        <w:spacing w:line="540" w:lineRule="exact"/>
        <w:ind w:firstLine="643" w:firstLineChars="200"/>
        <w:rPr>
          <w:rFonts w:hint="default" w:ascii="仿宋_GB2312" w:eastAsia="仿宋_GB2312"/>
          <w:sz w:val="32"/>
          <w:szCs w:val="32"/>
        </w:rPr>
      </w:pPr>
      <w:r>
        <w:rPr>
          <w:rFonts w:ascii="仿宋_GB2312" w:eastAsia="仿宋_GB2312"/>
          <w:b/>
          <w:sz w:val="32"/>
          <w:szCs w:val="32"/>
        </w:rPr>
        <w:t>8.上年结转和结余：</w:t>
      </w:r>
      <w:r>
        <w:rPr>
          <w:rFonts w:ascii="仿宋_GB2312" w:eastAsia="仿宋_GB2312"/>
          <w:sz w:val="32"/>
          <w:szCs w:val="32"/>
        </w:rPr>
        <w:t>指以前年度尚未完成、结转到本年按有关规定继续使用的资金。</w:t>
      </w:r>
    </w:p>
    <w:p>
      <w:pPr>
        <w:spacing w:line="540" w:lineRule="exact"/>
        <w:ind w:firstLine="643" w:firstLineChars="200"/>
        <w:rPr>
          <w:rFonts w:hint="default" w:ascii="仿宋_GB2312" w:eastAsia="仿宋_GB2312"/>
          <w:sz w:val="32"/>
          <w:szCs w:val="32"/>
        </w:rPr>
      </w:pPr>
      <w:r>
        <w:rPr>
          <w:rFonts w:ascii="仿宋_GB2312" w:eastAsia="仿宋_GB2312"/>
          <w:b/>
          <w:sz w:val="32"/>
          <w:szCs w:val="32"/>
        </w:rPr>
        <w:t>9.基本支出：</w:t>
      </w:r>
      <w:r>
        <w:rPr>
          <w:rFonts w:ascii="仿宋_GB2312" w:eastAsia="仿宋_GB2312"/>
          <w:sz w:val="32"/>
          <w:szCs w:val="32"/>
        </w:rPr>
        <w:t>指保障机构正常运转、完成日常工作任务而发生的人员支出和公用支出。</w:t>
      </w:r>
    </w:p>
    <w:p>
      <w:pPr>
        <w:spacing w:line="540" w:lineRule="exact"/>
        <w:ind w:firstLine="643" w:firstLineChars="200"/>
        <w:rPr>
          <w:rFonts w:hint="default" w:ascii="仿宋_GB2312" w:eastAsia="仿宋_GB2312"/>
          <w:sz w:val="32"/>
          <w:szCs w:val="32"/>
        </w:rPr>
      </w:pPr>
      <w:r>
        <w:rPr>
          <w:rFonts w:ascii="仿宋_GB2312" w:eastAsia="仿宋_GB2312"/>
          <w:b/>
          <w:sz w:val="32"/>
          <w:szCs w:val="32"/>
        </w:rPr>
        <w:t>10.项目支出：</w:t>
      </w:r>
      <w:r>
        <w:rPr>
          <w:rFonts w:ascii="仿宋_GB2312" w:eastAsia="仿宋_GB2312"/>
          <w:sz w:val="32"/>
          <w:szCs w:val="32"/>
        </w:rPr>
        <w:t>指在基本支出之外为完成特定行政任务和事业发展目标所发生的支出。</w:t>
      </w:r>
    </w:p>
    <w:p>
      <w:pPr>
        <w:spacing w:line="540" w:lineRule="exact"/>
        <w:ind w:firstLine="643" w:firstLineChars="200"/>
        <w:rPr>
          <w:rFonts w:hint="default" w:ascii="仿宋_GB2312" w:eastAsia="仿宋_GB2312"/>
          <w:sz w:val="32"/>
          <w:szCs w:val="32"/>
        </w:rPr>
      </w:pPr>
      <w:r>
        <w:rPr>
          <w:rFonts w:ascii="仿宋_GB2312" w:eastAsia="仿宋_GB2312"/>
          <w:b/>
          <w:sz w:val="32"/>
          <w:szCs w:val="32"/>
        </w:rPr>
        <w:t>11.上缴上级支出：</w:t>
      </w:r>
      <w:r>
        <w:rPr>
          <w:rFonts w:ascii="仿宋_GB2312" w:eastAsia="仿宋_GB2312"/>
          <w:sz w:val="32"/>
          <w:szCs w:val="32"/>
        </w:rPr>
        <w:t>指事业单位按照财政部门和主管部门的规定上缴上级单位的支出。</w:t>
      </w:r>
    </w:p>
    <w:p>
      <w:pPr>
        <w:spacing w:line="540" w:lineRule="exact"/>
        <w:ind w:firstLine="643" w:firstLineChars="200"/>
        <w:rPr>
          <w:rFonts w:hint="default" w:ascii="仿宋_GB2312" w:eastAsia="仿宋_GB2312"/>
          <w:sz w:val="32"/>
          <w:szCs w:val="32"/>
        </w:rPr>
      </w:pPr>
      <w:r>
        <w:rPr>
          <w:rFonts w:ascii="仿宋_GB2312" w:eastAsia="仿宋_GB2312"/>
          <w:b/>
          <w:sz w:val="32"/>
          <w:szCs w:val="32"/>
        </w:rPr>
        <w:t>12.经营支出：</w:t>
      </w:r>
      <w:r>
        <w:rPr>
          <w:rFonts w:ascii="仿宋_GB2312" w:eastAsia="仿宋_GB2312"/>
          <w:sz w:val="32"/>
          <w:szCs w:val="32"/>
        </w:rPr>
        <w:t>指事业单位在专业活动及辅助活动之外开展非独立核算经营活动发生的支出。</w:t>
      </w:r>
    </w:p>
    <w:p>
      <w:pPr>
        <w:spacing w:line="540" w:lineRule="exact"/>
        <w:ind w:firstLine="643" w:firstLineChars="200"/>
        <w:rPr>
          <w:rFonts w:hint="default" w:ascii="仿宋_GB2312" w:eastAsia="仿宋_GB2312"/>
          <w:b/>
          <w:sz w:val="32"/>
          <w:szCs w:val="32"/>
        </w:rPr>
      </w:pPr>
      <w:r>
        <w:rPr>
          <w:rFonts w:ascii="仿宋_GB2312" w:eastAsia="仿宋_GB2312"/>
          <w:b/>
          <w:sz w:val="32"/>
          <w:szCs w:val="32"/>
        </w:rPr>
        <w:t>13.对附属单位补助支出：</w:t>
      </w:r>
      <w:r>
        <w:rPr>
          <w:rFonts w:ascii="仿宋_GB2312" w:eastAsia="仿宋_GB2312"/>
          <w:sz w:val="32"/>
          <w:szCs w:val="32"/>
        </w:rPr>
        <w:t>指事业单位用财政补助收入之外的收入对附属单位补助发生的支出。</w:t>
      </w:r>
    </w:p>
    <w:p>
      <w:pPr>
        <w:spacing w:line="540" w:lineRule="exact"/>
        <w:ind w:firstLine="643" w:firstLineChars="200"/>
        <w:rPr>
          <w:rFonts w:hint="default" w:ascii="仿宋_GB2312" w:eastAsia="仿宋_GB2312"/>
          <w:sz w:val="32"/>
          <w:szCs w:val="32"/>
        </w:rPr>
      </w:pPr>
      <w:r>
        <w:rPr>
          <w:rFonts w:ascii="仿宋_GB2312" w:eastAsia="仿宋_GB2312"/>
          <w:b/>
          <w:sz w:val="32"/>
          <w:szCs w:val="32"/>
        </w:rPr>
        <w:t>14.“三公”经费：</w:t>
      </w:r>
      <w:r>
        <w:rPr>
          <w:rFonts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pPr>
        <w:spacing w:line="620" w:lineRule="exact"/>
        <w:ind w:firstLine="643" w:firstLineChars="200"/>
        <w:rPr>
          <w:rFonts w:hint="default" w:ascii="仿宋_GB2312" w:eastAsia="仿宋_GB2312"/>
          <w:sz w:val="32"/>
        </w:rPr>
      </w:pPr>
      <w:r>
        <w:rPr>
          <w:rFonts w:ascii="仿宋_GB2312" w:eastAsia="仿宋_GB2312"/>
          <w:b/>
          <w:sz w:val="32"/>
        </w:rPr>
        <w:t>15.一般公共服务支出（类）政府办公厅(室)及相关机构事务（款）信访事务（项）：</w:t>
      </w:r>
      <w:r>
        <w:rPr>
          <w:rFonts w:ascii="仿宋_GB2312" w:eastAsia="仿宋_GB2312"/>
          <w:sz w:val="32"/>
        </w:rPr>
        <w:t>反映各级政府用于接待群众来信来访方面的支出。</w:t>
      </w:r>
    </w:p>
    <w:p>
      <w:pPr>
        <w:pStyle w:val="2"/>
        <w:spacing w:line="620" w:lineRule="exact"/>
        <w:ind w:firstLine="643" w:firstLineChars="200"/>
        <w:rPr>
          <w:szCs w:val="32"/>
        </w:rPr>
      </w:pPr>
      <w:r>
        <w:rPr>
          <w:rFonts w:hint="eastAsia"/>
          <w:b/>
          <w:szCs w:val="32"/>
        </w:rPr>
        <w:t>16.公共安全支出（类）法院（款）行政运行（项）</w:t>
      </w:r>
      <w:r>
        <w:rPr>
          <w:rFonts w:hint="eastAsia"/>
          <w:szCs w:val="32"/>
        </w:rPr>
        <w:t>：反映行政单位（包括实行公务员管理的事业单位）的基本支出。</w:t>
      </w:r>
    </w:p>
    <w:p>
      <w:pPr>
        <w:pStyle w:val="2"/>
        <w:spacing w:line="620" w:lineRule="exact"/>
        <w:ind w:firstLine="643" w:firstLineChars="200"/>
        <w:rPr>
          <w:szCs w:val="32"/>
        </w:rPr>
      </w:pPr>
      <w:r>
        <w:rPr>
          <w:rFonts w:hint="eastAsia"/>
          <w:b/>
          <w:szCs w:val="32"/>
        </w:rPr>
        <w:t>17.公共安全支出（类）法院（款）一般行政管理事务（项）：</w:t>
      </w:r>
      <w:r>
        <w:rPr>
          <w:rFonts w:hint="eastAsia"/>
          <w:szCs w:val="32"/>
        </w:rPr>
        <w:t>反映行政单位（包括实行公务员管理的事业单位）未单独设置项级科目的其他项目支出。</w:t>
      </w:r>
    </w:p>
    <w:p>
      <w:pPr>
        <w:pStyle w:val="2"/>
        <w:spacing w:line="620" w:lineRule="exact"/>
        <w:ind w:firstLine="643" w:firstLineChars="200"/>
        <w:rPr>
          <w:szCs w:val="32"/>
        </w:rPr>
      </w:pPr>
      <w:r>
        <w:rPr>
          <w:rFonts w:hint="eastAsia"/>
          <w:b/>
          <w:szCs w:val="32"/>
        </w:rPr>
        <w:t>18.公共安全支出（类）法院（款）案件执行（项）：</w:t>
      </w:r>
      <w:r>
        <w:rPr>
          <w:rFonts w:hint="eastAsia"/>
          <w:szCs w:val="32"/>
        </w:rPr>
        <w:t>反映人民法院对刑事、民事、行政、涉外等案件执行活动和对各种非诉执行活动的支出。</w:t>
      </w:r>
    </w:p>
    <w:p>
      <w:pPr>
        <w:pStyle w:val="2"/>
        <w:spacing w:line="620" w:lineRule="exact"/>
        <w:ind w:firstLine="643" w:firstLineChars="200"/>
        <w:rPr>
          <w:szCs w:val="32"/>
        </w:rPr>
      </w:pPr>
      <w:r>
        <w:rPr>
          <w:rFonts w:hint="eastAsia"/>
          <w:b/>
          <w:szCs w:val="32"/>
        </w:rPr>
        <w:t>19.公共安全支出（类）法院（款）其他法院支出（项）：</w:t>
      </w:r>
      <w:r>
        <w:rPr>
          <w:rFonts w:hint="eastAsia"/>
          <w:szCs w:val="32"/>
        </w:rPr>
        <w:t>反映上述项目以外其他用于法院方面的支出。</w:t>
      </w:r>
    </w:p>
    <w:p>
      <w:pPr>
        <w:pStyle w:val="2"/>
        <w:spacing w:line="620" w:lineRule="exact"/>
        <w:ind w:firstLine="643" w:firstLineChars="200"/>
        <w:rPr>
          <w:szCs w:val="32"/>
        </w:rPr>
      </w:pPr>
      <w:r>
        <w:rPr>
          <w:rFonts w:hint="eastAsia"/>
          <w:b/>
          <w:szCs w:val="32"/>
        </w:rPr>
        <w:t>20、教育支出（类）进修及培训（款）培训支出（项）：</w:t>
      </w:r>
      <w:r>
        <w:rPr>
          <w:rFonts w:hint="eastAsia"/>
          <w:szCs w:val="32"/>
        </w:rPr>
        <w:t>反映各部门安排的用于培训的支出。教育部门的师资培训、党校、行政学院等专业干部教育机构的支出，以及退役士兵、转业士官的培训支出，不在本科目反映。</w:t>
      </w:r>
    </w:p>
    <w:p>
      <w:pPr>
        <w:spacing w:line="620" w:lineRule="exact"/>
        <w:ind w:firstLine="643" w:firstLineChars="200"/>
        <w:rPr>
          <w:rFonts w:hint="default" w:ascii="仿宋_GB2312" w:eastAsia="仿宋_GB2312"/>
          <w:sz w:val="32"/>
        </w:rPr>
      </w:pPr>
      <w:r>
        <w:rPr>
          <w:rFonts w:ascii="仿宋_GB2312" w:eastAsia="仿宋_GB2312"/>
          <w:b/>
          <w:sz w:val="32"/>
        </w:rPr>
        <w:t>21.社会保障和就业支出（类）行政事业单位养老支出（款）行政单位离退休（项）：</w:t>
      </w:r>
      <w:r>
        <w:rPr>
          <w:rFonts w:ascii="仿宋_GB2312" w:eastAsia="仿宋_GB2312"/>
          <w:sz w:val="32"/>
        </w:rPr>
        <w:t>反映行政单位（包括实行公务员管理的事业单位）开支的离退休经费。</w:t>
      </w:r>
    </w:p>
    <w:p>
      <w:pPr>
        <w:spacing w:line="620" w:lineRule="exact"/>
        <w:ind w:firstLine="643" w:firstLineChars="200"/>
        <w:rPr>
          <w:rFonts w:hint="default" w:ascii="仿宋_GB2312" w:eastAsia="仿宋_GB2312"/>
          <w:sz w:val="32"/>
        </w:rPr>
      </w:pPr>
      <w:r>
        <w:rPr>
          <w:rFonts w:ascii="仿宋_GB2312" w:eastAsia="仿宋_GB2312"/>
          <w:b/>
          <w:sz w:val="32"/>
        </w:rPr>
        <w:t>22.社会保障和就业支出（类）行政事业单位养老支出（款）机关事业单位基本养老保险缴费支出（项）：</w:t>
      </w:r>
      <w:r>
        <w:rPr>
          <w:rFonts w:ascii="仿宋_GB2312" w:eastAsia="仿宋_GB2312"/>
          <w:sz w:val="32"/>
        </w:rPr>
        <w:t>反映机关事业单位实施养老保险制度由单位缴纳的基本养老保险费支出。</w:t>
      </w:r>
    </w:p>
    <w:p>
      <w:pPr>
        <w:spacing w:line="620" w:lineRule="exact"/>
        <w:ind w:firstLine="643" w:firstLineChars="200"/>
        <w:rPr>
          <w:rFonts w:hint="default" w:ascii="仿宋_GB2312" w:eastAsia="仿宋_GB2312"/>
          <w:sz w:val="32"/>
        </w:rPr>
      </w:pPr>
      <w:r>
        <w:rPr>
          <w:rFonts w:ascii="仿宋_GB2312" w:eastAsia="仿宋_GB2312"/>
          <w:b/>
          <w:sz w:val="32"/>
        </w:rPr>
        <w:t>23.社会保障和就业支出（类）行政事业单位养老支出（款）机关事业单位职业年金缴费支出（项）：</w:t>
      </w:r>
      <w:r>
        <w:rPr>
          <w:rFonts w:ascii="仿宋_GB2312" w:eastAsia="仿宋_GB2312"/>
          <w:sz w:val="32"/>
        </w:rPr>
        <w:t>反映机关事业单位实施养老保险制度由单位实际缴纳的职业年金支出。</w:t>
      </w:r>
    </w:p>
    <w:p>
      <w:pPr>
        <w:spacing w:line="620" w:lineRule="exact"/>
        <w:ind w:firstLine="643" w:firstLineChars="200"/>
        <w:rPr>
          <w:rFonts w:hint="default" w:ascii="仿宋_GB2312" w:eastAsia="仿宋_GB2312"/>
          <w:sz w:val="32"/>
        </w:rPr>
      </w:pPr>
      <w:r>
        <w:rPr>
          <w:rFonts w:ascii="仿宋_GB2312" w:eastAsia="仿宋_GB2312"/>
          <w:b/>
          <w:sz w:val="32"/>
        </w:rPr>
        <w:t>24.卫生健康支出（类）行政事业单位医疗（款）行政单位医疗（项）：</w:t>
      </w:r>
      <w:r>
        <w:rPr>
          <w:rFonts w:ascii="仿宋_GB2312" w:eastAsia="仿宋_GB2312"/>
          <w:sz w:val="32"/>
        </w:rPr>
        <w:t>反映财政部门安排的行政单位（包括实行公务员管理的事业单位）基本医疗保险缴费经费，未参加医疗保险的行政单位的公费医疗经费，按国家规定享受离休人员、红军老战士待遇人员的医疗经费。</w:t>
      </w:r>
    </w:p>
    <w:p>
      <w:pPr>
        <w:spacing w:line="620" w:lineRule="exact"/>
        <w:ind w:firstLine="643" w:firstLineChars="200"/>
        <w:rPr>
          <w:rFonts w:hint="default" w:ascii="仿宋_GB2312" w:eastAsia="仿宋_GB2312"/>
          <w:sz w:val="32"/>
        </w:rPr>
      </w:pPr>
      <w:r>
        <w:rPr>
          <w:rFonts w:ascii="仿宋_GB2312" w:eastAsia="仿宋_GB2312"/>
          <w:b/>
          <w:sz w:val="32"/>
        </w:rPr>
        <w:t>25.卫生健康支出（类）行政事业单位医疗（款）公务员医疗补助（项）：</w:t>
      </w:r>
      <w:r>
        <w:rPr>
          <w:rFonts w:ascii="仿宋_GB2312" w:eastAsia="仿宋_GB2312"/>
          <w:sz w:val="32"/>
        </w:rPr>
        <w:t>反映财政部门安排的公务员医疗补助经费。</w:t>
      </w:r>
    </w:p>
    <w:p>
      <w:pPr>
        <w:spacing w:line="620" w:lineRule="exact"/>
        <w:ind w:firstLine="643" w:firstLineChars="200"/>
        <w:rPr>
          <w:rFonts w:hint="default" w:ascii="仿宋_GB2312" w:eastAsia="仿宋_GB2312"/>
          <w:sz w:val="32"/>
        </w:rPr>
      </w:pPr>
      <w:r>
        <w:rPr>
          <w:rFonts w:ascii="仿宋_GB2312" w:eastAsia="仿宋_GB2312"/>
          <w:b/>
          <w:sz w:val="32"/>
        </w:rPr>
        <w:t>26.住房保障支出（类）住房改革支出（款）住房公积金（项）：</w:t>
      </w:r>
      <w:r>
        <w:rPr>
          <w:rFonts w:ascii="仿宋_GB2312" w:eastAsia="仿宋_GB2312"/>
          <w:sz w:val="32"/>
        </w:rPr>
        <w:t>反映行政事业单位按人力资源和社会保障部、财政部规定的基本工资和津贴补贴以及规定比例为职工缴纳的住房公积金。</w:t>
      </w:r>
    </w:p>
    <w:p>
      <w:pPr>
        <w:spacing w:line="620" w:lineRule="exact"/>
        <w:ind w:firstLine="643" w:firstLineChars="200"/>
        <w:rPr>
          <w:rFonts w:hint="default" w:ascii="仿宋_GB2312" w:eastAsia="仿宋_GB2312"/>
          <w:sz w:val="32"/>
        </w:rPr>
      </w:pPr>
      <w:r>
        <w:rPr>
          <w:rFonts w:ascii="仿宋_GB2312" w:eastAsia="仿宋_GB2312"/>
          <w:b/>
          <w:sz w:val="32"/>
        </w:rPr>
        <w:t>27.灾害防治及应急管理支出（类）应急管理事务（款）其他应急管理支出（项）：</w:t>
      </w:r>
      <w:r>
        <w:rPr>
          <w:rFonts w:ascii="仿宋_GB2312" w:eastAsia="仿宋_GB2312"/>
          <w:sz w:val="32"/>
        </w:rPr>
        <w:t>反映除上述项目外的其他应急管理方面的支出。</w:t>
      </w:r>
    </w:p>
    <w:p>
      <w:pPr>
        <w:spacing w:line="620" w:lineRule="exact"/>
        <w:ind w:firstLine="643" w:firstLineChars="200"/>
        <w:rPr>
          <w:rFonts w:hint="default" w:ascii="仿宋_GB2312" w:eastAsia="仿宋_GB2312"/>
          <w:sz w:val="32"/>
        </w:rPr>
      </w:pPr>
      <w:r>
        <w:rPr>
          <w:rFonts w:ascii="仿宋_GB2312" w:eastAsia="仿宋_GB2312"/>
          <w:b/>
          <w:sz w:val="32"/>
        </w:rPr>
        <w:t>28.机关运行经费：</w:t>
      </w:r>
      <w:r>
        <w:rPr>
          <w:rFonts w:ascii="仿宋_GB2312" w:eastAsia="仿宋_GB2312"/>
          <w:sz w:val="32"/>
        </w:rPr>
        <w:t>为保障行政单位（含参照公务员法管理的事业单位）运行用于购买货物和服务的各项资金，包括办公及印刷费、邮电费、差旅费、会议费、福利费、日常维护费、专用材料及一般设备购置费，办公用房水电费、办公用房取暖费、办公用房物业管理费、公务用车运行维护费以及其他费用。</w:t>
      </w:r>
    </w:p>
    <w:p>
      <w:pPr>
        <w:spacing w:line="620" w:lineRule="exact"/>
        <w:ind w:firstLine="640" w:firstLineChars="200"/>
        <w:rPr>
          <w:rFonts w:hint="default" w:ascii="仿宋_GB2312" w:eastAsia="仿宋_GB2312"/>
          <w:sz w:val="32"/>
        </w:rPr>
      </w:pPr>
    </w:p>
    <w:p>
      <w:pPr>
        <w:spacing w:line="620" w:lineRule="exact"/>
        <w:ind w:firstLine="640" w:firstLineChars="200"/>
        <w:rPr>
          <w:rFonts w:hint="default" w:ascii="仿宋_GB2312" w:eastAsia="仿宋_GB2312"/>
          <w:sz w:val="32"/>
        </w:rPr>
      </w:pPr>
    </w:p>
    <w:p>
      <w:pPr>
        <w:spacing w:line="620" w:lineRule="exact"/>
        <w:ind w:firstLine="640" w:firstLineChars="200"/>
        <w:rPr>
          <w:rFonts w:hint="default" w:ascii="仿宋_GB2312" w:eastAsia="仿宋_GB2312"/>
          <w:sz w:val="32"/>
        </w:rPr>
      </w:pPr>
    </w:p>
    <w:p>
      <w:pPr>
        <w:spacing w:line="620" w:lineRule="exact"/>
        <w:ind w:firstLine="640" w:firstLineChars="200"/>
        <w:rPr>
          <w:rFonts w:hint="default" w:ascii="仿宋_GB2312" w:eastAsia="仿宋_GB2312"/>
          <w:sz w:val="32"/>
        </w:rPr>
      </w:pPr>
    </w:p>
    <w:p>
      <w:pPr>
        <w:spacing w:line="620" w:lineRule="exact"/>
        <w:ind w:firstLine="640" w:firstLineChars="200"/>
        <w:rPr>
          <w:rFonts w:hint="default" w:ascii="仿宋_GB2312" w:eastAsia="仿宋_GB2312"/>
          <w:sz w:val="32"/>
        </w:rPr>
      </w:pPr>
    </w:p>
    <w:p>
      <w:pPr>
        <w:spacing w:line="620" w:lineRule="exact"/>
        <w:ind w:firstLine="640" w:firstLineChars="200"/>
        <w:rPr>
          <w:rFonts w:hint="default" w:ascii="仿宋_GB2312" w:eastAsia="仿宋_GB2312"/>
          <w:sz w:val="32"/>
        </w:rPr>
      </w:pPr>
    </w:p>
    <w:p>
      <w:pPr>
        <w:spacing w:line="620" w:lineRule="exact"/>
        <w:ind w:firstLine="640" w:firstLineChars="200"/>
        <w:rPr>
          <w:rFonts w:hint="default" w:ascii="仿宋_GB2312" w:eastAsia="仿宋_GB2312"/>
          <w:sz w:val="32"/>
        </w:rPr>
      </w:pPr>
    </w:p>
    <w:p>
      <w:pPr>
        <w:spacing w:line="620" w:lineRule="exact"/>
        <w:ind w:firstLine="640" w:firstLineChars="200"/>
        <w:rPr>
          <w:rFonts w:hint="default" w:ascii="仿宋_GB2312" w:eastAsia="仿宋_GB2312"/>
          <w:sz w:val="32"/>
        </w:rPr>
      </w:pPr>
    </w:p>
    <w:p>
      <w:pPr>
        <w:spacing w:line="620" w:lineRule="exact"/>
        <w:ind w:firstLine="640" w:firstLineChars="200"/>
        <w:rPr>
          <w:rFonts w:hint="default" w:ascii="仿宋_GB2312" w:eastAsia="仿宋_GB2312"/>
          <w:sz w:val="32"/>
        </w:rPr>
      </w:pPr>
    </w:p>
    <w:p>
      <w:pPr>
        <w:spacing w:line="620" w:lineRule="exact"/>
        <w:ind w:firstLine="1044" w:firstLineChars="200"/>
        <w:rPr>
          <w:rFonts w:hint="default" w:ascii="仿宋_GB2312" w:eastAsia="仿宋_GB2312"/>
          <w:sz w:val="32"/>
        </w:rPr>
      </w:pPr>
      <w:r>
        <w:rPr>
          <w:rFonts w:asciiTheme="minorEastAsia" w:hAnsiTheme="minorEastAsia" w:eastAsiaTheme="minorEastAsia"/>
          <w:b/>
          <w:sz w:val="52"/>
          <w:szCs w:val="52"/>
        </w:rPr>
        <w:t>第四部分沈阳市浑南区人民法院</w:t>
      </w:r>
      <w:r>
        <w:rPr>
          <w:rFonts w:ascii="宋体" w:hAnsi="宋体"/>
          <w:b/>
          <w:sz w:val="52"/>
          <w:szCs w:val="52"/>
        </w:rPr>
        <w:t>2020年度决算表</w:t>
      </w:r>
    </w:p>
    <w:sectPr>
      <w:headerReference r:id="rId3" w:type="default"/>
      <w:footerReference r:id="rId4" w:type="default"/>
      <w:pgSz w:w="11906" w:h="16838"/>
      <w:pgMar w:top="1440" w:right="1417" w:bottom="1440" w:left="1417" w:header="851" w:footer="992" w:gutter="0"/>
      <w:cols w:space="720" w:num="1"/>
      <w:docGrid w:type="lines" w:linePitch="32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Arial">
    <w:panose1 w:val="020B0604020202020204"/>
    <w:charset w:val="00"/>
    <w:family w:val="swiss"/>
    <w:pitch w:val="default"/>
    <w:sig w:usb0="E0002AFF" w:usb1="C0007843"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default"/>
      </w:rPr>
    </w:pPr>
    <w:r>
      <w:rPr>
        <w:rFonts w:hint="default"/>
      </w:rPr>
      <w:pict>
        <v:shape id="_x0000_s2049" o:spid="_x0000_s2049" o:spt="202" type="#_x0000_t202" style="position:absolute;left:0pt;margin-top:0pt;height:10.35pt;width:9.05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snapToGrid w:val="0"/>
                  <w:rPr>
                    <w:rFonts w:hint="default"/>
                    <w:sz w:val="18"/>
                  </w:rPr>
                </w:pPr>
                <w:r>
                  <w:rPr>
                    <w:sz w:val="18"/>
                  </w:rPr>
                  <w:fldChar w:fldCharType="begin"/>
                </w:r>
                <w:r>
                  <w:rPr>
                    <w:sz w:val="18"/>
                  </w:rPr>
                  <w:instrText xml:space="preserve"> PAGE  \* MERGEFORMAT </w:instrText>
                </w:r>
                <w:r>
                  <w:rPr>
                    <w:sz w:val="18"/>
                  </w:rPr>
                  <w:fldChar w:fldCharType="separate"/>
                </w:r>
                <w:r>
                  <w:rPr>
                    <w:rFonts w:hint="default"/>
                    <w:sz w:val="18"/>
                  </w:rPr>
                  <w:t>12</w:t>
                </w:r>
                <w:r>
                  <w:rPr>
                    <w:sz w:val="1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1212"/>
        <w:tab w:val="clear" w:pos="4153"/>
      </w:tabs>
      <w:rPr>
        <w:rFonts w:hint="default"/>
      </w:rP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3F07F"/>
    <w:multiLevelType w:val="multilevel"/>
    <w:tmpl w:val="0003F07F"/>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Roman"/>
      <w:lvlText w:val="%6."/>
      <w:lvlJc w:val="right"/>
      <w:pPr>
        <w:tabs>
          <w:tab w:val="left" w:pos="2520"/>
        </w:tabs>
        <w:ind w:left="2520" w:hanging="420"/>
      </w:pPr>
      <w:rPr>
        <w:rFonts w:hint="default"/>
      </w:rPr>
    </w:lvl>
    <w:lvl w:ilvl="6" w:tentative="0">
      <w:start w:val="1"/>
      <w:numFmt w:val="decimal"/>
      <w:lvlText w:val="%7."/>
      <w:lvlJc w:val="left"/>
      <w:pPr>
        <w:tabs>
          <w:tab w:val="left" w:pos="2940"/>
        </w:tabs>
        <w:ind w:left="2940" w:hanging="420"/>
      </w:pPr>
      <w:rPr>
        <w:rFonts w:hint="default"/>
      </w:rPr>
    </w:lvl>
    <w:lvl w:ilvl="7" w:tentative="0">
      <w:start w:val="1"/>
      <w:numFmt w:val="lowerLetter"/>
      <w:lvlText w:val="%8)"/>
      <w:lvlJc w:val="left"/>
      <w:pPr>
        <w:tabs>
          <w:tab w:val="left" w:pos="3360"/>
        </w:tabs>
        <w:ind w:left="3360" w:hanging="420"/>
      </w:pPr>
      <w:rPr>
        <w:rFonts w:hint="default"/>
      </w:rPr>
    </w:lvl>
    <w:lvl w:ilvl="8" w:tentative="0">
      <w:start w:val="1"/>
      <w:numFmt w:val="lowerRoman"/>
      <w:lvlText w:val="%9."/>
      <w:lvlJc w:val="right"/>
      <w:pPr>
        <w:tabs>
          <w:tab w:val="left" w:pos="3780"/>
        </w:tabs>
        <w:ind w:left="3780" w:hanging="4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62"/>
  <w:displayVerticalDrawingGridEvery w:val="2"/>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adjustLineHeightInTable/>
    <w:useFELayout/>
    <w:compatSetting w:name="compatibilityMode" w:uri="http://schemas.microsoft.com/office/word" w:val="12"/>
  </w:compat>
  <w:rsids>
    <w:rsidRoot w:val="00172A27"/>
    <w:rsid w:val="000004F6"/>
    <w:rsid w:val="0000221F"/>
    <w:rsid w:val="00005F81"/>
    <w:rsid w:val="00007B66"/>
    <w:rsid w:val="00022C9F"/>
    <w:rsid w:val="00027725"/>
    <w:rsid w:val="0003012D"/>
    <w:rsid w:val="000452E7"/>
    <w:rsid w:val="000507F9"/>
    <w:rsid w:val="00061888"/>
    <w:rsid w:val="00072774"/>
    <w:rsid w:val="00076053"/>
    <w:rsid w:val="000963E1"/>
    <w:rsid w:val="000A0B7A"/>
    <w:rsid w:val="000A628E"/>
    <w:rsid w:val="000A6538"/>
    <w:rsid w:val="000B1BAB"/>
    <w:rsid w:val="000B43E8"/>
    <w:rsid w:val="000B4DB6"/>
    <w:rsid w:val="000C0954"/>
    <w:rsid w:val="000E0DCF"/>
    <w:rsid w:val="000E7EB4"/>
    <w:rsid w:val="000F09E4"/>
    <w:rsid w:val="000F3D78"/>
    <w:rsid w:val="000F4A22"/>
    <w:rsid w:val="001100A2"/>
    <w:rsid w:val="00112BCA"/>
    <w:rsid w:val="001333EF"/>
    <w:rsid w:val="00172A27"/>
    <w:rsid w:val="00180B37"/>
    <w:rsid w:val="0018551B"/>
    <w:rsid w:val="00185DDC"/>
    <w:rsid w:val="001A1CBF"/>
    <w:rsid w:val="001B1D5F"/>
    <w:rsid w:val="001B4C35"/>
    <w:rsid w:val="001D2123"/>
    <w:rsid w:val="001D590A"/>
    <w:rsid w:val="001E7494"/>
    <w:rsid w:val="001E74A1"/>
    <w:rsid w:val="001F2D7C"/>
    <w:rsid w:val="00235228"/>
    <w:rsid w:val="00235A51"/>
    <w:rsid w:val="00236CF3"/>
    <w:rsid w:val="00272EDF"/>
    <w:rsid w:val="00280CB7"/>
    <w:rsid w:val="002A0D4D"/>
    <w:rsid w:val="002A2C92"/>
    <w:rsid w:val="002C037C"/>
    <w:rsid w:val="002C0C70"/>
    <w:rsid w:val="002C44D4"/>
    <w:rsid w:val="002D56A8"/>
    <w:rsid w:val="002E26C1"/>
    <w:rsid w:val="002E67D7"/>
    <w:rsid w:val="002F586F"/>
    <w:rsid w:val="002F67F7"/>
    <w:rsid w:val="003116AA"/>
    <w:rsid w:val="00320FFF"/>
    <w:rsid w:val="00346054"/>
    <w:rsid w:val="00351D6E"/>
    <w:rsid w:val="00384671"/>
    <w:rsid w:val="00390926"/>
    <w:rsid w:val="003A105D"/>
    <w:rsid w:val="003B423B"/>
    <w:rsid w:val="003C0D08"/>
    <w:rsid w:val="003C2A4D"/>
    <w:rsid w:val="003C4FCB"/>
    <w:rsid w:val="003D15C1"/>
    <w:rsid w:val="003F0245"/>
    <w:rsid w:val="00406D55"/>
    <w:rsid w:val="0040738F"/>
    <w:rsid w:val="004211E3"/>
    <w:rsid w:val="00437DEA"/>
    <w:rsid w:val="0044429A"/>
    <w:rsid w:val="0045001A"/>
    <w:rsid w:val="004544EB"/>
    <w:rsid w:val="0045707B"/>
    <w:rsid w:val="00471702"/>
    <w:rsid w:val="004827B1"/>
    <w:rsid w:val="00484749"/>
    <w:rsid w:val="00494906"/>
    <w:rsid w:val="00495248"/>
    <w:rsid w:val="00495630"/>
    <w:rsid w:val="00496233"/>
    <w:rsid w:val="004D1437"/>
    <w:rsid w:val="004D2501"/>
    <w:rsid w:val="004D6E72"/>
    <w:rsid w:val="004D7B1D"/>
    <w:rsid w:val="004E0F53"/>
    <w:rsid w:val="004E3793"/>
    <w:rsid w:val="004E7573"/>
    <w:rsid w:val="004F7681"/>
    <w:rsid w:val="005036DE"/>
    <w:rsid w:val="00506453"/>
    <w:rsid w:val="00536536"/>
    <w:rsid w:val="00537D58"/>
    <w:rsid w:val="00540CE9"/>
    <w:rsid w:val="00546ADA"/>
    <w:rsid w:val="00564F6A"/>
    <w:rsid w:val="00567BB2"/>
    <w:rsid w:val="0057500C"/>
    <w:rsid w:val="00585ACF"/>
    <w:rsid w:val="00593087"/>
    <w:rsid w:val="0059758F"/>
    <w:rsid w:val="005E3F11"/>
    <w:rsid w:val="005E7C85"/>
    <w:rsid w:val="005F352E"/>
    <w:rsid w:val="00604D66"/>
    <w:rsid w:val="00607B81"/>
    <w:rsid w:val="0061103F"/>
    <w:rsid w:val="00612C46"/>
    <w:rsid w:val="00613C57"/>
    <w:rsid w:val="00616462"/>
    <w:rsid w:val="00625D25"/>
    <w:rsid w:val="0063560D"/>
    <w:rsid w:val="0066354A"/>
    <w:rsid w:val="00665478"/>
    <w:rsid w:val="006742BE"/>
    <w:rsid w:val="00675356"/>
    <w:rsid w:val="00677927"/>
    <w:rsid w:val="0069341E"/>
    <w:rsid w:val="00694694"/>
    <w:rsid w:val="006B1314"/>
    <w:rsid w:val="006C0174"/>
    <w:rsid w:val="006C309D"/>
    <w:rsid w:val="006C73F8"/>
    <w:rsid w:val="006D144C"/>
    <w:rsid w:val="006D3C20"/>
    <w:rsid w:val="006D5F1A"/>
    <w:rsid w:val="006F0871"/>
    <w:rsid w:val="006F24AA"/>
    <w:rsid w:val="00711333"/>
    <w:rsid w:val="007248E7"/>
    <w:rsid w:val="00732A54"/>
    <w:rsid w:val="007426B6"/>
    <w:rsid w:val="0074552E"/>
    <w:rsid w:val="007472B0"/>
    <w:rsid w:val="0075322B"/>
    <w:rsid w:val="00777C65"/>
    <w:rsid w:val="0078152E"/>
    <w:rsid w:val="00781A52"/>
    <w:rsid w:val="00784262"/>
    <w:rsid w:val="00795B3B"/>
    <w:rsid w:val="00796FE1"/>
    <w:rsid w:val="007A3373"/>
    <w:rsid w:val="007A3A89"/>
    <w:rsid w:val="007B36FF"/>
    <w:rsid w:val="007B646E"/>
    <w:rsid w:val="007C4958"/>
    <w:rsid w:val="007D5DFC"/>
    <w:rsid w:val="007E0B4E"/>
    <w:rsid w:val="00806172"/>
    <w:rsid w:val="00821824"/>
    <w:rsid w:val="0083769E"/>
    <w:rsid w:val="00872A45"/>
    <w:rsid w:val="008761F4"/>
    <w:rsid w:val="008800EC"/>
    <w:rsid w:val="00886B69"/>
    <w:rsid w:val="008919BC"/>
    <w:rsid w:val="008A60CA"/>
    <w:rsid w:val="008C7144"/>
    <w:rsid w:val="008D6C16"/>
    <w:rsid w:val="008E009F"/>
    <w:rsid w:val="008E3198"/>
    <w:rsid w:val="008F1E32"/>
    <w:rsid w:val="00904B49"/>
    <w:rsid w:val="00914266"/>
    <w:rsid w:val="00927FB8"/>
    <w:rsid w:val="0093414A"/>
    <w:rsid w:val="009348D5"/>
    <w:rsid w:val="00937AA5"/>
    <w:rsid w:val="00941BC8"/>
    <w:rsid w:val="00945409"/>
    <w:rsid w:val="00982E0B"/>
    <w:rsid w:val="00997609"/>
    <w:rsid w:val="009A5C24"/>
    <w:rsid w:val="009B70D1"/>
    <w:rsid w:val="009C7756"/>
    <w:rsid w:val="009D6BF8"/>
    <w:rsid w:val="009E410B"/>
    <w:rsid w:val="009E5048"/>
    <w:rsid w:val="009F5208"/>
    <w:rsid w:val="00A0395B"/>
    <w:rsid w:val="00A0742F"/>
    <w:rsid w:val="00A414B6"/>
    <w:rsid w:val="00A5772B"/>
    <w:rsid w:val="00A67824"/>
    <w:rsid w:val="00A84365"/>
    <w:rsid w:val="00A870E0"/>
    <w:rsid w:val="00A87BB0"/>
    <w:rsid w:val="00AA472B"/>
    <w:rsid w:val="00AA525B"/>
    <w:rsid w:val="00AC49FD"/>
    <w:rsid w:val="00AD128A"/>
    <w:rsid w:val="00AD715E"/>
    <w:rsid w:val="00AE3842"/>
    <w:rsid w:val="00AF5C0E"/>
    <w:rsid w:val="00AF695D"/>
    <w:rsid w:val="00B167D5"/>
    <w:rsid w:val="00B17FC0"/>
    <w:rsid w:val="00B33085"/>
    <w:rsid w:val="00B352A6"/>
    <w:rsid w:val="00B360B9"/>
    <w:rsid w:val="00B4687B"/>
    <w:rsid w:val="00B61B99"/>
    <w:rsid w:val="00B74739"/>
    <w:rsid w:val="00B83D34"/>
    <w:rsid w:val="00BB4904"/>
    <w:rsid w:val="00BC1127"/>
    <w:rsid w:val="00BC34EC"/>
    <w:rsid w:val="00BC5849"/>
    <w:rsid w:val="00C0392A"/>
    <w:rsid w:val="00C109C2"/>
    <w:rsid w:val="00C11CD2"/>
    <w:rsid w:val="00C14B26"/>
    <w:rsid w:val="00C31C99"/>
    <w:rsid w:val="00C3465D"/>
    <w:rsid w:val="00C356DD"/>
    <w:rsid w:val="00C53728"/>
    <w:rsid w:val="00C72A79"/>
    <w:rsid w:val="00C7421C"/>
    <w:rsid w:val="00C84D24"/>
    <w:rsid w:val="00C87907"/>
    <w:rsid w:val="00CE7553"/>
    <w:rsid w:val="00D0087B"/>
    <w:rsid w:val="00D17B20"/>
    <w:rsid w:val="00D212A9"/>
    <w:rsid w:val="00D26501"/>
    <w:rsid w:val="00D30696"/>
    <w:rsid w:val="00D420F8"/>
    <w:rsid w:val="00D50771"/>
    <w:rsid w:val="00D55D62"/>
    <w:rsid w:val="00D67634"/>
    <w:rsid w:val="00D82BA7"/>
    <w:rsid w:val="00D9638E"/>
    <w:rsid w:val="00DA297C"/>
    <w:rsid w:val="00DA60DC"/>
    <w:rsid w:val="00DB0C42"/>
    <w:rsid w:val="00DB35A6"/>
    <w:rsid w:val="00DD3785"/>
    <w:rsid w:val="00DF572F"/>
    <w:rsid w:val="00E07166"/>
    <w:rsid w:val="00E250E9"/>
    <w:rsid w:val="00E27F0E"/>
    <w:rsid w:val="00E33947"/>
    <w:rsid w:val="00E633CE"/>
    <w:rsid w:val="00E77A08"/>
    <w:rsid w:val="00EB15FF"/>
    <w:rsid w:val="00EB53AD"/>
    <w:rsid w:val="00ED18F2"/>
    <w:rsid w:val="00EF006D"/>
    <w:rsid w:val="00EF2BA7"/>
    <w:rsid w:val="00F00CFA"/>
    <w:rsid w:val="00F0316A"/>
    <w:rsid w:val="00F0343A"/>
    <w:rsid w:val="00F116A0"/>
    <w:rsid w:val="00F13F72"/>
    <w:rsid w:val="00F22C28"/>
    <w:rsid w:val="00F260DC"/>
    <w:rsid w:val="00F42326"/>
    <w:rsid w:val="00F4506D"/>
    <w:rsid w:val="00F53D5C"/>
    <w:rsid w:val="00F60674"/>
    <w:rsid w:val="00F60F0F"/>
    <w:rsid w:val="00F647CF"/>
    <w:rsid w:val="00F64CA3"/>
    <w:rsid w:val="00F72750"/>
    <w:rsid w:val="00F76660"/>
    <w:rsid w:val="00F81B9D"/>
    <w:rsid w:val="00F87016"/>
    <w:rsid w:val="00F904AC"/>
    <w:rsid w:val="00F92339"/>
    <w:rsid w:val="00F92E28"/>
    <w:rsid w:val="00FA355C"/>
    <w:rsid w:val="00FB559F"/>
    <w:rsid w:val="00FB584D"/>
    <w:rsid w:val="00FB6141"/>
    <w:rsid w:val="00FC2AC2"/>
    <w:rsid w:val="00FD1DA6"/>
    <w:rsid w:val="00FD361A"/>
    <w:rsid w:val="00FD49EE"/>
    <w:rsid w:val="00FE12DF"/>
    <w:rsid w:val="00FE20A8"/>
    <w:rsid w:val="00FF7D5E"/>
    <w:rsid w:val="01D61292"/>
    <w:rsid w:val="028B7ABC"/>
    <w:rsid w:val="042A3CE5"/>
    <w:rsid w:val="05A526B2"/>
    <w:rsid w:val="06832BC0"/>
    <w:rsid w:val="077B1AD3"/>
    <w:rsid w:val="08E9332E"/>
    <w:rsid w:val="09CB009E"/>
    <w:rsid w:val="0AF21185"/>
    <w:rsid w:val="0E611DA6"/>
    <w:rsid w:val="0EAF40A4"/>
    <w:rsid w:val="0EF13C13"/>
    <w:rsid w:val="128D65FD"/>
    <w:rsid w:val="13C80904"/>
    <w:rsid w:val="19A91329"/>
    <w:rsid w:val="1CD55FDE"/>
    <w:rsid w:val="1CD96BE2"/>
    <w:rsid w:val="1E260E02"/>
    <w:rsid w:val="20695B39"/>
    <w:rsid w:val="216F2E69"/>
    <w:rsid w:val="21B34857"/>
    <w:rsid w:val="225F01F3"/>
    <w:rsid w:val="234704F0"/>
    <w:rsid w:val="23F30609"/>
    <w:rsid w:val="249D521F"/>
    <w:rsid w:val="250D45D9"/>
    <w:rsid w:val="26DC5ACE"/>
    <w:rsid w:val="27BA54BC"/>
    <w:rsid w:val="2A8668D4"/>
    <w:rsid w:val="2C676DE9"/>
    <w:rsid w:val="2DBA0995"/>
    <w:rsid w:val="2EA2760D"/>
    <w:rsid w:val="306814F8"/>
    <w:rsid w:val="3157337F"/>
    <w:rsid w:val="32C722DC"/>
    <w:rsid w:val="339461AC"/>
    <w:rsid w:val="37C4140A"/>
    <w:rsid w:val="3C131D5E"/>
    <w:rsid w:val="3CF93F15"/>
    <w:rsid w:val="3D9F37A9"/>
    <w:rsid w:val="3E222A01"/>
    <w:rsid w:val="3E8A6C2A"/>
    <w:rsid w:val="3EE86FC3"/>
    <w:rsid w:val="41D00C05"/>
    <w:rsid w:val="447659E0"/>
    <w:rsid w:val="44DD0888"/>
    <w:rsid w:val="46550474"/>
    <w:rsid w:val="47E51E85"/>
    <w:rsid w:val="484E6031"/>
    <w:rsid w:val="4B603035"/>
    <w:rsid w:val="4DAE305F"/>
    <w:rsid w:val="50C2318C"/>
    <w:rsid w:val="51CC0920"/>
    <w:rsid w:val="552F4050"/>
    <w:rsid w:val="553B58E4"/>
    <w:rsid w:val="59373B6B"/>
    <w:rsid w:val="5AD1170E"/>
    <w:rsid w:val="5C56150A"/>
    <w:rsid w:val="65732701"/>
    <w:rsid w:val="690A31E2"/>
    <w:rsid w:val="69AB2D6B"/>
    <w:rsid w:val="6A670F20"/>
    <w:rsid w:val="6B524693"/>
    <w:rsid w:val="6B8922FC"/>
    <w:rsid w:val="6B8D0D02"/>
    <w:rsid w:val="6BF36128"/>
    <w:rsid w:val="6EDD48F2"/>
    <w:rsid w:val="70045FA1"/>
    <w:rsid w:val="7058635C"/>
    <w:rsid w:val="74753C1E"/>
    <w:rsid w:val="7B9E7E5E"/>
    <w:rsid w:val="7C57180B"/>
    <w:rsid w:val="7D98349C"/>
    <w:rsid w:val="7E676FEC"/>
    <w:rsid w:val="7FBA7C9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imes New Roman"/>
      <w:kern w:val="2"/>
      <w:sz w:val="21"/>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4"/>
    <w:unhideWhenUsed/>
    <w:uiPriority w:val="0"/>
    <w:pPr>
      <w:spacing w:line="540" w:lineRule="exact"/>
      <w:ind w:firstLine="525"/>
    </w:pPr>
    <w:rPr>
      <w:rFonts w:hint="default" w:ascii="仿宋_GB2312" w:eastAsia="仿宋_GB2312"/>
      <w:sz w:val="32"/>
      <w:szCs w:val="24"/>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unhideWhenUsed/>
    <w:uiPriority w:val="0"/>
    <w:pPr>
      <w:widowControl/>
      <w:spacing w:before="100" w:beforeAutospacing="1" w:after="100" w:afterAutospacing="1"/>
      <w:jc w:val="left"/>
    </w:pPr>
    <w:rPr>
      <w:rFonts w:hint="default" w:ascii="宋体" w:hAnsi="宋体" w:cs="宋体"/>
      <w:kern w:val="0"/>
      <w:sz w:val="32"/>
      <w:szCs w:val="24"/>
    </w:rPr>
  </w:style>
  <w:style w:type="character" w:styleId="8">
    <w:name w:val="page number"/>
    <w:basedOn w:val="7"/>
    <w:unhideWhenUsed/>
    <w:qFormat/>
    <w:uiPriority w:val="99"/>
    <w:rPr>
      <w:rFonts w:hint="default"/>
      <w:sz w:val="24"/>
    </w:rPr>
  </w:style>
  <w:style w:type="character" w:customStyle="1" w:styleId="9">
    <w:name w:val="font11"/>
    <w:basedOn w:val="7"/>
    <w:qFormat/>
    <w:uiPriority w:val="0"/>
    <w:rPr>
      <w:rFonts w:hint="eastAsia" w:ascii="宋体" w:hAnsi="宋体" w:eastAsia="宋体" w:cs="宋体"/>
      <w:color w:val="000000"/>
      <w:sz w:val="21"/>
      <w:szCs w:val="21"/>
      <w:u w:val="none"/>
    </w:rPr>
  </w:style>
  <w:style w:type="character" w:customStyle="1" w:styleId="10">
    <w:name w:val="font21"/>
    <w:basedOn w:val="7"/>
    <w:qFormat/>
    <w:uiPriority w:val="0"/>
    <w:rPr>
      <w:rFonts w:hint="eastAsia" w:ascii="宋体" w:hAnsi="宋体" w:eastAsia="宋体" w:cs="宋体"/>
      <w:color w:val="000000"/>
      <w:sz w:val="21"/>
      <w:szCs w:val="21"/>
      <w:u w:val="none"/>
    </w:rPr>
  </w:style>
  <w:style w:type="character" w:customStyle="1" w:styleId="11">
    <w:name w:val="font01"/>
    <w:basedOn w:val="7"/>
    <w:uiPriority w:val="0"/>
    <w:rPr>
      <w:rFonts w:hint="default" w:ascii="Times New Roman" w:hAnsi="Times New Roman" w:cs="Times New Roman"/>
      <w:color w:val="000000"/>
      <w:sz w:val="21"/>
      <w:szCs w:val="21"/>
      <w:u w:val="none"/>
    </w:rPr>
  </w:style>
  <w:style w:type="paragraph" w:customStyle="1" w:styleId="12">
    <w:name w:val="_Style 2"/>
    <w:basedOn w:val="1"/>
    <w:unhideWhenUsed/>
    <w:uiPriority w:val="99"/>
    <w:pPr>
      <w:widowControl/>
      <w:jc w:val="left"/>
    </w:pPr>
  </w:style>
  <w:style w:type="paragraph" w:customStyle="1" w:styleId="13">
    <w:name w:val="p0"/>
    <w:basedOn w:val="1"/>
    <w:uiPriority w:val="0"/>
    <w:pPr>
      <w:widowControl/>
    </w:pPr>
    <w:rPr>
      <w:rFonts w:hint="default" w:ascii="宋体" w:hAnsi="宋体" w:cs="宋体"/>
      <w:kern w:val="0"/>
      <w:szCs w:val="21"/>
    </w:rPr>
  </w:style>
  <w:style w:type="character" w:customStyle="1" w:styleId="14">
    <w:name w:val="正文文本缩进 Char"/>
    <w:basedOn w:val="7"/>
    <w:link w:val="2"/>
    <w:qFormat/>
    <w:uiPriority w:val="0"/>
    <w:rPr>
      <w:rFonts w:ascii="仿宋_GB2312" w:eastAsia="仿宋_GB2312"/>
      <w:kern w:val="2"/>
      <w:sz w:val="32"/>
      <w:szCs w:val="24"/>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4AED1B9-7631-493E-B342-AD0A0E8300D6}">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15</Pages>
  <Words>1036</Words>
  <Characters>5906</Characters>
  <Lines>49</Lines>
  <Paragraphs>13</Paragraphs>
  <TotalTime>61</TotalTime>
  <ScaleCrop>false</ScaleCrop>
  <LinksUpToDate>false</LinksUpToDate>
  <CharactersWithSpaces>6929</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2021-09-08T02:29:00Z</dcterms:created>
  <dc:creator>lenovo</dc:creator>
  <cp:lastModifiedBy>初初</cp:lastModifiedBy>
  <cp:lastPrinted>2017-11-06T05:48:00Z</cp:lastPrinted>
  <dcterms:modified xsi:type="dcterms:W3CDTF">2022-03-03T07:35:42Z</dcterms:modified>
  <dc:title>沈阳市财政局部门决算</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00EE2E70C7F04DD0A1F52289CC0AB104</vt:lpwstr>
  </property>
</Properties>
</file>