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framePr w:wrap="auto" w:vAnchor="margin" w:hAnchor="text" w:yAlign="inline"/>
        <w:spacing w:line="540" w:lineRule="exact"/>
        <w:rPr>
          <w:rFonts w:ascii="黑体" w:hAnsi="黑体" w:eastAsia="黑体" w:cs="黑体"/>
          <w:sz w:val="28"/>
          <w:szCs w:val="28"/>
        </w:rPr>
      </w:pPr>
      <w:r>
        <w:rPr>
          <w:rFonts w:ascii="黑体" w:hAnsi="黑体" w:eastAsia="黑体" w:cs="黑体"/>
          <w:sz w:val="28"/>
          <w:szCs w:val="28"/>
          <w:rtl w:val="0"/>
          <w:lang w:val="zh-TW" w:eastAsia="zh-TW"/>
        </w:rPr>
        <w:t>附件</w:t>
      </w:r>
      <w:r>
        <w:rPr>
          <w:rFonts w:ascii="黑体" w:hAnsi="黑体" w:eastAsia="黑体" w:cs="黑体"/>
          <w:sz w:val="28"/>
          <w:szCs w:val="28"/>
          <w:rtl w:val="0"/>
          <w:lang w:val="en-US"/>
        </w:rPr>
        <w:t>2</w:t>
      </w: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rFonts w:ascii="宋体" w:hAnsi="宋体" w:eastAsia="宋体" w:cs="宋体"/>
          <w:b/>
          <w:bCs/>
          <w:sz w:val="52"/>
          <w:szCs w:val="52"/>
        </w:rPr>
      </w:pPr>
      <w:r>
        <w:rPr>
          <w:rFonts w:ascii="宋体" w:hAnsi="宋体" w:eastAsia="宋体" w:cs="宋体"/>
          <w:b/>
          <w:bCs/>
          <w:sz w:val="52"/>
          <w:szCs w:val="52"/>
          <w:rtl w:val="0"/>
          <w:lang w:val="zh-TW" w:eastAsia="zh-TW"/>
        </w:rPr>
        <w:t>沈阳市浑南区气象局</w:t>
      </w:r>
      <w:r>
        <w:rPr>
          <w:rFonts w:ascii="宋体" w:hAnsi="宋体" w:eastAsia="宋体" w:cs="宋体"/>
          <w:b/>
          <w:bCs/>
          <w:sz w:val="52"/>
          <w:szCs w:val="52"/>
          <w:rtl w:val="0"/>
          <w:lang w:val="en-US"/>
        </w:rPr>
        <w:t>2020</w:t>
      </w:r>
      <w:r>
        <w:rPr>
          <w:rFonts w:ascii="宋体" w:hAnsi="宋体" w:eastAsia="宋体" w:cs="宋体"/>
          <w:b/>
          <w:bCs/>
          <w:sz w:val="52"/>
          <w:szCs w:val="52"/>
          <w:rtl w:val="0"/>
          <w:lang w:val="zh-TW" w:eastAsia="zh-TW"/>
        </w:rPr>
        <w:t>年度</w:t>
      </w:r>
    </w:p>
    <w:p>
      <w:pPr>
        <w:pStyle w:val="8"/>
        <w:framePr w:wrap="auto" w:vAnchor="margin" w:hAnchor="text" w:yAlign="inline"/>
        <w:spacing w:line="540" w:lineRule="exact"/>
        <w:jc w:val="center"/>
        <w:rPr>
          <w:b/>
          <w:bCs/>
          <w:sz w:val="44"/>
          <w:szCs w:val="44"/>
          <w:u w:val="single"/>
          <w:lang w:val="zh-TW" w:eastAsia="zh-TW"/>
        </w:rPr>
      </w:pPr>
      <w:r>
        <w:rPr>
          <w:rFonts w:ascii="宋体" w:hAnsi="宋体" w:eastAsia="宋体" w:cs="宋体"/>
          <w:b/>
          <w:bCs/>
          <w:sz w:val="52"/>
          <w:szCs w:val="52"/>
          <w:rtl w:val="0"/>
          <w:lang w:val="zh-TW" w:eastAsia="zh-TW"/>
        </w:rPr>
        <w:t>决算说明</w:t>
      </w: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rPr>
      </w:pPr>
    </w:p>
    <w:p>
      <w:pPr>
        <w:pStyle w:val="8"/>
        <w:framePr w:wrap="auto" w:vAnchor="margin" w:hAnchor="text" w:yAlign="inline"/>
        <w:spacing w:line="540" w:lineRule="exact"/>
        <w:jc w:val="center"/>
        <w:rPr>
          <w:b/>
          <w:bCs/>
          <w:sz w:val="44"/>
          <w:szCs w:val="44"/>
        </w:rPr>
      </w:pPr>
    </w:p>
    <w:p>
      <w:pPr>
        <w:pStyle w:val="8"/>
        <w:framePr w:wrap="auto" w:vAnchor="margin" w:hAnchor="text" w:yAlign="inline"/>
        <w:spacing w:line="540" w:lineRule="exact"/>
        <w:jc w:val="center"/>
        <w:rPr>
          <w:b/>
          <w:bCs/>
          <w:sz w:val="44"/>
          <w:szCs w:val="44"/>
        </w:rPr>
      </w:pPr>
    </w:p>
    <w:p>
      <w:pPr>
        <w:pStyle w:val="8"/>
        <w:framePr w:wrap="auto" w:vAnchor="margin" w:hAnchor="text" w:yAlign="inline"/>
        <w:spacing w:line="540" w:lineRule="exact"/>
        <w:jc w:val="center"/>
        <w:rPr>
          <w:b/>
          <w:bCs/>
          <w:sz w:val="44"/>
          <w:szCs w:val="44"/>
        </w:rPr>
      </w:pPr>
    </w:p>
    <w:p>
      <w:pPr>
        <w:pStyle w:val="8"/>
        <w:framePr w:wrap="auto" w:vAnchor="margin" w:hAnchor="text" w:yAlign="inline"/>
        <w:spacing w:line="540" w:lineRule="exact"/>
        <w:jc w:val="center"/>
        <w:rPr>
          <w:b/>
          <w:bCs/>
          <w:sz w:val="44"/>
          <w:szCs w:val="44"/>
          <w:lang w:val="zh-TW" w:eastAsia="zh-TW"/>
        </w:rPr>
      </w:pPr>
      <w:r>
        <w:rPr>
          <w:rFonts w:ascii="宋体" w:hAnsi="宋体" w:eastAsia="宋体" w:cs="宋体"/>
          <w:b/>
          <w:bCs/>
          <w:sz w:val="44"/>
          <w:szCs w:val="44"/>
          <w:rtl w:val="0"/>
          <w:lang w:val="zh-TW" w:eastAsia="zh-TW"/>
        </w:rPr>
        <w:t>目    录</w:t>
      </w:r>
    </w:p>
    <w:p>
      <w:pPr>
        <w:pStyle w:val="8"/>
        <w:framePr w:wrap="auto" w:vAnchor="margin" w:hAnchor="text" w:yAlign="inline"/>
        <w:spacing w:line="540" w:lineRule="exact"/>
        <w:rPr>
          <w:b/>
          <w:bCs/>
          <w:sz w:val="44"/>
          <w:szCs w:val="44"/>
          <w:u w:val="single"/>
        </w:rPr>
      </w:pPr>
    </w:p>
    <w:p>
      <w:pPr>
        <w:pStyle w:val="8"/>
        <w:framePr w:wrap="auto" w:vAnchor="margin" w:hAnchor="text" w:yAlign="inline"/>
        <w:spacing w:line="540" w:lineRule="exact"/>
        <w:rPr>
          <w:b/>
          <w:bCs/>
          <w:sz w:val="44"/>
          <w:szCs w:val="44"/>
          <w:u w:val="single"/>
        </w:rPr>
      </w:pPr>
    </w:p>
    <w:p>
      <w:pPr>
        <w:pStyle w:val="8"/>
        <w:framePr w:wrap="auto" w:vAnchor="margin" w:hAnchor="text" w:yAlign="inline"/>
        <w:spacing w:line="540" w:lineRule="exact"/>
        <w:outlineLvl w:val="0"/>
        <w:rPr>
          <w:rFonts w:ascii="黑体" w:hAnsi="黑体" w:eastAsia="黑体" w:cs="黑体"/>
          <w:sz w:val="32"/>
          <w:szCs w:val="32"/>
          <w:lang w:val="zh-TW" w:eastAsia="zh-TW"/>
        </w:rPr>
      </w:pPr>
      <w:r>
        <w:rPr>
          <w:rFonts w:ascii="黑体" w:hAnsi="黑体" w:eastAsia="黑体" w:cs="黑体"/>
          <w:sz w:val="32"/>
          <w:szCs w:val="32"/>
          <w:rtl w:val="0"/>
          <w:lang w:val="zh-TW" w:eastAsia="zh-TW"/>
        </w:rPr>
        <w:t>第一部分  沈阳市浑南区气象局概况</w:t>
      </w:r>
    </w:p>
    <w:p>
      <w:pPr>
        <w:pStyle w:val="8"/>
        <w:framePr w:wrap="auto" w:vAnchor="margin" w:hAnchor="text" w:yAlign="inline"/>
        <w:numPr>
          <w:ilvl w:val="0"/>
          <w:numId w:val="1"/>
        </w:numPr>
        <w:bidi w:val="0"/>
        <w:spacing w:line="540" w:lineRule="exact"/>
        <w:ind w:right="0"/>
        <w:jc w:val="both"/>
        <w:rPr>
          <w:rFonts w:ascii="仿宋_GB2312" w:hAnsi="仿宋_GB2312" w:eastAsia="仿宋_GB2312" w:cs="仿宋_GB2312"/>
          <w:sz w:val="32"/>
          <w:szCs w:val="32"/>
          <w:rtl w:val="0"/>
          <w:lang w:val="zh-TW" w:eastAsia="zh-TW"/>
        </w:rPr>
      </w:pPr>
      <w:r>
        <w:rPr>
          <w:rFonts w:ascii="仿宋_GB2312" w:hAnsi="仿宋_GB2312" w:eastAsia="仿宋_GB2312" w:cs="仿宋_GB2312"/>
          <w:sz w:val="32"/>
          <w:szCs w:val="32"/>
          <w:rtl w:val="0"/>
          <w:lang w:val="zh-TW" w:eastAsia="zh-TW"/>
        </w:rPr>
        <w:t>主要职责</w:t>
      </w:r>
    </w:p>
    <w:p>
      <w:pPr>
        <w:pStyle w:val="8"/>
        <w:framePr w:wrap="auto" w:vAnchor="margin" w:hAnchor="text" w:yAlign="inline"/>
        <w:numPr>
          <w:ilvl w:val="0"/>
          <w:numId w:val="1"/>
        </w:numPr>
        <w:bidi w:val="0"/>
        <w:spacing w:line="540" w:lineRule="exact"/>
        <w:ind w:right="0"/>
        <w:jc w:val="both"/>
        <w:rPr>
          <w:rFonts w:ascii="仿宋_GB2312" w:hAnsi="仿宋_GB2312" w:eastAsia="仿宋_GB2312" w:cs="仿宋_GB2312"/>
          <w:sz w:val="32"/>
          <w:szCs w:val="32"/>
          <w:rtl w:val="0"/>
          <w:lang w:val="zh-TW" w:eastAsia="zh-TW"/>
        </w:rPr>
      </w:pPr>
      <w:r>
        <w:rPr>
          <w:rFonts w:ascii="仿宋_GB2312" w:hAnsi="仿宋_GB2312" w:eastAsia="仿宋_GB2312" w:cs="仿宋_GB2312"/>
          <w:sz w:val="32"/>
          <w:szCs w:val="32"/>
          <w:rtl w:val="0"/>
          <w:lang w:val="zh-TW" w:eastAsia="zh-TW"/>
        </w:rPr>
        <w:t>决算单位构成</w:t>
      </w:r>
    </w:p>
    <w:p>
      <w:pPr>
        <w:pStyle w:val="8"/>
        <w:framePr w:wrap="auto" w:vAnchor="margin" w:hAnchor="text" w:yAlign="inline"/>
        <w:spacing w:line="540" w:lineRule="exact"/>
        <w:outlineLvl w:val="0"/>
        <w:rPr>
          <w:rFonts w:ascii="黑体" w:hAnsi="黑体" w:eastAsia="黑体" w:cs="黑体"/>
          <w:sz w:val="32"/>
          <w:szCs w:val="32"/>
        </w:rPr>
      </w:pPr>
      <w:r>
        <w:rPr>
          <w:rFonts w:ascii="黑体" w:hAnsi="黑体" w:eastAsia="黑体" w:cs="黑体"/>
          <w:sz w:val="32"/>
          <w:szCs w:val="32"/>
          <w:rtl w:val="0"/>
          <w:lang w:val="zh-TW" w:eastAsia="zh-TW"/>
        </w:rPr>
        <w:t>第二部分  沈阳市浑南区气象局</w:t>
      </w:r>
      <w:r>
        <w:rPr>
          <w:rFonts w:ascii="黑体" w:hAnsi="黑体" w:eastAsia="黑体" w:cs="黑体"/>
          <w:sz w:val="32"/>
          <w:szCs w:val="32"/>
          <w:rtl w:val="0"/>
          <w:lang w:val="en-US"/>
        </w:rPr>
        <w:t>2020</w:t>
      </w:r>
      <w:r>
        <w:rPr>
          <w:rFonts w:ascii="黑体" w:hAnsi="黑体" w:eastAsia="黑体" w:cs="黑体"/>
          <w:sz w:val="32"/>
          <w:szCs w:val="32"/>
          <w:rtl w:val="0"/>
          <w:lang w:val="zh-TW" w:eastAsia="zh-TW"/>
        </w:rPr>
        <w:t>年度决算情况说明</w:t>
      </w:r>
    </w:p>
    <w:p>
      <w:pPr>
        <w:pStyle w:val="8"/>
        <w:framePr w:wrap="auto" w:vAnchor="margin" w:hAnchor="text" w:yAlign="inline"/>
        <w:spacing w:line="540" w:lineRule="exact"/>
        <w:outlineLvl w:val="0"/>
        <w:rPr>
          <w:rFonts w:ascii="黑体" w:hAnsi="黑体" w:eastAsia="黑体" w:cs="黑体"/>
          <w:sz w:val="32"/>
          <w:szCs w:val="32"/>
        </w:rPr>
      </w:pPr>
      <w:r>
        <w:rPr>
          <w:rFonts w:ascii="黑体" w:hAnsi="黑体" w:eastAsia="黑体" w:cs="黑体"/>
          <w:sz w:val="32"/>
          <w:szCs w:val="32"/>
          <w:rtl w:val="0"/>
          <w:lang w:val="zh-TW" w:eastAsia="zh-TW"/>
        </w:rPr>
        <w:t xml:space="preserve">第三部分 </w:t>
      </w:r>
      <w:r>
        <w:rPr>
          <w:rFonts w:ascii="黑体" w:hAnsi="黑体" w:eastAsia="黑体" w:cs="黑体"/>
          <w:sz w:val="32"/>
          <w:szCs w:val="32"/>
          <w:rtl w:val="0"/>
          <w:lang w:val="en-US"/>
        </w:rPr>
        <w:t xml:space="preserve"> </w:t>
      </w:r>
      <w:r>
        <w:rPr>
          <w:rFonts w:ascii="黑体" w:hAnsi="黑体" w:eastAsia="黑体" w:cs="黑体"/>
          <w:sz w:val="32"/>
          <w:szCs w:val="32"/>
          <w:rtl w:val="0"/>
          <w:lang w:val="zh-TW" w:eastAsia="zh-TW"/>
        </w:rPr>
        <w:t>名词解释</w:t>
      </w:r>
    </w:p>
    <w:p>
      <w:pPr>
        <w:pStyle w:val="8"/>
        <w:framePr w:wrap="auto" w:vAnchor="margin" w:hAnchor="text" w:yAlign="inline"/>
        <w:spacing w:line="540" w:lineRule="exact"/>
        <w:outlineLvl w:val="0"/>
        <w:rPr>
          <w:rFonts w:ascii="黑体" w:hAnsi="黑体" w:eastAsia="黑体" w:cs="黑体"/>
          <w:sz w:val="32"/>
          <w:szCs w:val="32"/>
        </w:rPr>
      </w:pPr>
      <w:r>
        <w:rPr>
          <w:rFonts w:ascii="黑体" w:hAnsi="黑体" w:eastAsia="黑体" w:cs="黑体"/>
          <w:sz w:val="32"/>
          <w:szCs w:val="32"/>
          <w:rtl w:val="0"/>
          <w:lang w:val="zh-TW" w:eastAsia="zh-TW"/>
        </w:rPr>
        <w:t>第四部分  沈阳市浑南区气象局</w:t>
      </w:r>
      <w:r>
        <w:rPr>
          <w:rFonts w:ascii="黑体" w:hAnsi="黑体" w:eastAsia="黑体" w:cs="黑体"/>
          <w:sz w:val="32"/>
          <w:szCs w:val="32"/>
          <w:rtl w:val="0"/>
          <w:lang w:val="en-US"/>
        </w:rPr>
        <w:t>2020</w:t>
      </w:r>
      <w:r>
        <w:rPr>
          <w:rFonts w:ascii="黑体" w:hAnsi="黑体" w:eastAsia="黑体" w:cs="黑体"/>
          <w:sz w:val="32"/>
          <w:szCs w:val="32"/>
          <w:rtl w:val="0"/>
          <w:lang w:val="zh-TW" w:eastAsia="zh-TW"/>
        </w:rPr>
        <w:t>年度决算报表</w:t>
      </w:r>
    </w:p>
    <w:p>
      <w:pPr>
        <w:pStyle w:val="8"/>
        <w:framePr w:wrap="auto" w:vAnchor="margin" w:hAnchor="text" w:yAlign="inline"/>
        <w:spacing w:line="540" w:lineRule="exact"/>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一、</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年度收入支出决算总表</w:t>
      </w:r>
    </w:p>
    <w:p>
      <w:pPr>
        <w:pStyle w:val="8"/>
        <w:framePr w:wrap="auto" w:vAnchor="margin" w:hAnchor="text" w:yAlign="inline"/>
        <w:spacing w:line="540" w:lineRule="exact"/>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二、</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年度收入决算表</w:t>
      </w:r>
    </w:p>
    <w:p>
      <w:pPr>
        <w:pStyle w:val="8"/>
        <w:framePr w:wrap="auto" w:vAnchor="margin" w:hAnchor="text" w:yAlign="inline"/>
        <w:spacing w:line="540" w:lineRule="exact"/>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三、</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年度支出决算表</w:t>
      </w:r>
    </w:p>
    <w:p>
      <w:pPr>
        <w:pStyle w:val="8"/>
        <w:framePr w:wrap="auto" w:vAnchor="margin" w:hAnchor="text" w:yAlign="inline"/>
        <w:spacing w:line="540" w:lineRule="exact"/>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四、</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年度财政拨款收入支出决算表</w:t>
      </w:r>
    </w:p>
    <w:p>
      <w:pPr>
        <w:pStyle w:val="8"/>
        <w:framePr w:wrap="auto" w:vAnchor="margin" w:hAnchor="text" w:yAlign="inline"/>
        <w:spacing w:line="540" w:lineRule="exact"/>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五、</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年度一般公共预算财政拨款支出决算表</w:t>
      </w:r>
    </w:p>
    <w:p>
      <w:pPr>
        <w:pStyle w:val="8"/>
        <w:framePr w:wrap="auto" w:vAnchor="margin" w:hAnchor="text" w:yAlign="inline"/>
        <w:spacing w:line="540" w:lineRule="exact"/>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六、</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年度一般公共预算财政拨款基本支出决算表</w:t>
      </w:r>
    </w:p>
    <w:p>
      <w:pPr>
        <w:pStyle w:val="8"/>
        <w:framePr w:wrap="auto" w:vAnchor="margin" w:hAnchor="text" w:yAlign="inline"/>
        <w:spacing w:line="540" w:lineRule="exact"/>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七、</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年度政府性基金预算财政拨款支出决算表</w:t>
      </w:r>
    </w:p>
    <w:p>
      <w:pPr>
        <w:pStyle w:val="8"/>
        <w:framePr w:wrap="auto" w:vAnchor="margin" w:hAnchor="text" w:yAlign="inline"/>
        <w:spacing w:line="540" w:lineRule="exact"/>
        <w:ind w:left="640" w:hanging="640"/>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八、</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年度一般公共预算财政拨款</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三公</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经费支出决算表</w:t>
      </w:r>
    </w:p>
    <w:p>
      <w:pPr>
        <w:pStyle w:val="8"/>
        <w:framePr w:wrap="auto" w:vAnchor="margin" w:hAnchor="text" w:yAlign="inline"/>
        <w:spacing w:line="540" w:lineRule="exact"/>
        <w:ind w:left="640" w:hanging="640"/>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九、</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年度国有资本经营预算财政拨款支出决算表</w:t>
      </w:r>
    </w:p>
    <w:p>
      <w:pPr>
        <w:pStyle w:val="8"/>
        <w:framePr w:wrap="auto" w:vAnchor="margin" w:hAnchor="text" w:yAlign="inline"/>
        <w:spacing w:line="540" w:lineRule="exact"/>
        <w:rPr>
          <w:rFonts w:ascii="黑体" w:hAnsi="黑体" w:eastAsia="黑体" w:cs="黑体"/>
          <w:sz w:val="32"/>
          <w:szCs w:val="32"/>
        </w:rPr>
      </w:pPr>
    </w:p>
    <w:p>
      <w:pPr>
        <w:pStyle w:val="8"/>
        <w:framePr w:wrap="auto" w:vAnchor="margin" w:hAnchor="text" w:yAlign="inline"/>
        <w:spacing w:line="540" w:lineRule="exact"/>
        <w:jc w:val="center"/>
        <w:rPr>
          <w:rFonts w:ascii="黑体" w:hAnsi="黑体" w:eastAsia="黑体" w:cs="黑体"/>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rPr>
          <w:b/>
          <w:bCs/>
          <w:sz w:val="44"/>
          <w:szCs w:val="44"/>
          <w:u w:val="single"/>
        </w:rPr>
      </w:pPr>
    </w:p>
    <w:p>
      <w:pPr>
        <w:pStyle w:val="8"/>
        <w:framePr w:wrap="auto" w:vAnchor="margin" w:hAnchor="text" w:yAlign="inline"/>
        <w:spacing w:line="540" w:lineRule="exact"/>
        <w:jc w:val="center"/>
        <w:outlineLvl w:val="0"/>
        <w:rPr>
          <w:rFonts w:ascii="宋体" w:hAnsi="宋体" w:eastAsia="宋体" w:cs="宋体"/>
          <w:b/>
          <w:bCs/>
          <w:sz w:val="36"/>
          <w:szCs w:val="36"/>
          <w:lang w:val="zh-TW" w:eastAsia="zh-TW"/>
        </w:rPr>
      </w:pPr>
      <w:r>
        <w:rPr>
          <w:rFonts w:ascii="宋体" w:hAnsi="宋体" w:eastAsia="宋体" w:cs="宋体"/>
          <w:b/>
          <w:bCs/>
          <w:sz w:val="36"/>
          <w:szCs w:val="36"/>
          <w:rtl w:val="0"/>
          <w:lang w:val="zh-TW" w:eastAsia="zh-TW"/>
        </w:rPr>
        <w:t>第一部分 沈阳市浑南区气象局概况</w:t>
      </w:r>
    </w:p>
    <w:p>
      <w:pPr>
        <w:pStyle w:val="8"/>
        <w:framePr w:wrap="auto" w:vAnchor="margin" w:hAnchor="text" w:yAlign="inline"/>
        <w:spacing w:line="540" w:lineRule="exact"/>
        <w:ind w:firstLine="640"/>
        <w:jc w:val="left"/>
        <w:rPr>
          <w:rFonts w:ascii="黑体" w:hAnsi="黑体" w:eastAsia="黑体" w:cs="黑体"/>
          <w:sz w:val="32"/>
          <w:szCs w:val="32"/>
        </w:rPr>
      </w:pPr>
    </w:p>
    <w:p>
      <w:pPr>
        <w:pStyle w:val="8"/>
        <w:framePr w:wrap="auto" w:vAnchor="margin" w:hAnchor="text" w:yAlign="inline"/>
        <w:spacing w:line="540" w:lineRule="exact"/>
        <w:ind w:firstLine="640"/>
        <w:jc w:val="left"/>
        <w:rPr>
          <w:rFonts w:ascii="黑体" w:hAnsi="黑体" w:eastAsia="黑体" w:cs="黑体"/>
          <w:sz w:val="32"/>
          <w:szCs w:val="32"/>
          <w:lang w:val="zh-TW" w:eastAsia="zh-TW"/>
        </w:rPr>
      </w:pPr>
      <w:r>
        <w:rPr>
          <w:rFonts w:ascii="黑体" w:hAnsi="黑体" w:eastAsia="黑体" w:cs="黑体"/>
          <w:sz w:val="32"/>
          <w:szCs w:val="32"/>
          <w:rtl w:val="0"/>
          <w:lang w:val="zh-TW" w:eastAsia="zh-TW"/>
        </w:rPr>
        <w:t>一、主要职责</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1</w:t>
      </w:r>
      <w:r>
        <w:rPr>
          <w:rFonts w:ascii="仿宋_GB2312" w:hAnsi="仿宋_GB2312" w:eastAsia="仿宋_GB2312" w:cs="仿宋_GB2312"/>
          <w:sz w:val="32"/>
          <w:szCs w:val="32"/>
          <w:rtl w:val="0"/>
          <w:lang w:val="zh-TW" w:eastAsia="zh-TW"/>
        </w:rPr>
        <w:t>．负责本行政区域内气象事业发展规划、计划的制定及气象业务的组织实施；对本行政区域内的气象活动进行指导、监督和行业管理。</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2</w:t>
      </w:r>
      <w:r>
        <w:rPr>
          <w:rFonts w:ascii="仿宋_GB2312" w:hAnsi="仿宋_GB2312" w:eastAsia="仿宋_GB2312" w:cs="仿宋_GB2312"/>
          <w:sz w:val="32"/>
          <w:szCs w:val="32"/>
          <w:rtl w:val="0"/>
          <w:lang w:val="zh-TW" w:eastAsia="zh-TW"/>
        </w:rPr>
        <w:t>．负责本行政区域内的气象台站和气象设施的组织建设和维护管理；组织管理本行政区域内气象探测资料的采集、传输和汇交；依法保护气象设施和探测环境；负责审查建设项目大气环境影响评价所使用的气象资料。</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3</w:t>
      </w:r>
      <w:r>
        <w:rPr>
          <w:rFonts w:ascii="仿宋_GB2312" w:hAnsi="仿宋_GB2312" w:eastAsia="仿宋_GB2312" w:cs="仿宋_GB2312"/>
          <w:sz w:val="32"/>
          <w:szCs w:val="32"/>
          <w:rtl w:val="0"/>
          <w:lang w:val="zh-TW" w:eastAsia="zh-TW"/>
        </w:rPr>
        <w:t>．负责本行政区域内的气象监测、预报预警、服务管理工作；组织管理本行政区域内公众气象预报、灾害性天气警报的发布和传播；组织管理本行政区域内农业气象、环境气象、交通气象、资源气象、火险气象等专业气象的监测和预报发布、传播承担重大突发公共事件预警信息发布系统建设、运行维护及突发事件预警信息发布工作。</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4</w:t>
      </w:r>
      <w:r>
        <w:rPr>
          <w:rFonts w:ascii="仿宋_GB2312" w:hAnsi="仿宋_GB2312" w:eastAsia="仿宋_GB2312" w:cs="仿宋_GB2312"/>
          <w:sz w:val="32"/>
          <w:szCs w:val="32"/>
          <w:rtl w:val="0"/>
          <w:lang w:val="zh-TW" w:eastAsia="zh-TW"/>
        </w:rPr>
        <w:t>．组织指导气象防灾减灾工作；组织拟订和实施本行政区域的气象灾害防御规划；组织气象灾害监测、联防、预警和评估，为本级人民政府组织防御气象灾害提供决策依据；组织气象灾害防御应急管理工作；组织重大活动、突发公共事件气象保障工作。</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5</w:t>
      </w:r>
      <w:r>
        <w:rPr>
          <w:rFonts w:ascii="仿宋_GB2312" w:hAnsi="仿宋_GB2312" w:eastAsia="仿宋_GB2312" w:cs="仿宋_GB2312"/>
          <w:sz w:val="32"/>
          <w:szCs w:val="32"/>
          <w:rtl w:val="0"/>
          <w:lang w:val="zh-TW" w:eastAsia="zh-TW"/>
        </w:rPr>
        <w:t>．管理本行政区域人工影响天气工作，指导和组织人工影响天气作业；组织管理本行政区域内雷电灾害防御工作，会同有关部门指导对可能遭受袭击的建筑物、构筑物和其它设施安装的雷电灾害防护装置的检测工作；负责本行政区域内防雷装置的设计审核和竣工验收；负责管理本行政区域内的施放气球活动。</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6</w:t>
      </w:r>
      <w:r>
        <w:rPr>
          <w:rFonts w:ascii="仿宋_GB2312" w:hAnsi="仿宋_GB2312" w:eastAsia="仿宋_GB2312" w:cs="仿宋_GB2312"/>
          <w:sz w:val="32"/>
          <w:szCs w:val="32"/>
          <w:rtl w:val="0"/>
          <w:lang w:val="zh-TW" w:eastAsia="zh-TW"/>
        </w:rPr>
        <w:t>．组织、指导本行政区域内体系建设；指导城乡气象工作，组织推进农村气象灾害防御体系和农业气象服务体系建设，组织指导乡镇（街道）气象工作站和气象协理员、信息员队伍建设。</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7</w:t>
      </w:r>
      <w:r>
        <w:rPr>
          <w:rFonts w:ascii="仿宋_GB2312" w:hAnsi="仿宋_GB2312" w:eastAsia="仿宋_GB2312" w:cs="仿宋_GB2312"/>
          <w:sz w:val="32"/>
          <w:szCs w:val="32"/>
          <w:rtl w:val="0"/>
          <w:lang w:val="zh-TW" w:eastAsia="zh-TW"/>
        </w:rPr>
        <w:t>．组织本区域气候资源的综合调查、区划，指导气候资源的开发利用和保护，组织并审查重点建设工程、重大区域经济开发项目和城乡建设规划的气候可行性论证和气象灾害风险评估。</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 xml:space="preserve">8. </w:t>
      </w:r>
      <w:r>
        <w:rPr>
          <w:rFonts w:ascii="仿宋_GB2312" w:hAnsi="仿宋_GB2312" w:eastAsia="仿宋_GB2312" w:cs="仿宋_GB2312"/>
          <w:sz w:val="32"/>
          <w:szCs w:val="32"/>
          <w:rtl w:val="0"/>
          <w:lang w:val="zh-TW" w:eastAsia="zh-TW"/>
        </w:rPr>
        <w:t>组织开展气象法制宣传教育，负责监督有关气象法规的实施，对违反《中华人民共和国气象法》等法律法规有关规定的行为依法进行处罚，承担有关行政诉讼；组织宣传、普及气象科学知识，提高全民气象防灾减灾和应对气候变化意识。</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 xml:space="preserve">9. </w:t>
      </w:r>
      <w:r>
        <w:rPr>
          <w:rFonts w:ascii="仿宋_GB2312" w:hAnsi="仿宋_GB2312" w:eastAsia="仿宋_GB2312" w:cs="仿宋_GB2312"/>
          <w:sz w:val="32"/>
          <w:szCs w:val="32"/>
          <w:rtl w:val="0"/>
          <w:lang w:val="zh-TW" w:eastAsia="zh-TW"/>
        </w:rPr>
        <w:t>管理本级气象部门内部的计划财务、人事劳动、队伍建设、教育培训和业务建设；负责气象部门双重计划财务体制的落实工作；会同地方党委和人民政府做好当地气象部门党的建设、精神文明和气象文化建设。</w:t>
      </w:r>
    </w:p>
    <w:p>
      <w:pPr>
        <w:pStyle w:val="8"/>
        <w:framePr w:wrap="auto" w:vAnchor="margin" w:hAnchor="text" w:yAlign="inline"/>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 xml:space="preserve">10. </w:t>
      </w:r>
      <w:r>
        <w:rPr>
          <w:rFonts w:ascii="仿宋_GB2312" w:hAnsi="仿宋_GB2312" w:eastAsia="仿宋_GB2312" w:cs="仿宋_GB2312"/>
          <w:sz w:val="32"/>
          <w:szCs w:val="32"/>
          <w:rtl w:val="0"/>
          <w:lang w:val="zh-TW" w:eastAsia="zh-TW"/>
        </w:rPr>
        <w:t>承担上级气象主管机构和本级人民政府交办的其他事项。</w:t>
      </w:r>
    </w:p>
    <w:p>
      <w:pPr>
        <w:pStyle w:val="8"/>
        <w:framePr w:wrap="auto" w:vAnchor="margin" w:hAnchor="text" w:yAlign="inline"/>
        <w:spacing w:after="312"/>
        <w:rPr>
          <w:rFonts w:ascii="仿宋_GB2312" w:hAnsi="仿宋_GB2312" w:eastAsia="仿宋_GB2312" w:cs="仿宋_GB2312"/>
          <w:b/>
          <w:bCs/>
          <w:outline w:val="0"/>
          <w:color w:val="FF0000"/>
          <w:sz w:val="32"/>
          <w:szCs w:val="32"/>
          <w:u w:color="FF0000"/>
          <w:lang w:val="zh-TW" w:eastAsia="zh-TW"/>
        </w:rPr>
      </w:pPr>
      <w:r>
        <w:rPr>
          <w:rFonts w:ascii="黑体" w:hAnsi="黑体" w:eastAsia="黑体" w:cs="黑体"/>
          <w:sz w:val="32"/>
          <w:szCs w:val="32"/>
          <w:rtl w:val="0"/>
          <w:lang w:val="zh-TW" w:eastAsia="zh-TW"/>
        </w:rPr>
        <w:t>二、决算单位构成</w:t>
      </w:r>
    </w:p>
    <w:p>
      <w:pPr>
        <w:pStyle w:val="8"/>
        <w:framePr w:wrap="auto" w:vAnchor="margin" w:hAnchor="text" w:yAlign="inline"/>
        <w:spacing w:line="540" w:lineRule="exact"/>
        <w:ind w:firstLine="643"/>
        <w:jc w:val="left"/>
        <w:rPr>
          <w:rFonts w:ascii="仿宋_GB2312" w:hAnsi="仿宋_GB2312" w:eastAsia="仿宋_GB2312" w:cs="仿宋_GB2312"/>
          <w:b/>
          <w:bCs/>
          <w:sz w:val="32"/>
          <w:szCs w:val="32"/>
        </w:rPr>
      </w:pPr>
      <w:r>
        <w:rPr>
          <w:rFonts w:ascii="仿宋_GB2312" w:hAnsi="仿宋_GB2312" w:eastAsia="仿宋_GB2312" w:cs="仿宋_GB2312"/>
          <w:b/>
          <w:bCs/>
          <w:sz w:val="32"/>
          <w:szCs w:val="32"/>
          <w:rtl w:val="0"/>
          <w:lang w:val="zh-TW" w:eastAsia="zh-TW"/>
        </w:rPr>
        <w:t>纳入本</w:t>
      </w:r>
      <w:r>
        <w:rPr>
          <w:rFonts w:hint="eastAsia" w:ascii="仿宋_GB2312" w:hAnsi="仿宋_GB2312" w:eastAsia="仿宋_GB2312" w:cs="仿宋_GB2312"/>
          <w:b/>
          <w:bCs/>
          <w:sz w:val="32"/>
          <w:szCs w:val="32"/>
          <w:rtl w:val="0"/>
          <w:lang w:val="zh-TW" w:eastAsia="zh-CN"/>
        </w:rPr>
        <w:t>单位</w:t>
      </w:r>
      <w:r>
        <w:rPr>
          <w:rFonts w:ascii="仿宋_GB2312" w:hAnsi="仿宋_GB2312" w:eastAsia="仿宋_GB2312" w:cs="仿宋_GB2312"/>
          <w:b/>
          <w:bCs/>
          <w:sz w:val="32"/>
          <w:szCs w:val="32"/>
          <w:rtl w:val="0"/>
          <w:lang w:val="en-US"/>
        </w:rPr>
        <w:t>2020</w:t>
      </w:r>
      <w:r>
        <w:rPr>
          <w:rFonts w:ascii="仿宋_GB2312" w:hAnsi="仿宋_GB2312" w:eastAsia="仿宋_GB2312" w:cs="仿宋_GB2312"/>
          <w:b/>
          <w:bCs/>
          <w:sz w:val="32"/>
          <w:szCs w:val="32"/>
          <w:rtl w:val="0"/>
          <w:lang w:val="zh-TW" w:eastAsia="zh-TW"/>
        </w:rPr>
        <w:t>年决算编制范围的二级预算单位包括：</w:t>
      </w:r>
    </w:p>
    <w:p>
      <w:pPr>
        <w:pStyle w:val="8"/>
        <w:framePr w:wrap="auto" w:vAnchor="margin" w:hAnchor="text" w:yAlign="inline"/>
        <w:spacing w:line="540" w:lineRule="exact"/>
        <w:ind w:firstLine="640"/>
        <w:jc w:val="left"/>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1.</w:t>
      </w:r>
      <w:r>
        <w:rPr>
          <w:rFonts w:ascii="仿宋_GB2312" w:hAnsi="仿宋_GB2312" w:eastAsia="仿宋_GB2312" w:cs="仿宋_GB2312"/>
          <w:sz w:val="32"/>
          <w:szCs w:val="32"/>
          <w:rtl w:val="0"/>
          <w:lang w:val="zh-TW" w:eastAsia="zh-TW"/>
        </w:rPr>
        <w:t>沈阳市浑南区人工影响天气办公室本级</w:t>
      </w:r>
      <w:r>
        <w:rPr>
          <w:rFonts w:hint="eastAsia" w:ascii="仿宋_GB2312" w:hAnsi="仿宋_GB2312" w:eastAsia="仿宋_GB2312" w:cs="仿宋_GB2312"/>
          <w:sz w:val="32"/>
          <w:szCs w:val="32"/>
          <w:rtl w:val="0"/>
          <w:lang w:val="zh-TW" w:eastAsia="zh-CN"/>
        </w:rPr>
        <w:t>，本单位无下设机构</w:t>
      </w:r>
    </w:p>
    <w:p>
      <w:pPr>
        <w:pStyle w:val="8"/>
        <w:framePr w:wrap="auto" w:vAnchor="margin" w:hAnchor="text" w:yAlign="inline"/>
        <w:spacing w:line="540" w:lineRule="exact"/>
        <w:jc w:val="left"/>
        <w:rPr>
          <w:rFonts w:ascii="仿宋_GB2312" w:hAnsi="仿宋_GB2312" w:eastAsia="仿宋_GB2312" w:cs="仿宋_GB2312"/>
          <w:sz w:val="32"/>
          <w:szCs w:val="32"/>
        </w:rPr>
      </w:pPr>
    </w:p>
    <w:p>
      <w:pPr>
        <w:pStyle w:val="8"/>
        <w:framePr w:wrap="auto" w:vAnchor="margin" w:hAnchor="text" w:yAlign="inline"/>
        <w:spacing w:line="540" w:lineRule="exact"/>
        <w:jc w:val="center"/>
        <w:outlineLvl w:val="0"/>
        <w:rPr>
          <w:rFonts w:ascii="宋体" w:hAnsi="宋体" w:eastAsia="宋体" w:cs="宋体"/>
          <w:b/>
          <w:bCs/>
          <w:sz w:val="36"/>
          <w:szCs w:val="36"/>
        </w:rPr>
      </w:pPr>
      <w:r>
        <w:rPr>
          <w:rFonts w:ascii="宋体" w:hAnsi="宋体" w:eastAsia="宋体" w:cs="宋体"/>
          <w:b/>
          <w:bCs/>
          <w:sz w:val="36"/>
          <w:szCs w:val="36"/>
          <w:rtl w:val="0"/>
          <w:lang w:val="zh-TW" w:eastAsia="zh-TW"/>
        </w:rPr>
        <w:t>第二部分 沈阳市浑南区气象局</w:t>
      </w:r>
      <w:r>
        <w:rPr>
          <w:rFonts w:ascii="宋体" w:hAnsi="宋体" w:eastAsia="宋体" w:cs="宋体"/>
          <w:b/>
          <w:bCs/>
          <w:sz w:val="36"/>
          <w:szCs w:val="36"/>
          <w:rtl w:val="0"/>
          <w:lang w:val="en-US"/>
        </w:rPr>
        <w:t>2020</w:t>
      </w:r>
      <w:r>
        <w:rPr>
          <w:rFonts w:ascii="宋体" w:hAnsi="宋体" w:eastAsia="宋体" w:cs="宋体"/>
          <w:b/>
          <w:bCs/>
          <w:sz w:val="36"/>
          <w:szCs w:val="36"/>
          <w:rtl w:val="0"/>
          <w:lang w:val="zh-TW" w:eastAsia="zh-TW"/>
        </w:rPr>
        <w:t>年度决算情况说明</w:t>
      </w:r>
    </w:p>
    <w:p>
      <w:pPr>
        <w:pStyle w:val="8"/>
        <w:framePr w:wrap="auto" w:vAnchor="margin" w:hAnchor="text" w:yAlign="inline"/>
        <w:spacing w:line="540" w:lineRule="exact"/>
        <w:rPr>
          <w:rFonts w:ascii="宋体" w:hAnsi="宋体" w:eastAsia="宋体" w:cs="宋体"/>
          <w:b/>
          <w:bCs/>
          <w:sz w:val="36"/>
          <w:szCs w:val="36"/>
        </w:rPr>
      </w:pPr>
    </w:p>
    <w:p>
      <w:pPr>
        <w:pStyle w:val="8"/>
        <w:framePr w:wrap="auto" w:vAnchor="margin" w:hAnchor="text" w:yAlign="inline"/>
        <w:spacing w:line="540" w:lineRule="exact"/>
        <w:ind w:firstLine="627"/>
        <w:outlineLvl w:val="1"/>
        <w:rPr>
          <w:rFonts w:ascii="黑体" w:hAnsi="黑体" w:eastAsia="黑体" w:cs="黑体"/>
          <w:sz w:val="32"/>
          <w:szCs w:val="32"/>
          <w:lang w:val="zh-TW" w:eastAsia="zh-TW"/>
        </w:rPr>
      </w:pPr>
      <w:r>
        <w:rPr>
          <w:rFonts w:ascii="黑体" w:hAnsi="黑体" w:eastAsia="黑体" w:cs="黑体"/>
          <w:sz w:val="32"/>
          <w:szCs w:val="32"/>
          <w:rtl w:val="0"/>
          <w:lang w:val="zh-TW" w:eastAsia="zh-TW"/>
        </w:rPr>
        <w:t>一、收入支出决算总体情况</w:t>
      </w:r>
    </w:p>
    <w:p>
      <w:pPr>
        <w:pStyle w:val="8"/>
        <w:framePr w:wrap="auto" w:vAnchor="margin" w:hAnchor="text" w:yAlign="inline"/>
        <w:spacing w:line="540" w:lineRule="exact"/>
        <w:ind w:firstLine="660"/>
        <w:outlineLvl w:val="2"/>
        <w:rPr>
          <w:rFonts w:ascii="楷体_GB2312" w:hAnsi="楷体_GB2312" w:eastAsia="楷体_GB2312" w:cs="楷体_GB2312"/>
          <w:b/>
          <w:bCs/>
          <w:sz w:val="32"/>
          <w:szCs w:val="32"/>
        </w:rPr>
      </w:pPr>
      <w:r>
        <w:rPr>
          <w:rFonts w:ascii="楷体_GB2312" w:hAnsi="楷体_GB2312" w:eastAsia="楷体_GB2312" w:cs="楷体_GB2312"/>
          <w:b/>
          <w:bCs/>
          <w:sz w:val="32"/>
          <w:szCs w:val="32"/>
          <w:rtl w:val="0"/>
          <w:lang w:val="zh-TW" w:eastAsia="zh-TW"/>
        </w:rPr>
        <w:t>（一）收入总计</w:t>
      </w:r>
      <w:r>
        <w:rPr>
          <w:rFonts w:ascii="楷体_GB2312" w:hAnsi="楷体_GB2312" w:eastAsia="楷体_GB2312" w:cs="楷体_GB2312"/>
          <w:b/>
          <w:bCs/>
          <w:sz w:val="32"/>
          <w:szCs w:val="32"/>
          <w:rtl w:val="0"/>
          <w:lang w:val="zh-CN" w:eastAsia="zh-CN"/>
        </w:rPr>
        <w:t>237.21</w:t>
      </w:r>
      <w:r>
        <w:rPr>
          <w:rFonts w:ascii="楷体_GB2312" w:hAnsi="楷体_GB2312" w:eastAsia="楷体_GB2312" w:cs="楷体_GB2312"/>
          <w:b/>
          <w:bCs/>
          <w:sz w:val="32"/>
          <w:szCs w:val="32"/>
          <w:rtl w:val="0"/>
          <w:lang w:val="zh-TW" w:eastAsia="zh-TW"/>
        </w:rPr>
        <w:t>万元，包括：</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1.</w:t>
      </w:r>
      <w:r>
        <w:rPr>
          <w:rFonts w:ascii="仿宋_GB2312" w:hAnsi="仿宋_GB2312" w:eastAsia="仿宋_GB2312" w:cs="仿宋_GB2312"/>
          <w:sz w:val="32"/>
          <w:szCs w:val="32"/>
          <w:rtl w:val="0"/>
          <w:lang w:val="zh-TW" w:eastAsia="zh-TW"/>
        </w:rPr>
        <w:t>财政拨款收入</w:t>
      </w:r>
      <w:r>
        <w:rPr>
          <w:rFonts w:ascii="仿宋_GB2312" w:hAnsi="仿宋_GB2312" w:eastAsia="仿宋_GB2312" w:cs="仿宋_GB2312"/>
          <w:sz w:val="32"/>
          <w:szCs w:val="32"/>
          <w:rtl w:val="0"/>
          <w:lang w:val="zh-CN" w:eastAsia="zh-CN"/>
        </w:rPr>
        <w:t>237.21</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zh-CN" w:eastAsia="zh-CN"/>
        </w:rPr>
        <w:t>100</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。其中：一般公共预算财政拨款收入</w:t>
      </w:r>
      <w:r>
        <w:rPr>
          <w:rFonts w:ascii="仿宋_GB2312" w:hAnsi="仿宋_GB2312" w:eastAsia="仿宋_GB2312" w:cs="仿宋_GB2312"/>
          <w:sz w:val="32"/>
          <w:szCs w:val="32"/>
          <w:rtl w:val="0"/>
          <w:lang w:val="zh-CN" w:eastAsia="zh-CN"/>
        </w:rPr>
        <w:t>237.21</w:t>
      </w:r>
      <w:r>
        <w:rPr>
          <w:rFonts w:ascii="仿宋_GB2312" w:hAnsi="仿宋_GB2312" w:eastAsia="仿宋_GB2312" w:cs="仿宋_GB2312"/>
          <w:sz w:val="32"/>
          <w:szCs w:val="32"/>
          <w:rtl w:val="0"/>
          <w:lang w:val="zh-TW" w:eastAsia="zh-TW"/>
        </w:rPr>
        <w:t>万元，政府性基金收入</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万元，国有资本经营预算财政拨款收入</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2.</w:t>
      </w:r>
      <w:r>
        <w:rPr>
          <w:rFonts w:ascii="仿宋_GB2312" w:hAnsi="仿宋_GB2312" w:eastAsia="仿宋_GB2312" w:cs="仿宋_GB2312"/>
          <w:sz w:val="32"/>
          <w:szCs w:val="32"/>
          <w:rtl w:val="0"/>
          <w:lang w:val="zh-TW" w:eastAsia="zh-TW"/>
        </w:rPr>
        <w:t>上级补助收入</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3.</w:t>
      </w:r>
      <w:r>
        <w:rPr>
          <w:rFonts w:ascii="仿宋_GB2312" w:hAnsi="仿宋_GB2312" w:eastAsia="仿宋_GB2312" w:cs="仿宋_GB2312"/>
          <w:sz w:val="32"/>
          <w:szCs w:val="32"/>
          <w:rtl w:val="0"/>
          <w:lang w:val="zh-TW" w:eastAsia="zh-TW"/>
        </w:rPr>
        <w:t>事业收入</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4.</w:t>
      </w:r>
      <w:r>
        <w:rPr>
          <w:rFonts w:ascii="仿宋_GB2312" w:hAnsi="仿宋_GB2312" w:eastAsia="仿宋_GB2312" w:cs="仿宋_GB2312"/>
          <w:sz w:val="32"/>
          <w:szCs w:val="32"/>
          <w:rtl w:val="0"/>
          <w:lang w:val="zh-TW" w:eastAsia="zh-TW"/>
        </w:rPr>
        <w:t>经营收入</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5.</w:t>
      </w:r>
      <w:r>
        <w:rPr>
          <w:rFonts w:ascii="仿宋_GB2312" w:hAnsi="仿宋_GB2312" w:eastAsia="仿宋_GB2312" w:cs="仿宋_GB2312"/>
          <w:sz w:val="32"/>
          <w:szCs w:val="32"/>
          <w:rtl w:val="0"/>
          <w:lang w:val="zh-TW" w:eastAsia="zh-TW"/>
        </w:rPr>
        <w:t>附属单位上缴收入</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6.</w:t>
      </w:r>
      <w:r>
        <w:rPr>
          <w:rFonts w:ascii="仿宋_GB2312" w:hAnsi="仿宋_GB2312" w:eastAsia="仿宋_GB2312" w:cs="仿宋_GB2312"/>
          <w:sz w:val="32"/>
          <w:szCs w:val="32"/>
          <w:rtl w:val="0"/>
          <w:lang w:val="zh-TW" w:eastAsia="zh-TW"/>
        </w:rPr>
        <w:t>其他收入</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7.</w:t>
      </w:r>
      <w:r>
        <w:rPr>
          <w:rFonts w:ascii="仿宋_GB2312" w:hAnsi="仿宋_GB2312" w:eastAsia="仿宋_GB2312" w:cs="仿宋_GB2312"/>
          <w:sz w:val="32"/>
          <w:szCs w:val="32"/>
          <w:rtl w:val="0"/>
          <w:lang w:val="zh-TW" w:eastAsia="zh-TW"/>
        </w:rPr>
        <w:t>用事业基金弥补收支差额</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8.</w:t>
      </w:r>
      <w:r>
        <w:rPr>
          <w:rFonts w:ascii="仿宋_GB2312" w:hAnsi="仿宋_GB2312" w:eastAsia="仿宋_GB2312" w:cs="仿宋_GB2312"/>
          <w:sz w:val="32"/>
          <w:szCs w:val="32"/>
          <w:rtl w:val="0"/>
          <w:lang w:val="zh-TW" w:eastAsia="zh-TW"/>
        </w:rPr>
        <w:t>上年结转和结余</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万元，占收入总计的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与上年相比，今年收入增加</w:t>
      </w:r>
      <w:r>
        <w:rPr>
          <w:rFonts w:ascii="仿宋_GB2312" w:hAnsi="仿宋_GB2312" w:eastAsia="仿宋_GB2312" w:cs="仿宋_GB2312"/>
          <w:sz w:val="32"/>
          <w:szCs w:val="32"/>
          <w:rtl w:val="0"/>
          <w:lang w:val="zh-CN" w:eastAsia="zh-CN"/>
        </w:rPr>
        <w:t>80.87</w:t>
      </w:r>
      <w:r>
        <w:rPr>
          <w:rFonts w:ascii="仿宋_GB2312" w:hAnsi="仿宋_GB2312" w:eastAsia="仿宋_GB2312" w:cs="仿宋_GB2312"/>
          <w:sz w:val="32"/>
          <w:szCs w:val="32"/>
          <w:rtl w:val="0"/>
          <w:lang w:val="zh-TW" w:eastAsia="zh-TW"/>
        </w:rPr>
        <w:t>万元，增长</w:t>
      </w:r>
      <w:r>
        <w:rPr>
          <w:rFonts w:ascii="仿宋_GB2312" w:hAnsi="仿宋_GB2312" w:eastAsia="仿宋_GB2312" w:cs="仿宋_GB2312"/>
          <w:sz w:val="32"/>
          <w:szCs w:val="32"/>
          <w:rtl w:val="0"/>
          <w:lang w:val="zh-CN" w:eastAsia="zh-CN"/>
        </w:rPr>
        <w:t>51.73</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，主要原因：</w:t>
      </w:r>
      <w:r>
        <w:rPr>
          <w:rFonts w:ascii="黑体" w:hAnsi="黑体" w:eastAsia="黑体" w:cs="黑体"/>
          <w:sz w:val="32"/>
          <w:szCs w:val="32"/>
          <w:rtl w:val="0"/>
          <w:lang w:val="zh-CN" w:eastAsia="zh-CN"/>
        </w:rPr>
        <w:t>新增</w:t>
      </w:r>
      <w:r>
        <w:rPr>
          <w:rFonts w:ascii="仿宋_GB2312" w:hAnsi="仿宋_GB2312" w:eastAsia="仿宋_GB2312" w:cs="仿宋_GB2312"/>
          <w:sz w:val="32"/>
          <w:szCs w:val="32"/>
          <w:rtl w:val="0"/>
          <w:lang w:val="zh-CN" w:eastAsia="zh-CN"/>
        </w:rPr>
        <w:t>项目</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outlineLvl w:val="2"/>
        <w:rPr>
          <w:rFonts w:ascii="楷体_GB2312" w:hAnsi="楷体_GB2312" w:eastAsia="楷体_GB2312" w:cs="楷体_GB2312"/>
          <w:b/>
          <w:bCs/>
          <w:sz w:val="32"/>
          <w:szCs w:val="32"/>
        </w:rPr>
      </w:pPr>
      <w:r>
        <w:rPr>
          <w:rFonts w:ascii="楷体_GB2312" w:hAnsi="楷体_GB2312" w:eastAsia="楷体_GB2312" w:cs="楷体_GB2312"/>
          <w:b/>
          <w:bCs/>
          <w:sz w:val="32"/>
          <w:szCs w:val="32"/>
          <w:rtl w:val="0"/>
          <w:lang w:val="zh-TW" w:eastAsia="zh-TW"/>
        </w:rPr>
        <w:t>（二）支出总计</w:t>
      </w:r>
      <w:r>
        <w:rPr>
          <w:rFonts w:ascii="楷体_GB2312" w:hAnsi="楷体_GB2312" w:eastAsia="楷体_GB2312" w:cs="楷体_GB2312"/>
          <w:b/>
          <w:bCs/>
          <w:sz w:val="32"/>
          <w:szCs w:val="32"/>
          <w:rtl w:val="0"/>
          <w:lang w:val="zh-CN" w:eastAsia="zh-CN"/>
        </w:rPr>
        <w:t>237.21</w:t>
      </w:r>
      <w:r>
        <w:rPr>
          <w:rFonts w:ascii="楷体_GB2312" w:hAnsi="楷体_GB2312" w:eastAsia="楷体_GB2312" w:cs="楷体_GB2312"/>
          <w:b/>
          <w:bCs/>
          <w:sz w:val="32"/>
          <w:szCs w:val="32"/>
          <w:rtl w:val="0"/>
          <w:lang w:val="zh-TW" w:eastAsia="zh-TW"/>
        </w:rPr>
        <w:t>万元，包括：</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1.</w:t>
      </w:r>
      <w:r>
        <w:rPr>
          <w:rFonts w:ascii="仿宋_GB2312" w:hAnsi="仿宋_GB2312" w:eastAsia="仿宋_GB2312" w:cs="仿宋_GB2312"/>
          <w:sz w:val="32"/>
          <w:szCs w:val="32"/>
          <w:rtl w:val="0"/>
          <w:lang w:val="zh-TW" w:eastAsia="zh-TW"/>
        </w:rPr>
        <w:t>基本支出</w:t>
      </w:r>
      <w:r>
        <w:rPr>
          <w:rFonts w:ascii="仿宋_GB2312" w:hAnsi="仿宋_GB2312" w:eastAsia="仿宋_GB2312" w:cs="仿宋_GB2312"/>
          <w:sz w:val="32"/>
          <w:szCs w:val="32"/>
          <w:rtl w:val="0"/>
          <w:lang w:val="zh-CN" w:eastAsia="zh-CN"/>
        </w:rPr>
        <w:t>105.81</w:t>
      </w:r>
      <w:r>
        <w:rPr>
          <w:rFonts w:ascii="仿宋_GB2312" w:hAnsi="仿宋_GB2312" w:eastAsia="仿宋_GB2312" w:cs="仿宋_GB2312"/>
          <w:sz w:val="32"/>
          <w:szCs w:val="32"/>
          <w:rtl w:val="0"/>
          <w:lang w:val="zh-TW" w:eastAsia="zh-TW"/>
        </w:rPr>
        <w:t>万元，占支出总计的</w:t>
      </w:r>
      <w:r>
        <w:rPr>
          <w:rFonts w:ascii="仿宋_GB2312" w:hAnsi="仿宋_GB2312" w:eastAsia="仿宋_GB2312" w:cs="仿宋_GB2312"/>
          <w:sz w:val="32"/>
          <w:szCs w:val="32"/>
          <w:rtl w:val="0"/>
          <w:lang w:val="zh-CN" w:eastAsia="zh-CN"/>
        </w:rPr>
        <w:t>44.61</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2.</w:t>
      </w:r>
      <w:r>
        <w:rPr>
          <w:rFonts w:ascii="仿宋_GB2312" w:hAnsi="仿宋_GB2312" w:eastAsia="仿宋_GB2312" w:cs="仿宋_GB2312"/>
          <w:sz w:val="32"/>
          <w:szCs w:val="32"/>
          <w:rtl w:val="0"/>
          <w:lang w:val="zh-TW" w:eastAsia="zh-TW"/>
        </w:rPr>
        <w:t>项目支出</w:t>
      </w:r>
      <w:r>
        <w:rPr>
          <w:rFonts w:ascii="仿宋_GB2312" w:hAnsi="仿宋_GB2312" w:eastAsia="仿宋_GB2312" w:cs="仿宋_GB2312"/>
          <w:sz w:val="32"/>
          <w:szCs w:val="32"/>
          <w:rtl w:val="0"/>
          <w:lang w:val="zh-CN" w:eastAsia="zh-CN"/>
        </w:rPr>
        <w:t>131.4</w:t>
      </w:r>
      <w:r>
        <w:rPr>
          <w:rFonts w:ascii="仿宋_GB2312" w:hAnsi="仿宋_GB2312" w:eastAsia="仿宋_GB2312" w:cs="仿宋_GB2312"/>
          <w:sz w:val="32"/>
          <w:szCs w:val="32"/>
          <w:rtl w:val="0"/>
          <w:lang w:val="zh-TW" w:eastAsia="zh-TW"/>
        </w:rPr>
        <w:t>万元，占支出总计的</w:t>
      </w:r>
      <w:r>
        <w:rPr>
          <w:rFonts w:ascii="仿宋_GB2312" w:hAnsi="仿宋_GB2312" w:eastAsia="仿宋_GB2312" w:cs="仿宋_GB2312"/>
          <w:sz w:val="32"/>
          <w:szCs w:val="32"/>
          <w:rtl w:val="0"/>
          <w:lang w:val="zh-CN" w:eastAsia="zh-CN"/>
        </w:rPr>
        <w:t>55.39</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3.</w:t>
      </w:r>
      <w:r>
        <w:rPr>
          <w:rFonts w:ascii="仿宋_GB2312" w:hAnsi="仿宋_GB2312" w:eastAsia="仿宋_GB2312" w:cs="仿宋_GB2312"/>
          <w:sz w:val="32"/>
          <w:szCs w:val="32"/>
          <w:rtl w:val="0"/>
          <w:lang w:val="zh-TW" w:eastAsia="zh-TW"/>
        </w:rPr>
        <w:t>上缴上级支出</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万元，占支出总计的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4.</w:t>
      </w:r>
      <w:r>
        <w:rPr>
          <w:rFonts w:ascii="仿宋_GB2312" w:hAnsi="仿宋_GB2312" w:eastAsia="仿宋_GB2312" w:cs="仿宋_GB2312"/>
          <w:sz w:val="32"/>
          <w:szCs w:val="32"/>
          <w:rtl w:val="0"/>
          <w:lang w:val="zh-TW" w:eastAsia="zh-TW"/>
        </w:rPr>
        <w:t>经营支出</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万元，占支出总计的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5.</w:t>
      </w:r>
      <w:r>
        <w:rPr>
          <w:rFonts w:ascii="仿宋_GB2312" w:hAnsi="仿宋_GB2312" w:eastAsia="仿宋_GB2312" w:cs="仿宋_GB2312"/>
          <w:sz w:val="32"/>
          <w:szCs w:val="32"/>
          <w:rtl w:val="0"/>
          <w:lang w:val="zh-TW" w:eastAsia="zh-TW"/>
        </w:rPr>
        <w:t>对附属单位补助支出</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万元，占支出总计的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与上年相比，今年支出增加</w:t>
      </w:r>
      <w:r>
        <w:rPr>
          <w:rFonts w:ascii="仿宋_GB2312" w:hAnsi="仿宋_GB2312" w:eastAsia="仿宋_GB2312" w:cs="仿宋_GB2312"/>
          <w:sz w:val="32"/>
          <w:szCs w:val="32"/>
          <w:rtl w:val="0"/>
          <w:lang w:val="zh-CN" w:eastAsia="zh-CN"/>
        </w:rPr>
        <w:t>80.87</w:t>
      </w:r>
      <w:r>
        <w:rPr>
          <w:rFonts w:ascii="仿宋_GB2312" w:hAnsi="仿宋_GB2312" w:eastAsia="仿宋_GB2312" w:cs="仿宋_GB2312"/>
          <w:sz w:val="32"/>
          <w:szCs w:val="32"/>
          <w:rtl w:val="0"/>
          <w:lang w:val="zh-TW" w:eastAsia="zh-TW"/>
        </w:rPr>
        <w:t>万元，增长</w:t>
      </w:r>
      <w:r>
        <w:rPr>
          <w:rFonts w:ascii="仿宋_GB2312" w:hAnsi="仿宋_GB2312" w:eastAsia="仿宋_GB2312" w:cs="仿宋_GB2312"/>
          <w:sz w:val="32"/>
          <w:szCs w:val="32"/>
          <w:rtl w:val="0"/>
          <w:lang w:val="zh-CN" w:eastAsia="zh-CN"/>
        </w:rPr>
        <w:t>51.73</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，主要原因：</w:t>
      </w:r>
      <w:r>
        <w:rPr>
          <w:rFonts w:ascii="黑体" w:hAnsi="黑体" w:eastAsia="黑体" w:cs="黑体"/>
          <w:sz w:val="32"/>
          <w:szCs w:val="32"/>
          <w:rtl w:val="0"/>
          <w:lang w:val="zh-CN" w:eastAsia="zh-CN"/>
        </w:rPr>
        <w:t>新增</w:t>
      </w:r>
      <w:r>
        <w:rPr>
          <w:rFonts w:ascii="仿宋_GB2312" w:hAnsi="仿宋_GB2312" w:eastAsia="仿宋_GB2312" w:cs="仿宋_GB2312"/>
          <w:sz w:val="32"/>
          <w:szCs w:val="32"/>
          <w:rtl w:val="0"/>
          <w:lang w:val="zh-CN" w:eastAsia="zh-CN"/>
        </w:rPr>
        <w:t>项目支出</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60"/>
        <w:outlineLvl w:val="2"/>
        <w:rPr>
          <w:rFonts w:ascii="楷体_GB2312" w:hAnsi="楷体_GB2312" w:eastAsia="楷体_GB2312" w:cs="楷体_GB2312"/>
          <w:b/>
          <w:bCs/>
          <w:sz w:val="32"/>
          <w:szCs w:val="32"/>
        </w:rPr>
      </w:pPr>
      <w:r>
        <w:rPr>
          <w:rFonts w:ascii="楷体_GB2312" w:hAnsi="楷体_GB2312" w:eastAsia="楷体_GB2312" w:cs="楷体_GB2312"/>
          <w:b/>
          <w:bCs/>
          <w:sz w:val="32"/>
          <w:szCs w:val="32"/>
          <w:rtl w:val="0"/>
          <w:lang w:val="zh-TW" w:eastAsia="zh-TW"/>
        </w:rPr>
        <w:t>（三）年末结转和结余</w:t>
      </w:r>
      <w:r>
        <w:rPr>
          <w:rFonts w:ascii="楷体_GB2312" w:hAnsi="楷体_GB2312" w:eastAsia="楷体_GB2312" w:cs="楷体_GB2312"/>
          <w:b/>
          <w:bCs/>
          <w:sz w:val="32"/>
          <w:szCs w:val="32"/>
          <w:rtl w:val="0"/>
          <w:lang w:val="en-US"/>
        </w:rPr>
        <w:t>0</w:t>
      </w:r>
      <w:r>
        <w:rPr>
          <w:rFonts w:ascii="楷体_GB2312" w:hAnsi="楷体_GB2312" w:eastAsia="楷体_GB2312" w:cs="楷体_GB2312"/>
          <w:b/>
          <w:bCs/>
          <w:sz w:val="32"/>
          <w:szCs w:val="32"/>
          <w:rtl w:val="0"/>
          <w:lang w:val="zh-TW" w:eastAsia="zh-TW"/>
        </w:rPr>
        <w:t>万元。</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与上年相比，今年结转结余增加</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万元，增长</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，主要原因：沈阳市浑南区气象局为市直单位，无结转结余。</w:t>
      </w:r>
    </w:p>
    <w:p>
      <w:pPr>
        <w:pStyle w:val="8"/>
        <w:framePr w:wrap="auto" w:vAnchor="margin" w:hAnchor="text" w:yAlign="inline"/>
        <w:spacing w:line="540" w:lineRule="exact"/>
        <w:ind w:firstLine="660"/>
        <w:outlineLvl w:val="1"/>
        <w:rPr>
          <w:rFonts w:ascii="黑体" w:hAnsi="黑体" w:eastAsia="黑体" w:cs="黑体"/>
          <w:sz w:val="32"/>
          <w:szCs w:val="32"/>
          <w:lang w:val="zh-TW" w:eastAsia="zh-TW"/>
        </w:rPr>
      </w:pPr>
      <w:r>
        <w:rPr>
          <w:rFonts w:ascii="黑体" w:hAnsi="黑体" w:eastAsia="黑体" w:cs="黑体"/>
          <w:sz w:val="32"/>
          <w:szCs w:val="32"/>
          <w:rtl w:val="0"/>
          <w:lang w:val="zh-TW" w:eastAsia="zh-TW"/>
        </w:rPr>
        <w:t>二、财政拨款支出决算情况</w:t>
      </w:r>
    </w:p>
    <w:p>
      <w:pPr>
        <w:pStyle w:val="8"/>
        <w:framePr w:wrap="auto" w:vAnchor="margin" w:hAnchor="text" w:yAlign="inline"/>
        <w:spacing w:line="540" w:lineRule="exact"/>
        <w:ind w:firstLine="660"/>
        <w:outlineLvl w:val="2"/>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rtl w:val="0"/>
          <w:lang w:val="zh-TW" w:eastAsia="zh-TW"/>
        </w:rPr>
        <w:t>（一）总体情况。</w:t>
      </w:r>
    </w:p>
    <w:p>
      <w:pPr>
        <w:pStyle w:val="8"/>
        <w:framePr w:wrap="auto" w:vAnchor="margin" w:hAnchor="text" w:yAlign="inline"/>
        <w:spacing w:line="540" w:lineRule="exact"/>
        <w:ind w:firstLine="66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年度财政拨款支出</w:t>
      </w:r>
      <w:r>
        <w:rPr>
          <w:rFonts w:ascii="仿宋_GB2312" w:hAnsi="仿宋_GB2312" w:eastAsia="仿宋_GB2312" w:cs="仿宋_GB2312"/>
          <w:sz w:val="32"/>
          <w:szCs w:val="32"/>
          <w:rtl w:val="0"/>
          <w:lang w:val="zh-CN" w:eastAsia="zh-CN"/>
        </w:rPr>
        <w:t>237.21</w:t>
      </w:r>
      <w:r>
        <w:rPr>
          <w:rFonts w:ascii="仿宋_GB2312" w:hAnsi="仿宋_GB2312" w:eastAsia="仿宋_GB2312" w:cs="仿宋_GB2312"/>
          <w:sz w:val="32"/>
          <w:szCs w:val="32"/>
          <w:rtl w:val="0"/>
          <w:lang w:val="zh-TW" w:eastAsia="zh-TW"/>
        </w:rPr>
        <w:t>万元。与年初预算相比，</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年度财政拨款支出完成年初预算的</w:t>
      </w:r>
      <w:r>
        <w:rPr>
          <w:rFonts w:ascii="仿宋_GB2312" w:hAnsi="仿宋_GB2312" w:eastAsia="仿宋_GB2312" w:cs="仿宋_GB2312"/>
          <w:sz w:val="32"/>
          <w:szCs w:val="32"/>
          <w:rtl w:val="0"/>
          <w:lang w:val="zh-CN" w:eastAsia="zh-CN"/>
        </w:rPr>
        <w:t>100</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，其中：基本支出完成年初预算的</w:t>
      </w:r>
      <w:r>
        <w:rPr>
          <w:rFonts w:ascii="仿宋_GB2312" w:hAnsi="仿宋_GB2312" w:eastAsia="仿宋_GB2312" w:cs="仿宋_GB2312"/>
          <w:sz w:val="32"/>
          <w:szCs w:val="32"/>
          <w:rtl w:val="0"/>
          <w:lang w:val="zh-CN" w:eastAsia="zh-CN"/>
        </w:rPr>
        <w:t>100</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，项目完成年初预算的</w:t>
      </w:r>
      <w:r>
        <w:rPr>
          <w:rFonts w:ascii="仿宋_GB2312" w:hAnsi="仿宋_GB2312" w:eastAsia="仿宋_GB2312" w:cs="仿宋_GB2312"/>
          <w:sz w:val="32"/>
          <w:szCs w:val="32"/>
          <w:rtl w:val="0"/>
          <w:lang w:val="zh-CN" w:eastAsia="zh-CN"/>
        </w:rPr>
        <w:t>100</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p>
    <w:p>
      <w:pPr>
        <w:keepNext w:val="0"/>
        <w:keepLines w:val="0"/>
        <w:pageBreakBefore w:val="0"/>
        <w:framePr w:wrap="auto" w:vAnchor="margin" w:hAnchor="text" w:yAlign="inline"/>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（二）</w:t>
      </w:r>
      <w:r>
        <w:rPr>
          <w:rFonts w:hint="eastAsia" w:ascii="楷体_GB2312" w:hAnsi="宋体" w:eastAsia="楷体_GB2312"/>
          <w:b/>
          <w:sz w:val="32"/>
          <w:szCs w:val="32"/>
          <w:highlight w:val="none"/>
          <w:lang w:val="en-US" w:eastAsia="zh-CN"/>
        </w:rPr>
        <w:t>一般公共预算财政拨款支出</w:t>
      </w:r>
      <w:r>
        <w:rPr>
          <w:rFonts w:hint="eastAsia" w:ascii="楷体_GB2312" w:hAnsi="宋体" w:eastAsia="楷体_GB2312"/>
          <w:b/>
          <w:sz w:val="32"/>
          <w:szCs w:val="32"/>
          <w:highlight w:val="none"/>
        </w:rPr>
        <w:t>情况。</w:t>
      </w:r>
    </w:p>
    <w:p>
      <w:pPr>
        <w:pStyle w:val="8"/>
        <w:framePr w:wrap="auto" w:vAnchor="margin" w:hAnchor="text" w:yAlign="inline"/>
        <w:spacing w:line="540" w:lineRule="exact"/>
        <w:ind w:firstLine="660"/>
        <w:rPr>
          <w:rFonts w:hint="eastAsia" w:ascii="仿宋_GB2312" w:hAnsi="仿宋_GB2312" w:eastAsia="仿宋_GB2312" w:cs="仿宋_GB2312"/>
          <w:sz w:val="32"/>
          <w:szCs w:val="32"/>
          <w:rtl w:val="0"/>
          <w:lang w:val="en-US" w:eastAsia="zh-CN"/>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年度一般公共预算财政拨款支出</w:t>
      </w:r>
      <w:r>
        <w:rPr>
          <w:rFonts w:ascii="仿宋_GB2312" w:hAnsi="仿宋_GB2312" w:eastAsia="仿宋_GB2312" w:cs="仿宋_GB2312"/>
          <w:sz w:val="32"/>
          <w:szCs w:val="32"/>
          <w:rtl w:val="0"/>
          <w:lang w:val="zh-CN" w:eastAsia="zh-CN"/>
        </w:rPr>
        <w:t>237.21</w:t>
      </w:r>
      <w:r>
        <w:rPr>
          <w:rFonts w:hint="eastAsia" w:ascii="仿宋_GB2312" w:hAnsi="宋体" w:eastAsia="仿宋_GB2312"/>
          <w:sz w:val="32"/>
          <w:szCs w:val="32"/>
          <w:highlight w:val="none"/>
        </w:rPr>
        <w:t>万元，按支出功能分类科目分，包括</w:t>
      </w:r>
      <w:r>
        <w:rPr>
          <w:rFonts w:hint="eastAsia" w:ascii="仿宋_GB2312" w:hAnsi="宋体" w:eastAsia="仿宋_GB2312"/>
          <w:sz w:val="32"/>
          <w:szCs w:val="32"/>
          <w:highlight w:val="none"/>
          <w:lang w:eastAsia="zh-CN"/>
        </w:rPr>
        <w:t>：</w:t>
      </w:r>
      <w:r>
        <w:rPr>
          <w:rFonts w:ascii="仿宋_GB2312" w:hAnsi="仿宋_GB2312" w:eastAsia="仿宋_GB2312" w:cs="仿宋_GB2312"/>
          <w:sz w:val="32"/>
          <w:szCs w:val="32"/>
          <w:rtl w:val="0"/>
          <w:lang w:val="zh-CN" w:eastAsia="zh-CN"/>
        </w:rPr>
        <w:t>自然资源海洋气象支出229.61万元，</w:t>
      </w:r>
      <w:r>
        <w:rPr>
          <w:rFonts w:hint="eastAsia" w:ascii="仿宋_GB2312" w:hAnsi="仿宋_GB2312" w:eastAsia="仿宋_GB2312" w:cs="仿宋_GB2312"/>
          <w:sz w:val="32"/>
          <w:szCs w:val="32"/>
          <w:rtl w:val="0"/>
          <w:lang w:val="zh-CN" w:eastAsia="zh-CN"/>
        </w:rPr>
        <w:t>占</w:t>
      </w:r>
      <w:r>
        <w:rPr>
          <w:rFonts w:hint="eastAsia" w:ascii="仿宋_GB2312" w:hAnsi="仿宋_GB2312" w:eastAsia="仿宋_GB2312" w:cs="仿宋_GB2312"/>
          <w:sz w:val="32"/>
          <w:szCs w:val="32"/>
          <w:rtl w:val="0"/>
          <w:lang w:val="en-US" w:eastAsia="zh-CN"/>
        </w:rPr>
        <w:t>96.79%；</w:t>
      </w:r>
      <w:r>
        <w:rPr>
          <w:rFonts w:ascii="仿宋_GB2312" w:hAnsi="仿宋_GB2312" w:eastAsia="仿宋_GB2312" w:cs="仿宋_GB2312"/>
          <w:sz w:val="32"/>
          <w:szCs w:val="32"/>
          <w:rtl w:val="0"/>
          <w:lang w:val="zh-CN" w:eastAsia="zh-CN"/>
        </w:rPr>
        <w:t>灾害防治及应急管理支出7.6万元</w:t>
      </w:r>
      <w:r>
        <w:rPr>
          <w:rFonts w:hint="eastAsia" w:ascii="仿宋_GB2312" w:hAnsi="仿宋_GB2312" w:eastAsia="仿宋_GB2312" w:cs="仿宋_GB2312"/>
          <w:sz w:val="32"/>
          <w:szCs w:val="32"/>
          <w:rtl w:val="0"/>
          <w:lang w:val="zh-CN" w:eastAsia="zh-CN"/>
        </w:rPr>
        <w:t>，占</w:t>
      </w:r>
      <w:r>
        <w:rPr>
          <w:rFonts w:hint="eastAsia" w:ascii="仿宋_GB2312" w:hAnsi="仿宋_GB2312" w:eastAsia="仿宋_GB2312" w:cs="仿宋_GB2312"/>
          <w:sz w:val="32"/>
          <w:szCs w:val="32"/>
          <w:rtl w:val="0"/>
          <w:lang w:val="en-US" w:eastAsia="zh-CN"/>
        </w:rPr>
        <w:t>3.2%。</w:t>
      </w:r>
    </w:p>
    <w:p>
      <w:pPr>
        <w:framePr w:wrap="auto" w:vAnchor="margin" w:hAnchor="text" w:yAlign="inline"/>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1.自然资源海洋气象等支出</w:t>
      </w:r>
      <w:r>
        <w:rPr>
          <w:rFonts w:ascii="仿宋_GB2312" w:hAnsi="仿宋_GB2312" w:eastAsia="仿宋_GB2312" w:cs="仿宋_GB2312"/>
          <w:sz w:val="32"/>
          <w:szCs w:val="32"/>
          <w:rtl w:val="0"/>
          <w:lang w:val="zh-CN" w:eastAsia="zh-CN"/>
        </w:rPr>
        <w:t>229.61万元</w:t>
      </w:r>
      <w:r>
        <w:rPr>
          <w:rFonts w:hint="eastAsia" w:ascii="仿宋_GB2312" w:hAnsi="宋体" w:eastAsia="仿宋_GB2312"/>
          <w:sz w:val="32"/>
          <w:szCs w:val="32"/>
        </w:rPr>
        <w:t>，具体包括：</w:t>
      </w:r>
    </w:p>
    <w:p>
      <w:pPr>
        <w:framePr w:wrap="auto" w:vAnchor="margin" w:hAnchor="text" w:yAlign="inline"/>
        <w:spacing w:line="540" w:lineRule="exact"/>
        <w:ind w:firstLine="660"/>
        <w:rPr>
          <w:rFonts w:ascii="仿宋_GB2312" w:hAnsi="宋体" w:eastAsia="仿宋_GB2312"/>
          <w:sz w:val="32"/>
          <w:szCs w:val="32"/>
        </w:rPr>
      </w:pPr>
      <w:r>
        <w:rPr>
          <w:rFonts w:hint="eastAsia" w:ascii="仿宋_GB2312" w:hAnsi="宋体" w:eastAsia="仿宋_GB2312"/>
          <w:sz w:val="32"/>
          <w:szCs w:val="32"/>
        </w:rPr>
        <w:t>（1）自然资源海洋气象（类）气象事务（款）行政运行（项）98.21万元，</w:t>
      </w:r>
      <w:r>
        <w:rPr>
          <w:rFonts w:hint="eastAsia" w:ascii="仿宋_GB2312" w:hAnsi="宋体" w:eastAsia="仿宋_GB2312"/>
          <w:sz w:val="32"/>
          <w:szCs w:val="32"/>
          <w:highlight w:val="none"/>
        </w:rPr>
        <w:t>主要</w:t>
      </w:r>
      <w:r>
        <w:rPr>
          <w:rFonts w:hint="eastAsia" w:ascii="仿宋_GB2312" w:hAnsi="宋体" w:eastAsia="仿宋_GB2312"/>
          <w:sz w:val="32"/>
          <w:szCs w:val="32"/>
        </w:rPr>
        <w:t>自然资源海洋气象</w:t>
      </w:r>
      <w:r>
        <w:rPr>
          <w:rFonts w:hint="eastAsia" w:ascii="仿宋_GB2312" w:hAnsi="宋体" w:eastAsia="仿宋_GB2312"/>
          <w:sz w:val="32"/>
          <w:szCs w:val="32"/>
          <w:highlight w:val="none"/>
        </w:rPr>
        <w:t>等支出，完成年初预算的</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等于</w:t>
      </w:r>
      <w:r>
        <w:rPr>
          <w:rFonts w:hint="eastAsia" w:ascii="仿宋_GB2312" w:hAnsi="宋体" w:eastAsia="仿宋_GB2312"/>
          <w:sz w:val="32"/>
          <w:szCs w:val="32"/>
          <w:highlight w:val="none"/>
        </w:rPr>
        <w:t>年初预算数的原因主要是</w:t>
      </w:r>
      <w:r>
        <w:rPr>
          <w:rFonts w:hint="eastAsia" w:ascii="仿宋_GB2312" w:hAnsi="宋体" w:eastAsia="仿宋_GB2312"/>
          <w:sz w:val="32"/>
          <w:szCs w:val="32"/>
          <w:highlight w:val="none"/>
          <w:lang w:eastAsia="zh-CN"/>
        </w:rPr>
        <w:t>严格按照年初预算实行</w:t>
      </w:r>
      <w:r>
        <w:rPr>
          <w:rFonts w:hint="eastAsia" w:ascii="仿宋_GB2312" w:hAnsi="宋体" w:eastAsia="仿宋_GB2312"/>
          <w:sz w:val="32"/>
          <w:szCs w:val="32"/>
        </w:rPr>
        <w:t>。</w:t>
      </w:r>
    </w:p>
    <w:p>
      <w:pPr>
        <w:framePr w:wrap="auto" w:vAnchor="margin" w:hAnchor="text" w:yAlign="inline"/>
        <w:spacing w:line="540" w:lineRule="exact"/>
        <w:ind w:firstLine="660"/>
        <w:rPr>
          <w:rFonts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2</w:t>
      </w:r>
      <w:r>
        <w:rPr>
          <w:rFonts w:hint="eastAsia" w:ascii="仿宋_GB2312" w:hAnsi="宋体" w:eastAsia="仿宋_GB2312"/>
          <w:sz w:val="32"/>
          <w:szCs w:val="32"/>
        </w:rPr>
        <w:t>）自然资源海洋气象（类）气象事务（款）一般行政管理事务45万元，</w:t>
      </w:r>
      <w:r>
        <w:rPr>
          <w:rFonts w:hint="eastAsia" w:ascii="仿宋_GB2312" w:hAnsi="宋体" w:eastAsia="仿宋_GB2312"/>
          <w:sz w:val="32"/>
          <w:szCs w:val="32"/>
          <w:highlight w:val="none"/>
        </w:rPr>
        <w:t>主要是</w:t>
      </w:r>
      <w:r>
        <w:rPr>
          <w:rFonts w:hint="eastAsia" w:ascii="仿宋_GB2312" w:hAnsi="宋体" w:eastAsia="仿宋_GB2312"/>
          <w:sz w:val="32"/>
          <w:szCs w:val="32"/>
        </w:rPr>
        <w:t>自然资源海洋气象</w:t>
      </w:r>
      <w:r>
        <w:rPr>
          <w:rFonts w:hint="eastAsia" w:ascii="仿宋_GB2312" w:hAnsi="宋体" w:eastAsia="仿宋_GB2312"/>
          <w:sz w:val="32"/>
          <w:szCs w:val="32"/>
          <w:highlight w:val="none"/>
        </w:rPr>
        <w:t>等支出，完成年初预算的</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等于</w:t>
      </w:r>
      <w:r>
        <w:rPr>
          <w:rFonts w:hint="eastAsia" w:ascii="仿宋_GB2312" w:hAnsi="宋体" w:eastAsia="仿宋_GB2312"/>
          <w:sz w:val="32"/>
          <w:szCs w:val="32"/>
          <w:highlight w:val="none"/>
        </w:rPr>
        <w:t>年初预算数的原因主要是</w:t>
      </w:r>
      <w:r>
        <w:rPr>
          <w:rFonts w:hint="eastAsia" w:ascii="仿宋_GB2312" w:hAnsi="宋体" w:eastAsia="仿宋_GB2312"/>
          <w:sz w:val="32"/>
          <w:szCs w:val="32"/>
          <w:highlight w:val="none"/>
          <w:lang w:eastAsia="zh-CN"/>
        </w:rPr>
        <w:t>严格按照年初预算实行</w:t>
      </w:r>
      <w:r>
        <w:rPr>
          <w:rFonts w:hint="eastAsia" w:ascii="仿宋_GB2312" w:hAnsi="宋体" w:eastAsia="仿宋_GB2312"/>
          <w:sz w:val="32"/>
          <w:szCs w:val="32"/>
        </w:rPr>
        <w:t>。</w:t>
      </w:r>
    </w:p>
    <w:p>
      <w:pPr>
        <w:framePr w:wrap="auto" w:vAnchor="margin" w:hAnchor="text" w:yAlign="inline"/>
        <w:spacing w:line="540" w:lineRule="exact"/>
        <w:ind w:firstLine="660"/>
        <w:rPr>
          <w:rFonts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3</w:t>
      </w:r>
      <w:r>
        <w:rPr>
          <w:rFonts w:hint="eastAsia" w:ascii="仿宋_GB2312" w:hAnsi="宋体" w:eastAsia="仿宋_GB2312"/>
          <w:sz w:val="32"/>
          <w:szCs w:val="32"/>
        </w:rPr>
        <w:t>）自然资源海洋气象（类）气象事务（款）气象服务（项）86.4万元，</w:t>
      </w:r>
      <w:r>
        <w:rPr>
          <w:rFonts w:hint="eastAsia" w:ascii="仿宋_GB2312" w:hAnsi="宋体" w:eastAsia="仿宋_GB2312"/>
          <w:sz w:val="32"/>
          <w:szCs w:val="32"/>
          <w:highlight w:val="none"/>
        </w:rPr>
        <w:t>主要是</w:t>
      </w:r>
      <w:r>
        <w:rPr>
          <w:rFonts w:hint="eastAsia" w:ascii="仿宋_GB2312" w:hAnsi="宋体" w:eastAsia="仿宋_GB2312"/>
          <w:sz w:val="32"/>
          <w:szCs w:val="32"/>
        </w:rPr>
        <w:t>气象服务</w:t>
      </w:r>
      <w:r>
        <w:rPr>
          <w:rFonts w:hint="eastAsia" w:ascii="仿宋_GB2312" w:hAnsi="宋体" w:eastAsia="仿宋_GB2312"/>
          <w:sz w:val="32"/>
          <w:szCs w:val="32"/>
          <w:highlight w:val="none"/>
        </w:rPr>
        <w:t>等支出，完成年初预算的</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等于</w:t>
      </w:r>
      <w:r>
        <w:rPr>
          <w:rFonts w:hint="eastAsia" w:ascii="仿宋_GB2312" w:hAnsi="宋体" w:eastAsia="仿宋_GB2312"/>
          <w:sz w:val="32"/>
          <w:szCs w:val="32"/>
          <w:highlight w:val="none"/>
        </w:rPr>
        <w:t>年初预算数的原因主要是</w:t>
      </w:r>
      <w:r>
        <w:rPr>
          <w:rFonts w:hint="eastAsia" w:ascii="仿宋_GB2312" w:hAnsi="宋体" w:eastAsia="仿宋_GB2312"/>
          <w:sz w:val="32"/>
          <w:szCs w:val="32"/>
          <w:highlight w:val="none"/>
          <w:lang w:eastAsia="zh-CN"/>
        </w:rPr>
        <w:t>严格按照年初预算实行。</w:t>
      </w:r>
    </w:p>
    <w:p>
      <w:pPr>
        <w:framePr w:wrap="auto" w:vAnchor="margin" w:hAnchor="text" w:yAlign="inline"/>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ascii="仿宋_GB2312" w:hAnsi="宋体" w:eastAsia="仿宋_GB2312"/>
          <w:sz w:val="32"/>
          <w:szCs w:val="32"/>
        </w:rPr>
        <w:t>.</w:t>
      </w:r>
      <w:r>
        <w:rPr>
          <w:rFonts w:hint="eastAsia" w:ascii="仿宋_GB2312" w:hAnsi="宋体" w:eastAsia="仿宋_GB2312"/>
          <w:sz w:val="32"/>
          <w:szCs w:val="32"/>
        </w:rPr>
        <w:t>灾害防治及应急管理支出7.6万元。</w:t>
      </w:r>
    </w:p>
    <w:p>
      <w:pPr>
        <w:framePr w:wrap="auto" w:vAnchor="margin" w:hAnchor="text" w:yAlign="inline"/>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rPr>
        <w:t>（1）灾害防治及应急管理支出（类）应急管理事务（款）其他应急管理支出（项）7.6万元，</w:t>
      </w:r>
      <w:r>
        <w:rPr>
          <w:rFonts w:hint="eastAsia" w:ascii="仿宋_GB2312" w:hAnsi="宋体" w:eastAsia="仿宋_GB2312"/>
          <w:sz w:val="32"/>
          <w:szCs w:val="32"/>
          <w:highlight w:val="none"/>
        </w:rPr>
        <w:t>主要是</w:t>
      </w:r>
      <w:r>
        <w:rPr>
          <w:rFonts w:hint="eastAsia" w:ascii="仿宋_GB2312" w:hAnsi="宋体" w:eastAsia="仿宋_GB2312"/>
          <w:sz w:val="32"/>
          <w:szCs w:val="32"/>
        </w:rPr>
        <w:t>灾害防治及应急管理支出</w:t>
      </w:r>
      <w:r>
        <w:rPr>
          <w:rFonts w:hint="eastAsia" w:ascii="仿宋_GB2312" w:hAnsi="宋体" w:eastAsia="仿宋_GB2312"/>
          <w:sz w:val="32"/>
          <w:szCs w:val="32"/>
          <w:highlight w:val="none"/>
        </w:rPr>
        <w:t>等支出，完成年初预算的</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%，决算数</w:t>
      </w:r>
      <w:r>
        <w:rPr>
          <w:rFonts w:hint="eastAsia" w:ascii="仿宋_GB2312" w:hAnsi="宋体" w:eastAsia="仿宋_GB2312"/>
          <w:sz w:val="32"/>
          <w:szCs w:val="32"/>
          <w:highlight w:val="none"/>
          <w:lang w:eastAsia="zh-CN"/>
        </w:rPr>
        <w:t>等于</w:t>
      </w:r>
      <w:r>
        <w:rPr>
          <w:rFonts w:hint="eastAsia" w:ascii="仿宋_GB2312" w:hAnsi="宋体" w:eastAsia="仿宋_GB2312"/>
          <w:sz w:val="32"/>
          <w:szCs w:val="32"/>
          <w:highlight w:val="none"/>
        </w:rPr>
        <w:t>年初预算数的原因主要是</w:t>
      </w:r>
      <w:r>
        <w:rPr>
          <w:rFonts w:hint="eastAsia" w:ascii="仿宋_GB2312" w:hAnsi="宋体" w:eastAsia="仿宋_GB2312"/>
          <w:sz w:val="32"/>
          <w:szCs w:val="32"/>
          <w:highlight w:val="none"/>
          <w:lang w:eastAsia="zh-CN"/>
        </w:rPr>
        <w:t>严格按照年初预算实行。</w:t>
      </w:r>
    </w:p>
    <w:p>
      <w:pPr>
        <w:keepNext w:val="0"/>
        <w:keepLines w:val="0"/>
        <w:pageBreakBefore w:val="0"/>
        <w:framePr w:wrap="auto" w:vAnchor="margin" w:hAnchor="text" w:yAlign="inline"/>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三</w:t>
      </w: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政府性基金预算财政拨款支出</w:t>
      </w:r>
      <w:r>
        <w:rPr>
          <w:rFonts w:hint="eastAsia" w:ascii="楷体_GB2312" w:hAnsi="宋体" w:eastAsia="楷体_GB2312"/>
          <w:b/>
          <w:sz w:val="32"/>
          <w:szCs w:val="32"/>
          <w:highlight w:val="none"/>
        </w:rPr>
        <w:t>情况。</w:t>
      </w:r>
    </w:p>
    <w:p>
      <w:pPr>
        <w:keepNext w:val="0"/>
        <w:keepLines w:val="0"/>
        <w:pageBreakBefore w:val="0"/>
        <w:framePr w:wrap="auto" w:vAnchor="margin" w:hAnchor="text" w:yAlign="inline"/>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年度政府性基金预算财政拨款支出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占</w:t>
      </w:r>
      <w:r>
        <w:rPr>
          <w:rFonts w:hint="eastAsia" w:ascii="仿宋_GB2312" w:hAnsi="宋体" w:eastAsia="仿宋_GB2312"/>
          <w:sz w:val="32"/>
          <w:szCs w:val="32"/>
          <w:highlight w:val="none"/>
          <w:lang w:val="en-US" w:eastAsia="zh-CN"/>
        </w:rPr>
        <w:t>0%，主要是本年无此业务</w:t>
      </w:r>
      <w:r>
        <w:rPr>
          <w:rFonts w:hint="eastAsia" w:ascii="仿宋_GB2312" w:hAnsi="宋体" w:eastAsia="仿宋_GB2312"/>
          <w:sz w:val="32"/>
          <w:szCs w:val="32"/>
          <w:highlight w:val="none"/>
        </w:rPr>
        <w:t>。</w:t>
      </w:r>
    </w:p>
    <w:p>
      <w:pPr>
        <w:keepNext w:val="0"/>
        <w:keepLines w:val="0"/>
        <w:pageBreakBefore w:val="0"/>
        <w:framePr w:wrap="auto" w:vAnchor="margin" w:hAnchor="text" w:yAlign="inline"/>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四</w:t>
      </w: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国有资本经营预算财政拨款支出</w:t>
      </w:r>
      <w:r>
        <w:rPr>
          <w:rFonts w:hint="eastAsia" w:ascii="楷体_GB2312" w:hAnsi="宋体" w:eastAsia="楷体_GB2312"/>
          <w:b/>
          <w:sz w:val="32"/>
          <w:szCs w:val="32"/>
          <w:highlight w:val="none"/>
        </w:rPr>
        <w:t>情况。</w:t>
      </w:r>
    </w:p>
    <w:p>
      <w:pPr>
        <w:keepNext w:val="0"/>
        <w:keepLines w:val="0"/>
        <w:pageBreakBefore w:val="0"/>
        <w:framePr w:wrap="auto" w:vAnchor="margin" w:hAnchor="text" w:yAlign="inline"/>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年度国有资本经营预算财政拨款支出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占</w:t>
      </w:r>
      <w:r>
        <w:rPr>
          <w:rFonts w:hint="eastAsia" w:ascii="仿宋_GB2312" w:hAnsi="宋体" w:eastAsia="仿宋_GB2312"/>
          <w:sz w:val="32"/>
          <w:szCs w:val="32"/>
          <w:highlight w:val="none"/>
          <w:lang w:val="en-US" w:eastAsia="zh-CN"/>
        </w:rPr>
        <w:t>0%，主要是本年无此业务</w:t>
      </w:r>
      <w:r>
        <w:rPr>
          <w:rFonts w:hint="eastAsia" w:ascii="仿宋_GB2312" w:hAnsi="宋体" w:eastAsia="仿宋_GB2312"/>
          <w:sz w:val="32"/>
          <w:szCs w:val="32"/>
          <w:highlight w:val="none"/>
        </w:rPr>
        <w:t>。</w:t>
      </w:r>
    </w:p>
    <w:p>
      <w:pPr>
        <w:framePr w:wrap="auto" w:vAnchor="margin" w:hAnchor="text" w:yAlign="inline"/>
        <w:spacing w:line="540" w:lineRule="exact"/>
        <w:ind w:firstLine="660"/>
        <w:rPr>
          <w:rFonts w:hint="eastAsia" w:ascii="仿宋_GB2312" w:hAnsi="宋体" w:eastAsia="仿宋_GB2312"/>
          <w:sz w:val="32"/>
          <w:szCs w:val="32"/>
          <w:highlight w:val="none"/>
          <w:lang w:eastAsia="zh-CN"/>
        </w:rPr>
      </w:pPr>
    </w:p>
    <w:p>
      <w:pPr>
        <w:pStyle w:val="8"/>
        <w:framePr w:wrap="auto" w:vAnchor="margin" w:hAnchor="text" w:yAlign="inline"/>
        <w:spacing w:line="540" w:lineRule="exact"/>
        <w:ind w:firstLine="660"/>
        <w:outlineLvl w:val="1"/>
        <w:rPr>
          <w:rFonts w:ascii="仿宋_GB2312" w:hAnsi="仿宋_GB2312" w:eastAsia="仿宋_GB2312" w:cs="仿宋_GB2312"/>
          <w:b/>
          <w:bCs/>
          <w:outline w:val="0"/>
          <w:color w:val="FF0000"/>
          <w:sz w:val="32"/>
          <w:szCs w:val="32"/>
          <w:u w:color="FF0000"/>
        </w:rPr>
      </w:pPr>
      <w:r>
        <w:rPr>
          <w:rFonts w:ascii="黑体" w:hAnsi="黑体" w:eastAsia="黑体" w:cs="黑体"/>
          <w:sz w:val="32"/>
          <w:szCs w:val="32"/>
          <w:rtl w:val="0"/>
          <w:lang w:val="zh-TW" w:eastAsia="zh-TW"/>
        </w:rPr>
        <w:t>三、一般公共预算财政拨款</w:t>
      </w:r>
      <w:r>
        <w:rPr>
          <w:rFonts w:ascii="黑体" w:hAnsi="黑体" w:eastAsia="黑体" w:cs="黑体"/>
          <w:sz w:val="32"/>
          <w:szCs w:val="32"/>
          <w:rtl w:val="0"/>
          <w:lang w:val="en-US"/>
        </w:rPr>
        <w:t>“</w:t>
      </w:r>
      <w:r>
        <w:rPr>
          <w:rFonts w:ascii="黑体" w:hAnsi="黑体" w:eastAsia="黑体" w:cs="黑体"/>
          <w:sz w:val="32"/>
          <w:szCs w:val="32"/>
          <w:rtl w:val="0"/>
          <w:lang w:val="zh-TW" w:eastAsia="zh-TW"/>
        </w:rPr>
        <w:t>三公</w:t>
      </w:r>
      <w:r>
        <w:rPr>
          <w:rFonts w:ascii="黑体" w:hAnsi="黑体" w:eastAsia="黑体" w:cs="黑体"/>
          <w:sz w:val="32"/>
          <w:szCs w:val="32"/>
          <w:rtl w:val="0"/>
          <w:lang w:val="en-US"/>
        </w:rPr>
        <w:t>”</w:t>
      </w:r>
      <w:r>
        <w:rPr>
          <w:rFonts w:ascii="黑体" w:hAnsi="黑体" w:eastAsia="黑体" w:cs="黑体"/>
          <w:sz w:val="32"/>
          <w:szCs w:val="32"/>
          <w:rtl w:val="0"/>
          <w:lang w:val="zh-TW" w:eastAsia="zh-TW"/>
        </w:rPr>
        <w:t>经费支出决算情况</w:t>
      </w:r>
    </w:p>
    <w:p>
      <w:pPr>
        <w:pStyle w:val="8"/>
        <w:framePr w:wrap="auto" w:vAnchor="margin" w:hAnchor="text" w:yAlign="inline"/>
        <w:spacing w:line="540" w:lineRule="exact"/>
        <w:ind w:firstLine="645"/>
        <w:rPr>
          <w:rFonts w:ascii="仿宋_GB2312" w:hAnsi="仿宋_GB2312" w:eastAsia="仿宋_GB2312" w:cs="仿宋_GB2312"/>
          <w:sz w:val="32"/>
          <w:szCs w:val="32"/>
          <w:shd w:val="clear" w:color="auto" w:fill="auto"/>
        </w:rPr>
      </w:pPr>
      <w:r>
        <w:rPr>
          <w:rFonts w:ascii="仿宋_GB2312" w:hAnsi="仿宋_GB2312" w:eastAsia="仿宋_GB2312" w:cs="仿宋_GB2312"/>
          <w:sz w:val="32"/>
          <w:szCs w:val="32"/>
          <w:shd w:val="clear" w:color="auto" w:fill="auto"/>
          <w:rtl w:val="0"/>
          <w:lang w:val="en-US"/>
        </w:rPr>
        <w:t>2020</w:t>
      </w:r>
      <w:r>
        <w:rPr>
          <w:rFonts w:ascii="仿宋_GB2312" w:hAnsi="仿宋_GB2312" w:eastAsia="仿宋_GB2312" w:cs="仿宋_GB2312"/>
          <w:sz w:val="32"/>
          <w:szCs w:val="32"/>
          <w:shd w:val="clear" w:color="auto" w:fill="auto"/>
          <w:rtl w:val="0"/>
          <w:lang w:val="zh-TW" w:eastAsia="zh-TW"/>
        </w:rPr>
        <w:t>年度一般公共预算财政拨款安排的</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三公</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经费支出</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万元，完成年初预算的</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，决算数与年初预算数持平的主要原因是无此业务发生。其中：因公出国（境）费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万元，公务接待费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万元，公务用车购置及运行维护费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w:t>
      </w:r>
    </w:p>
    <w:p>
      <w:pPr>
        <w:pStyle w:val="8"/>
        <w:framePr w:wrap="auto" w:vAnchor="margin" w:hAnchor="text" w:yAlign="inline"/>
        <w:spacing w:line="540" w:lineRule="exact"/>
        <w:ind w:firstLine="645"/>
        <w:rPr>
          <w:rFonts w:ascii="仿宋_GB2312" w:hAnsi="仿宋_GB2312" w:eastAsia="仿宋_GB2312" w:cs="仿宋_GB2312"/>
          <w:sz w:val="32"/>
          <w:szCs w:val="32"/>
          <w:shd w:val="clear" w:color="auto" w:fill="auto"/>
        </w:rPr>
      </w:pPr>
      <w:r>
        <w:rPr>
          <w:rFonts w:ascii="仿宋_GB2312" w:hAnsi="仿宋_GB2312" w:eastAsia="仿宋_GB2312" w:cs="仿宋_GB2312"/>
          <w:sz w:val="32"/>
          <w:szCs w:val="32"/>
          <w:shd w:val="clear" w:color="auto" w:fill="auto"/>
          <w:rtl w:val="0"/>
          <w:lang w:val="en-US"/>
        </w:rPr>
        <w:t>1.</w:t>
      </w:r>
      <w:r>
        <w:rPr>
          <w:rFonts w:ascii="仿宋_GB2312" w:hAnsi="仿宋_GB2312" w:eastAsia="仿宋_GB2312" w:cs="仿宋_GB2312"/>
          <w:sz w:val="32"/>
          <w:szCs w:val="32"/>
          <w:shd w:val="clear" w:color="auto" w:fill="auto"/>
          <w:rtl w:val="0"/>
          <w:lang w:val="zh-TW" w:eastAsia="zh-TW"/>
        </w:rPr>
        <w:t>因公出国（境）费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万元，占</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三公</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经费支出的</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w:t>
      </w:r>
      <w:r>
        <w:rPr>
          <w:rFonts w:ascii="仿宋_GB2312" w:hAnsi="仿宋_GB2312" w:eastAsia="仿宋_GB2312" w:cs="仿宋_GB2312"/>
          <w:sz w:val="32"/>
          <w:szCs w:val="32"/>
          <w:shd w:val="clear" w:color="auto" w:fill="auto"/>
          <w:rtl w:val="0"/>
          <w:lang w:val="en-US"/>
        </w:rPr>
        <w:t>2020</w:t>
      </w:r>
      <w:r>
        <w:rPr>
          <w:rFonts w:ascii="仿宋_GB2312" w:hAnsi="仿宋_GB2312" w:eastAsia="仿宋_GB2312" w:cs="仿宋_GB2312"/>
          <w:sz w:val="32"/>
          <w:szCs w:val="32"/>
          <w:shd w:val="clear" w:color="auto" w:fill="auto"/>
          <w:rtl w:val="0"/>
          <w:lang w:val="zh-TW" w:eastAsia="zh-TW"/>
        </w:rPr>
        <w:t>年参加出国（境）团组</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个，累计</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人次</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主要为参加</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团等。</w:t>
      </w:r>
      <w:r>
        <w:rPr>
          <w:rFonts w:ascii="仿宋_GB2312" w:hAnsi="仿宋_GB2312" w:eastAsia="仿宋_GB2312" w:cs="仿宋_GB2312"/>
          <w:sz w:val="32"/>
          <w:szCs w:val="32"/>
          <w:shd w:val="clear" w:color="auto" w:fill="auto"/>
          <w:rtl w:val="0"/>
          <w:lang w:val="en-US"/>
        </w:rPr>
        <w:t>2020</w:t>
      </w:r>
      <w:r>
        <w:rPr>
          <w:rFonts w:ascii="仿宋_GB2312" w:hAnsi="仿宋_GB2312" w:eastAsia="仿宋_GB2312" w:cs="仿宋_GB2312"/>
          <w:sz w:val="32"/>
          <w:szCs w:val="32"/>
          <w:shd w:val="clear" w:color="auto" w:fill="auto"/>
          <w:rtl w:val="0"/>
          <w:lang w:val="zh-TW" w:eastAsia="zh-TW"/>
        </w:rPr>
        <w:t>年因公出国（境）费比年初预算持平，</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万元，主要是无此业务的原因。</w:t>
      </w:r>
    </w:p>
    <w:p>
      <w:pPr>
        <w:pStyle w:val="8"/>
        <w:framePr w:wrap="auto" w:vAnchor="margin" w:hAnchor="text" w:yAlign="inline"/>
        <w:spacing w:line="540" w:lineRule="exact"/>
        <w:ind w:firstLine="645"/>
        <w:rPr>
          <w:rFonts w:ascii="仿宋_GB2312" w:hAnsi="仿宋_GB2312" w:eastAsia="仿宋_GB2312" w:cs="仿宋_GB2312"/>
          <w:sz w:val="32"/>
          <w:szCs w:val="32"/>
          <w:shd w:val="clear" w:color="auto" w:fill="auto"/>
        </w:rPr>
      </w:pPr>
      <w:r>
        <w:rPr>
          <w:rFonts w:ascii="仿宋_GB2312" w:hAnsi="仿宋_GB2312" w:eastAsia="仿宋_GB2312" w:cs="仿宋_GB2312"/>
          <w:sz w:val="32"/>
          <w:szCs w:val="32"/>
          <w:shd w:val="clear" w:color="auto" w:fill="auto"/>
          <w:rtl w:val="0"/>
          <w:lang w:val="en-US"/>
        </w:rPr>
        <w:t>2.</w:t>
      </w:r>
      <w:r>
        <w:rPr>
          <w:rFonts w:ascii="仿宋_GB2312" w:hAnsi="仿宋_GB2312" w:eastAsia="仿宋_GB2312" w:cs="仿宋_GB2312"/>
          <w:sz w:val="32"/>
          <w:szCs w:val="32"/>
          <w:shd w:val="clear" w:color="auto" w:fill="auto"/>
          <w:rtl w:val="0"/>
          <w:lang w:val="zh-TW" w:eastAsia="zh-TW"/>
        </w:rPr>
        <w:t>公务接待费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万元，占</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三公</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经费支出的</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w:t>
      </w:r>
      <w:r>
        <w:rPr>
          <w:rFonts w:ascii="仿宋_GB2312" w:hAnsi="仿宋_GB2312" w:eastAsia="仿宋_GB2312" w:cs="仿宋_GB2312"/>
          <w:sz w:val="32"/>
          <w:szCs w:val="32"/>
          <w:shd w:val="clear" w:color="auto" w:fill="auto"/>
          <w:rtl w:val="0"/>
          <w:lang w:val="en-US"/>
        </w:rPr>
        <w:t>2020</w:t>
      </w:r>
      <w:r>
        <w:rPr>
          <w:rFonts w:ascii="仿宋_GB2312" w:hAnsi="仿宋_GB2312" w:eastAsia="仿宋_GB2312" w:cs="仿宋_GB2312"/>
          <w:sz w:val="32"/>
          <w:szCs w:val="32"/>
          <w:shd w:val="clear" w:color="auto" w:fill="auto"/>
          <w:rtl w:val="0"/>
          <w:lang w:val="zh-TW" w:eastAsia="zh-TW"/>
        </w:rPr>
        <w:t>年国内公务接待累计</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批次、</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人、</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万元；其中外事接待累计</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批次、</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人、</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w:t>
      </w:r>
      <w:r>
        <w:rPr>
          <w:rFonts w:ascii="仿宋_GB2312" w:hAnsi="仿宋_GB2312" w:eastAsia="仿宋_GB2312" w:cs="仿宋_GB2312"/>
          <w:sz w:val="32"/>
          <w:szCs w:val="32"/>
          <w:shd w:val="clear" w:color="auto" w:fill="auto"/>
          <w:rtl w:val="0"/>
          <w:lang w:val="en-US"/>
        </w:rPr>
        <w:t>2020</w:t>
      </w:r>
      <w:r>
        <w:rPr>
          <w:rFonts w:ascii="仿宋_GB2312" w:hAnsi="仿宋_GB2312" w:eastAsia="仿宋_GB2312" w:cs="仿宋_GB2312"/>
          <w:sz w:val="32"/>
          <w:szCs w:val="32"/>
          <w:shd w:val="clear" w:color="auto" w:fill="auto"/>
          <w:rtl w:val="0"/>
          <w:lang w:val="zh-TW" w:eastAsia="zh-TW"/>
        </w:rPr>
        <w:t>年公务接待费比年初预算持平，</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万元，主要是无此业务的原因。</w:t>
      </w:r>
    </w:p>
    <w:p>
      <w:pPr>
        <w:pStyle w:val="8"/>
        <w:framePr w:wrap="auto" w:vAnchor="margin" w:hAnchor="text" w:yAlign="inline"/>
        <w:spacing w:line="540" w:lineRule="exact"/>
        <w:ind w:firstLine="645"/>
        <w:rPr>
          <w:rFonts w:ascii="仿宋_GB2312" w:hAnsi="仿宋_GB2312" w:eastAsia="仿宋_GB2312" w:cs="仿宋_GB2312"/>
          <w:sz w:val="32"/>
          <w:szCs w:val="32"/>
          <w:shd w:val="clear" w:color="auto" w:fill="auto"/>
        </w:rPr>
      </w:pPr>
      <w:r>
        <w:rPr>
          <w:rFonts w:ascii="仿宋_GB2312" w:hAnsi="仿宋_GB2312" w:eastAsia="仿宋_GB2312" w:cs="仿宋_GB2312"/>
          <w:sz w:val="32"/>
          <w:szCs w:val="32"/>
          <w:shd w:val="clear" w:color="auto" w:fill="auto"/>
          <w:rtl w:val="0"/>
          <w:lang w:val="en-US"/>
        </w:rPr>
        <w:t>3.</w:t>
      </w:r>
      <w:r>
        <w:rPr>
          <w:rFonts w:ascii="Times New Roman" w:hAnsi="Times New Roman"/>
          <w:shd w:val="clear" w:color="auto" w:fill="auto"/>
          <w:rtl w:val="0"/>
          <w:lang w:val="en-US"/>
        </w:rPr>
        <w:t xml:space="preserve"> </w:t>
      </w:r>
      <w:r>
        <w:rPr>
          <w:rFonts w:ascii="仿宋_GB2312" w:hAnsi="仿宋_GB2312" w:eastAsia="仿宋_GB2312" w:cs="仿宋_GB2312"/>
          <w:sz w:val="32"/>
          <w:szCs w:val="32"/>
          <w:shd w:val="clear" w:color="auto" w:fill="auto"/>
          <w:rtl w:val="0"/>
          <w:lang w:val="zh-TW" w:eastAsia="zh-TW"/>
        </w:rPr>
        <w:t>公务用车购置及运行费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万元，占</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三公</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经费支出的</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。比年初预算持平，</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万元，主要是无此业务的原因。</w:t>
      </w:r>
    </w:p>
    <w:p>
      <w:pPr>
        <w:pStyle w:val="8"/>
        <w:framePr w:wrap="auto" w:vAnchor="margin" w:hAnchor="text" w:yAlign="inline"/>
        <w:spacing w:line="540" w:lineRule="exact"/>
        <w:ind w:firstLine="640" w:firstLineChars="200"/>
        <w:rPr>
          <w:rFonts w:ascii="仿宋_GB2312" w:hAnsi="仿宋_GB2312" w:eastAsia="仿宋_GB2312" w:cs="仿宋_GB2312"/>
          <w:sz w:val="32"/>
          <w:szCs w:val="32"/>
          <w:shd w:val="clear" w:color="auto" w:fill="auto"/>
        </w:rPr>
      </w:pPr>
      <w:r>
        <w:rPr>
          <w:rFonts w:ascii="仿宋_GB2312" w:hAnsi="仿宋_GB2312" w:eastAsia="仿宋_GB2312" w:cs="仿宋_GB2312"/>
          <w:sz w:val="32"/>
          <w:szCs w:val="32"/>
          <w:shd w:val="clear" w:color="auto" w:fill="auto"/>
          <w:rtl w:val="0"/>
          <w:lang w:val="zh-TW" w:eastAsia="zh-TW"/>
        </w:rPr>
        <w:t>其中：公务用车购置费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w:t>
      </w:r>
      <w:r>
        <w:rPr>
          <w:rFonts w:ascii="仿宋_GB2312" w:hAnsi="仿宋_GB2312" w:eastAsia="仿宋_GB2312" w:cs="仿宋_GB2312"/>
          <w:sz w:val="32"/>
          <w:szCs w:val="32"/>
          <w:shd w:val="clear" w:color="auto" w:fill="auto"/>
          <w:rtl w:val="0"/>
          <w:lang w:val="en-US"/>
        </w:rPr>
        <w:t>,</w:t>
      </w:r>
      <w:r>
        <w:rPr>
          <w:rFonts w:ascii="仿宋_GB2312" w:hAnsi="仿宋_GB2312" w:eastAsia="仿宋_GB2312" w:cs="仿宋_GB2312"/>
          <w:sz w:val="32"/>
          <w:szCs w:val="32"/>
          <w:shd w:val="clear" w:color="auto" w:fill="auto"/>
          <w:rtl w:val="0"/>
          <w:lang w:val="zh-TW" w:eastAsia="zh-TW"/>
        </w:rPr>
        <w:t>当年购置公务用车</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辆。公务用车运行维护费</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万元，截至年末使用一般公共预算财政拨款开支运行维护费的公务用车保有量</w:t>
      </w:r>
      <w:r>
        <w:rPr>
          <w:rFonts w:ascii="仿宋_GB2312" w:hAnsi="仿宋_GB2312" w:eastAsia="仿宋_GB2312" w:cs="仿宋_GB2312"/>
          <w:sz w:val="32"/>
          <w:szCs w:val="32"/>
          <w:shd w:val="clear" w:color="auto" w:fill="auto"/>
          <w:rtl w:val="0"/>
          <w:lang w:val="en-US"/>
        </w:rPr>
        <w:t>0</w:t>
      </w:r>
      <w:r>
        <w:rPr>
          <w:rFonts w:ascii="仿宋_GB2312" w:hAnsi="仿宋_GB2312" w:eastAsia="仿宋_GB2312" w:cs="仿宋_GB2312"/>
          <w:sz w:val="32"/>
          <w:szCs w:val="32"/>
          <w:shd w:val="clear" w:color="auto" w:fill="auto"/>
          <w:rtl w:val="0"/>
          <w:lang w:val="zh-TW" w:eastAsia="zh-TW"/>
        </w:rPr>
        <w:t>辆。</w:t>
      </w:r>
      <w:bookmarkStart w:id="0" w:name="_GoBack"/>
      <w:bookmarkEnd w:id="0"/>
    </w:p>
    <w:p>
      <w:pPr>
        <w:pStyle w:val="8"/>
        <w:framePr w:wrap="auto" w:vAnchor="margin" w:hAnchor="text" w:yAlign="inline"/>
        <w:spacing w:line="540" w:lineRule="exact"/>
        <w:ind w:firstLine="645"/>
        <w:outlineLvl w:val="1"/>
        <w:rPr>
          <w:rFonts w:ascii="黑体" w:hAnsi="黑体" w:eastAsia="黑体" w:cs="黑体"/>
          <w:sz w:val="32"/>
          <w:szCs w:val="32"/>
          <w:lang w:val="zh-TW" w:eastAsia="zh-TW"/>
        </w:rPr>
      </w:pPr>
      <w:r>
        <w:rPr>
          <w:rFonts w:ascii="黑体" w:hAnsi="黑体" w:eastAsia="黑体" w:cs="黑体"/>
          <w:sz w:val="32"/>
          <w:szCs w:val="32"/>
          <w:rtl w:val="0"/>
          <w:lang w:val="zh-TW" w:eastAsia="zh-TW"/>
        </w:rPr>
        <w:t>四、一般公共预算财政拨款基本支出决算情况说明</w:t>
      </w:r>
    </w:p>
    <w:p>
      <w:pPr>
        <w:pStyle w:val="8"/>
        <w:framePr w:wrap="auto" w:vAnchor="margin" w:hAnchor="text" w:yAlign="inline"/>
        <w:spacing w:line="540" w:lineRule="exact"/>
        <w:ind w:firstLine="645"/>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年度一般公共预算财政拨款基本支出</w:t>
      </w:r>
      <w:r>
        <w:rPr>
          <w:rFonts w:ascii="仿宋_GB2312" w:hAnsi="仿宋_GB2312" w:eastAsia="仿宋_GB2312" w:cs="仿宋_GB2312"/>
          <w:sz w:val="32"/>
          <w:szCs w:val="32"/>
          <w:rtl w:val="0"/>
          <w:lang w:val="zh-CN" w:eastAsia="zh-CN"/>
        </w:rPr>
        <w:t>105.81</w:t>
      </w:r>
      <w:r>
        <w:rPr>
          <w:rFonts w:ascii="仿宋_GB2312" w:hAnsi="仿宋_GB2312" w:eastAsia="仿宋_GB2312" w:cs="仿宋_GB2312"/>
          <w:sz w:val="32"/>
          <w:szCs w:val="32"/>
          <w:rtl w:val="0"/>
          <w:lang w:val="zh-TW" w:eastAsia="zh-TW"/>
        </w:rPr>
        <w:t>万元，其中：人员经费</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万元；日常公用经费</w:t>
      </w:r>
      <w:r>
        <w:rPr>
          <w:rFonts w:ascii="仿宋_GB2312" w:hAnsi="仿宋_GB2312" w:eastAsia="仿宋_GB2312" w:cs="仿宋_GB2312"/>
          <w:sz w:val="32"/>
          <w:szCs w:val="32"/>
          <w:rtl w:val="0"/>
          <w:lang w:val="zh-CN" w:eastAsia="zh-CN"/>
        </w:rPr>
        <w:t>105.81</w:t>
      </w:r>
      <w:r>
        <w:rPr>
          <w:rFonts w:ascii="仿宋_GB2312" w:hAnsi="仿宋_GB2312" w:eastAsia="仿宋_GB2312" w:cs="仿宋_GB2312"/>
          <w:sz w:val="32"/>
          <w:szCs w:val="32"/>
          <w:rtl w:val="0"/>
          <w:lang w:val="zh-TW" w:eastAsia="zh-TW"/>
        </w:rPr>
        <w:t>万元。</w:t>
      </w:r>
    </w:p>
    <w:p>
      <w:pPr>
        <w:pStyle w:val="8"/>
        <w:framePr w:wrap="auto" w:vAnchor="margin" w:hAnchor="text" w:yAlign="inline"/>
        <w:spacing w:line="540" w:lineRule="exact"/>
        <w:ind w:firstLine="640"/>
        <w:outlineLvl w:val="1"/>
        <w:rPr>
          <w:rFonts w:ascii="黑体" w:hAnsi="黑体" w:eastAsia="黑体" w:cs="黑体"/>
          <w:sz w:val="32"/>
          <w:szCs w:val="32"/>
          <w:lang w:val="zh-TW" w:eastAsia="zh-TW"/>
        </w:rPr>
      </w:pPr>
      <w:r>
        <w:rPr>
          <w:rFonts w:ascii="黑体" w:hAnsi="黑体" w:eastAsia="黑体" w:cs="黑体"/>
          <w:sz w:val="32"/>
          <w:szCs w:val="32"/>
          <w:rtl w:val="0"/>
          <w:lang w:val="zh-TW" w:eastAsia="zh-TW"/>
        </w:rPr>
        <w:t>五、其他重要事项的情况说明</w:t>
      </w:r>
    </w:p>
    <w:p>
      <w:pPr>
        <w:pStyle w:val="8"/>
        <w:framePr w:wrap="auto" w:vAnchor="margin" w:hAnchor="text" w:yAlign="inline"/>
        <w:spacing w:line="540" w:lineRule="exact"/>
        <w:ind w:firstLine="643"/>
        <w:outlineLvl w:val="2"/>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rtl w:val="0"/>
          <w:lang w:val="zh-TW" w:eastAsia="zh-TW"/>
        </w:rPr>
        <w:t>（一）机关运行经费支出情况。</w:t>
      </w:r>
    </w:p>
    <w:p>
      <w:pPr>
        <w:pStyle w:val="8"/>
        <w:framePr w:wrap="auto" w:vAnchor="margin" w:hAnchor="text" w:yAlign="inline"/>
        <w:spacing w:line="54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年机关运行经费支出</w:t>
      </w:r>
      <w:r>
        <w:rPr>
          <w:rFonts w:ascii="仿宋_GB2312" w:hAnsi="仿宋_GB2312" w:eastAsia="仿宋_GB2312" w:cs="仿宋_GB2312"/>
          <w:sz w:val="32"/>
          <w:szCs w:val="32"/>
          <w:rtl w:val="0"/>
          <w:lang w:val="zh-CN" w:eastAsia="zh-CN"/>
        </w:rPr>
        <w:t>105.81</w:t>
      </w:r>
      <w:r>
        <w:rPr>
          <w:rFonts w:ascii="仿宋_GB2312" w:hAnsi="仿宋_GB2312" w:eastAsia="仿宋_GB2312" w:cs="仿宋_GB2312"/>
          <w:sz w:val="32"/>
          <w:szCs w:val="32"/>
          <w:rtl w:val="0"/>
          <w:lang w:val="zh-TW" w:eastAsia="zh-TW"/>
        </w:rPr>
        <w:t>万元，比上年增加</w:t>
      </w:r>
      <w:r>
        <w:rPr>
          <w:rFonts w:ascii="仿宋_GB2312" w:hAnsi="仿宋_GB2312" w:eastAsia="仿宋_GB2312" w:cs="仿宋_GB2312"/>
          <w:sz w:val="32"/>
          <w:szCs w:val="32"/>
          <w:rtl w:val="0"/>
          <w:lang w:val="zh-CN" w:eastAsia="zh-CN"/>
        </w:rPr>
        <w:t>105.81</w:t>
      </w:r>
      <w:r>
        <w:rPr>
          <w:rFonts w:ascii="仿宋_GB2312" w:hAnsi="仿宋_GB2312" w:eastAsia="仿宋_GB2312" w:cs="仿宋_GB2312"/>
          <w:sz w:val="32"/>
          <w:szCs w:val="32"/>
          <w:rtl w:val="0"/>
          <w:lang w:val="zh-TW" w:eastAsia="zh-TW"/>
        </w:rPr>
        <w:t>万元，增长</w:t>
      </w:r>
      <w:r>
        <w:rPr>
          <w:rFonts w:ascii="仿宋_GB2312" w:hAnsi="仿宋_GB2312" w:eastAsia="仿宋_GB2312" w:cs="仿宋_GB2312"/>
          <w:sz w:val="32"/>
          <w:szCs w:val="32"/>
          <w:rtl w:val="0"/>
          <w:lang w:val="zh-CN" w:eastAsia="zh-CN"/>
        </w:rPr>
        <w:t>100</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43"/>
        <w:outlineLvl w:val="2"/>
        <w:rPr>
          <w:rFonts w:ascii="仿宋_GB2312" w:hAnsi="仿宋_GB2312" w:eastAsia="仿宋_GB2312" w:cs="仿宋_GB2312"/>
          <w:b/>
          <w:bCs/>
          <w:sz w:val="32"/>
          <w:szCs w:val="32"/>
          <w:lang w:val="zh-TW" w:eastAsia="zh-TW"/>
        </w:rPr>
      </w:pPr>
      <w:r>
        <w:rPr>
          <w:rFonts w:ascii="楷体_GB2312" w:hAnsi="楷体_GB2312" w:eastAsia="楷体_GB2312" w:cs="楷体_GB2312"/>
          <w:b/>
          <w:bCs/>
          <w:sz w:val="32"/>
          <w:szCs w:val="32"/>
          <w:rtl w:val="0"/>
          <w:lang w:val="zh-TW" w:eastAsia="zh-TW"/>
        </w:rPr>
        <w:t>（二）政府采购支出情况。</w:t>
      </w:r>
    </w:p>
    <w:p>
      <w:pPr>
        <w:pStyle w:val="8"/>
        <w:framePr w:wrap="auto" w:vAnchor="margin" w:hAnchor="text" w:yAlign="inline"/>
        <w:spacing w:line="54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年政府采购支出总额</w:t>
      </w:r>
      <w:r>
        <w:rPr>
          <w:rFonts w:ascii="仿宋_GB2312" w:hAnsi="仿宋_GB2312" w:eastAsia="仿宋_GB2312" w:cs="仿宋_GB2312"/>
          <w:sz w:val="32"/>
          <w:szCs w:val="32"/>
          <w:rtl w:val="0"/>
          <w:lang w:val="zh-CN" w:eastAsia="zh-CN"/>
        </w:rPr>
        <w:t>0</w:t>
      </w:r>
      <w:r>
        <w:rPr>
          <w:rFonts w:ascii="仿宋_GB2312" w:hAnsi="仿宋_GB2312" w:eastAsia="仿宋_GB2312" w:cs="仿宋_GB2312"/>
          <w:sz w:val="32"/>
          <w:szCs w:val="32"/>
          <w:rtl w:val="0"/>
          <w:lang w:val="zh-TW" w:eastAsia="zh-TW"/>
        </w:rPr>
        <w:t>万元，其中：政府采购货物支出</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万元，政府采购工程支出</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万元，政府采购服务支出</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万元。授予中小企业合同金额</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万元，占政府采购支出总额的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，其中：授予小微企业合同金额</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万元，占政府采购支出总额的</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w:t>
      </w:r>
    </w:p>
    <w:p>
      <w:pPr>
        <w:pStyle w:val="8"/>
        <w:framePr w:wrap="auto" w:vAnchor="margin" w:hAnchor="text" w:yAlign="inline"/>
        <w:spacing w:line="540" w:lineRule="exact"/>
        <w:ind w:firstLine="643"/>
        <w:outlineLvl w:val="2"/>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rtl w:val="0"/>
          <w:lang w:val="zh-TW" w:eastAsia="zh-TW"/>
        </w:rPr>
        <w:t>（三）国有资产占用情况。</w:t>
      </w:r>
    </w:p>
    <w:p>
      <w:pPr>
        <w:pStyle w:val="8"/>
        <w:framePr w:wrap="auto" w:vAnchor="margin" w:hAnchor="text" w:yAlign="inline"/>
        <w:spacing w:line="54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tl w:val="0"/>
          <w:lang w:val="zh-TW" w:eastAsia="zh-TW"/>
        </w:rPr>
        <w:t>截至</w:t>
      </w:r>
      <w:r>
        <w:rPr>
          <w:rFonts w:ascii="仿宋_GB2312" w:hAnsi="仿宋_GB2312" w:eastAsia="仿宋_GB2312" w:cs="仿宋_GB2312"/>
          <w:sz w:val="32"/>
          <w:szCs w:val="32"/>
          <w:rtl w:val="0"/>
          <w:lang w:val="en-US"/>
        </w:rPr>
        <w:t>2020</w:t>
      </w:r>
      <w:r>
        <w:rPr>
          <w:rFonts w:ascii="仿宋_GB2312" w:hAnsi="仿宋_GB2312" w:eastAsia="仿宋_GB2312" w:cs="仿宋_GB2312"/>
          <w:sz w:val="32"/>
          <w:szCs w:val="32"/>
          <w:rtl w:val="0"/>
          <w:lang w:val="zh-TW" w:eastAsia="zh-TW"/>
        </w:rPr>
        <w:t>年</w:t>
      </w:r>
      <w:r>
        <w:rPr>
          <w:rFonts w:ascii="仿宋_GB2312" w:hAnsi="仿宋_GB2312" w:eastAsia="仿宋_GB2312" w:cs="仿宋_GB2312"/>
          <w:sz w:val="32"/>
          <w:szCs w:val="32"/>
          <w:rtl w:val="0"/>
          <w:lang w:val="en-US"/>
        </w:rPr>
        <w:t>12</w:t>
      </w:r>
      <w:r>
        <w:rPr>
          <w:rFonts w:ascii="仿宋_GB2312" w:hAnsi="仿宋_GB2312" w:eastAsia="仿宋_GB2312" w:cs="仿宋_GB2312"/>
          <w:sz w:val="32"/>
          <w:szCs w:val="32"/>
          <w:rtl w:val="0"/>
          <w:lang w:val="zh-TW" w:eastAsia="zh-TW"/>
        </w:rPr>
        <w:t>月</w:t>
      </w:r>
      <w:r>
        <w:rPr>
          <w:rFonts w:ascii="仿宋_GB2312" w:hAnsi="仿宋_GB2312" w:eastAsia="仿宋_GB2312" w:cs="仿宋_GB2312"/>
          <w:sz w:val="32"/>
          <w:szCs w:val="32"/>
          <w:rtl w:val="0"/>
          <w:lang w:val="en-US"/>
        </w:rPr>
        <w:t>31</w:t>
      </w:r>
      <w:r>
        <w:rPr>
          <w:rFonts w:ascii="仿宋_GB2312" w:hAnsi="仿宋_GB2312" w:eastAsia="仿宋_GB2312" w:cs="仿宋_GB2312"/>
          <w:sz w:val="32"/>
          <w:szCs w:val="32"/>
          <w:rtl w:val="0"/>
          <w:lang w:val="zh-TW" w:eastAsia="zh-TW"/>
        </w:rPr>
        <w:t>日，共有车辆</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辆，其中：副省级以上领导干部用车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辆，主要领导干部用车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辆，机要通讯用车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辆，应急保障用车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辆，执法执勤用车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辆，特种专业技术用车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辆，离退休干部用车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辆，其他用车</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辆；单位价值</w:t>
      </w:r>
      <w:r>
        <w:rPr>
          <w:rFonts w:ascii="仿宋_GB2312" w:hAnsi="仿宋_GB2312" w:eastAsia="仿宋_GB2312" w:cs="仿宋_GB2312"/>
          <w:sz w:val="32"/>
          <w:szCs w:val="32"/>
          <w:rtl w:val="0"/>
          <w:lang w:val="en-US"/>
        </w:rPr>
        <w:t>50</w:t>
      </w:r>
      <w:r>
        <w:rPr>
          <w:rFonts w:ascii="仿宋_GB2312" w:hAnsi="仿宋_GB2312" w:eastAsia="仿宋_GB2312" w:cs="仿宋_GB2312"/>
          <w:sz w:val="32"/>
          <w:szCs w:val="32"/>
          <w:rtl w:val="0"/>
          <w:lang w:val="zh-TW" w:eastAsia="zh-TW"/>
        </w:rPr>
        <w:t>万元以上通用设备</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台（套），单价</w:t>
      </w:r>
      <w:r>
        <w:rPr>
          <w:rFonts w:ascii="仿宋_GB2312" w:hAnsi="仿宋_GB2312" w:eastAsia="仿宋_GB2312" w:cs="仿宋_GB2312"/>
          <w:sz w:val="32"/>
          <w:szCs w:val="32"/>
          <w:rtl w:val="0"/>
          <w:lang w:val="en-US"/>
        </w:rPr>
        <w:t>100</w:t>
      </w:r>
      <w:r>
        <w:rPr>
          <w:rFonts w:ascii="仿宋_GB2312" w:hAnsi="仿宋_GB2312" w:eastAsia="仿宋_GB2312" w:cs="仿宋_GB2312"/>
          <w:sz w:val="32"/>
          <w:szCs w:val="32"/>
          <w:rtl w:val="0"/>
          <w:lang w:val="zh-TW" w:eastAsia="zh-TW"/>
        </w:rPr>
        <w:t>万元以上专用设备</w:t>
      </w:r>
      <w:r>
        <w:rPr>
          <w:rFonts w:ascii="仿宋_GB2312" w:hAnsi="仿宋_GB2312" w:eastAsia="仿宋_GB2312" w:cs="仿宋_GB2312"/>
          <w:sz w:val="32"/>
          <w:szCs w:val="32"/>
          <w:rtl w:val="0"/>
          <w:lang w:val="en-US"/>
        </w:rPr>
        <w:t>0</w:t>
      </w:r>
      <w:r>
        <w:rPr>
          <w:rFonts w:ascii="仿宋_GB2312" w:hAnsi="仿宋_GB2312" w:eastAsia="仿宋_GB2312" w:cs="仿宋_GB2312"/>
          <w:sz w:val="32"/>
          <w:szCs w:val="32"/>
          <w:rtl w:val="0"/>
          <w:lang w:val="zh-TW" w:eastAsia="zh-TW"/>
        </w:rPr>
        <w:t>台（套）。</w:t>
      </w:r>
    </w:p>
    <w:p>
      <w:pPr>
        <w:pStyle w:val="8"/>
        <w:framePr w:wrap="auto" w:vAnchor="margin" w:hAnchor="text" w:yAlign="inline"/>
        <w:widowControl/>
        <w:numPr>
          <w:ilvl w:val="0"/>
          <w:numId w:val="2"/>
        </w:numPr>
        <w:spacing w:line="540" w:lineRule="exact"/>
        <w:ind w:firstLine="643"/>
        <w:jc w:val="left"/>
        <w:outlineLvl w:val="2"/>
        <w:rPr>
          <w:rFonts w:ascii="楷体_GB2312" w:hAnsi="楷体_GB2312" w:eastAsia="楷体_GB2312" w:cs="楷体_GB2312"/>
          <w:b/>
          <w:bCs/>
          <w:outline w:val="0"/>
          <w:color w:val="000000"/>
          <w:kern w:val="2"/>
          <w:sz w:val="32"/>
          <w:szCs w:val="32"/>
          <w:u w:color="000000"/>
          <w:shd w:val="clear" w:color="auto" w:fill="auto"/>
          <w:rtl w:val="0"/>
          <w:lang w:val="zh-TW" w:eastAsia="zh-TW"/>
        </w:rPr>
      </w:pPr>
      <w:r>
        <w:rPr>
          <w:rFonts w:ascii="楷体_GB2312" w:hAnsi="楷体_GB2312" w:eastAsia="楷体_GB2312" w:cs="楷体_GB2312"/>
          <w:b/>
          <w:bCs/>
          <w:outline w:val="0"/>
          <w:color w:val="000000"/>
          <w:kern w:val="2"/>
          <w:sz w:val="32"/>
          <w:szCs w:val="32"/>
          <w:u w:color="000000"/>
          <w:shd w:val="clear" w:color="auto" w:fill="auto"/>
          <w:rtl w:val="0"/>
          <w:lang w:val="zh-TW" w:eastAsia="zh-TW"/>
        </w:rPr>
        <w:t>预算绩效管理工作开展情况。</w:t>
      </w:r>
    </w:p>
    <w:p>
      <w:pPr>
        <w:pStyle w:val="8"/>
        <w:framePr w:wrap="auto" w:vAnchor="margin" w:hAnchor="text" w:yAlign="inline"/>
        <w:widowControl/>
        <w:numPr>
          <w:ilvl w:val="0"/>
          <w:numId w:val="0"/>
        </w:numPr>
        <w:spacing w:line="540" w:lineRule="exact"/>
        <w:ind w:right="0" w:rightChars="0" w:firstLine="640" w:firstLineChars="200"/>
        <w:jc w:val="left"/>
      </w:pPr>
      <w:r>
        <w:rPr>
          <w:rFonts w:ascii="仿宋_GB2312" w:hAnsi="仿宋_GB2312" w:eastAsia="仿宋_GB2312" w:cs="仿宋_GB2312"/>
          <w:b w:val="0"/>
          <w:bCs w:val="0"/>
          <w:outline w:val="0"/>
          <w:color w:val="000000"/>
          <w:sz w:val="32"/>
          <w:szCs w:val="32"/>
          <w:u w:color="000000"/>
          <w:rtl w:val="0"/>
          <w:lang w:val="en-US"/>
        </w:rPr>
        <w:t>2020</w:t>
      </w:r>
      <w:r>
        <w:rPr>
          <w:rFonts w:ascii="仿宋_GB2312" w:hAnsi="仿宋_GB2312" w:eastAsia="仿宋_GB2312" w:cs="仿宋_GB2312"/>
          <w:b w:val="0"/>
          <w:bCs w:val="0"/>
          <w:outline w:val="0"/>
          <w:color w:val="000000"/>
          <w:sz w:val="32"/>
          <w:szCs w:val="32"/>
          <w:u w:color="000000"/>
          <w:rtl w:val="0"/>
          <w:lang w:val="zh-TW" w:eastAsia="zh-TW"/>
        </w:rPr>
        <w:t>年不涉及民生项目和重点支出项目</w:t>
      </w:r>
      <w:r>
        <w:rPr>
          <w:rFonts w:hint="eastAsia" w:ascii="仿宋_GB2312" w:hAnsi="仿宋_GB2312" w:eastAsia="仿宋_GB2312" w:cs="仿宋_GB2312"/>
          <w:b w:val="0"/>
          <w:bCs w:val="0"/>
          <w:outline w:val="0"/>
          <w:color w:val="000000"/>
          <w:sz w:val="32"/>
          <w:szCs w:val="32"/>
          <w:u w:color="000000"/>
          <w:rtl w:val="0"/>
          <w:lang w:val="zh-TW" w:eastAsia="zh-CN"/>
        </w:rPr>
        <w:t>，因此我单位无绩效自评与部门评价。</w:t>
      </w:r>
    </w:p>
    <w:p>
      <w:pPr>
        <w:pStyle w:val="8"/>
        <w:framePr w:wrap="auto" w:vAnchor="margin" w:hAnchor="text" w:yAlign="inline"/>
        <w:spacing w:line="540" w:lineRule="exact"/>
        <w:jc w:val="center"/>
        <w:outlineLvl w:val="0"/>
        <w:rPr>
          <w:rFonts w:ascii="宋体" w:hAnsi="宋体" w:eastAsia="宋体" w:cs="宋体"/>
          <w:b/>
          <w:bCs/>
          <w:sz w:val="36"/>
          <w:szCs w:val="36"/>
          <w:lang w:val="zh-TW" w:eastAsia="zh-TW"/>
        </w:rPr>
      </w:pPr>
      <w:r>
        <w:rPr>
          <w:rFonts w:ascii="宋体" w:hAnsi="宋体" w:eastAsia="宋体" w:cs="宋体"/>
          <w:b/>
          <w:bCs/>
          <w:sz w:val="36"/>
          <w:szCs w:val="36"/>
          <w:rtl w:val="0"/>
          <w:lang w:val="zh-TW" w:eastAsia="zh-TW"/>
        </w:rPr>
        <w:t>第三部分 名词解释</w:t>
      </w:r>
    </w:p>
    <w:p>
      <w:pPr>
        <w:pStyle w:val="8"/>
        <w:framePr w:wrap="auto" w:vAnchor="margin" w:hAnchor="text" w:yAlign="inline"/>
        <w:spacing w:line="540" w:lineRule="exact"/>
        <w:jc w:val="center"/>
        <w:rPr>
          <w:rFonts w:ascii="宋体" w:hAnsi="宋体" w:eastAsia="宋体" w:cs="宋体"/>
          <w:b/>
          <w:bCs/>
          <w:sz w:val="36"/>
          <w:szCs w:val="36"/>
        </w:rPr>
      </w:pP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1.</w:t>
      </w:r>
      <w:r>
        <w:rPr>
          <w:rFonts w:ascii="仿宋_GB2312" w:hAnsi="仿宋_GB2312" w:eastAsia="仿宋_GB2312" w:cs="仿宋_GB2312"/>
          <w:b/>
          <w:bCs/>
          <w:sz w:val="32"/>
          <w:szCs w:val="32"/>
          <w:rtl w:val="0"/>
          <w:lang w:val="zh-TW" w:eastAsia="zh-TW"/>
        </w:rPr>
        <w:t>财政拨款收入：</w:t>
      </w:r>
      <w:r>
        <w:rPr>
          <w:rFonts w:ascii="仿宋_GB2312" w:hAnsi="仿宋_GB2312" w:eastAsia="仿宋_GB2312" w:cs="仿宋_GB2312"/>
          <w:sz w:val="32"/>
          <w:szCs w:val="32"/>
          <w:rtl w:val="0"/>
          <w:lang w:val="zh-TW" w:eastAsia="zh-TW"/>
        </w:rPr>
        <w:t>指单位从同级财政部门取得的财政预算资金。</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2.</w:t>
      </w:r>
      <w:r>
        <w:rPr>
          <w:rFonts w:ascii="仿宋_GB2312" w:hAnsi="仿宋_GB2312" w:eastAsia="仿宋_GB2312" w:cs="仿宋_GB2312"/>
          <w:b/>
          <w:bCs/>
          <w:sz w:val="32"/>
          <w:szCs w:val="32"/>
          <w:rtl w:val="0"/>
          <w:lang w:val="zh-TW" w:eastAsia="zh-TW"/>
        </w:rPr>
        <w:t>上级补助收入：</w:t>
      </w:r>
      <w:r>
        <w:rPr>
          <w:rFonts w:ascii="仿宋_GB2312" w:hAnsi="仿宋_GB2312" w:eastAsia="仿宋_GB2312" w:cs="仿宋_GB2312"/>
          <w:sz w:val="32"/>
          <w:szCs w:val="32"/>
          <w:rtl w:val="0"/>
          <w:lang w:val="zh-TW" w:eastAsia="zh-TW"/>
        </w:rPr>
        <w:t>指单位从主管部门和上级单位取得的非财政性补助收入。</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3.</w:t>
      </w:r>
      <w:r>
        <w:rPr>
          <w:rFonts w:ascii="仿宋_GB2312" w:hAnsi="仿宋_GB2312" w:eastAsia="仿宋_GB2312" w:cs="仿宋_GB2312"/>
          <w:b/>
          <w:bCs/>
          <w:sz w:val="32"/>
          <w:szCs w:val="32"/>
          <w:rtl w:val="0"/>
          <w:lang w:val="zh-TW" w:eastAsia="zh-TW"/>
        </w:rPr>
        <w:t>事业收入：</w:t>
      </w:r>
      <w:r>
        <w:rPr>
          <w:rFonts w:ascii="仿宋_GB2312" w:hAnsi="仿宋_GB2312" w:eastAsia="仿宋_GB2312" w:cs="仿宋_GB2312"/>
          <w:sz w:val="32"/>
          <w:szCs w:val="32"/>
          <w:rtl w:val="0"/>
          <w:lang w:val="zh-TW" w:eastAsia="zh-TW"/>
        </w:rPr>
        <w:t>指事业单位开展专业业务活动及辅助活动所取得的收入。</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4.</w:t>
      </w:r>
      <w:r>
        <w:rPr>
          <w:rFonts w:ascii="仿宋_GB2312" w:hAnsi="仿宋_GB2312" w:eastAsia="仿宋_GB2312" w:cs="仿宋_GB2312"/>
          <w:b/>
          <w:bCs/>
          <w:sz w:val="32"/>
          <w:szCs w:val="32"/>
          <w:rtl w:val="0"/>
          <w:lang w:val="zh-TW" w:eastAsia="zh-TW"/>
        </w:rPr>
        <w:t>经营收入：</w:t>
      </w:r>
      <w:r>
        <w:rPr>
          <w:rFonts w:ascii="仿宋_GB2312" w:hAnsi="仿宋_GB2312" w:eastAsia="仿宋_GB2312" w:cs="仿宋_GB2312"/>
          <w:sz w:val="32"/>
          <w:szCs w:val="32"/>
          <w:rtl w:val="0"/>
          <w:lang w:val="zh-TW" w:eastAsia="zh-TW"/>
        </w:rPr>
        <w:t>指事业单位在专业业务活动及辅助活动之外开展非独立核算经营活动取得的收入。</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5.</w:t>
      </w:r>
      <w:r>
        <w:rPr>
          <w:rFonts w:ascii="仿宋_GB2312" w:hAnsi="仿宋_GB2312" w:eastAsia="仿宋_GB2312" w:cs="仿宋_GB2312"/>
          <w:b/>
          <w:bCs/>
          <w:sz w:val="32"/>
          <w:szCs w:val="32"/>
          <w:rtl w:val="0"/>
          <w:lang w:val="zh-TW" w:eastAsia="zh-TW"/>
        </w:rPr>
        <w:t>附属单位上缴收入：</w:t>
      </w:r>
      <w:r>
        <w:rPr>
          <w:rFonts w:ascii="仿宋_GB2312" w:hAnsi="仿宋_GB2312" w:eastAsia="仿宋_GB2312" w:cs="仿宋_GB2312"/>
          <w:sz w:val="32"/>
          <w:szCs w:val="32"/>
          <w:rtl w:val="0"/>
          <w:lang w:val="zh-TW" w:eastAsia="zh-TW"/>
        </w:rPr>
        <w:t>指单位附属的独立核算单位按照规定上缴的收入。</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6.</w:t>
      </w:r>
      <w:r>
        <w:rPr>
          <w:rFonts w:ascii="仿宋_GB2312" w:hAnsi="仿宋_GB2312" w:eastAsia="仿宋_GB2312" w:cs="仿宋_GB2312"/>
          <w:b/>
          <w:bCs/>
          <w:sz w:val="32"/>
          <w:szCs w:val="32"/>
          <w:rtl w:val="0"/>
          <w:lang w:val="zh-TW" w:eastAsia="zh-TW"/>
        </w:rPr>
        <w:t>其他收入：</w:t>
      </w:r>
      <w:r>
        <w:rPr>
          <w:rFonts w:ascii="仿宋_GB2312" w:hAnsi="仿宋_GB2312" w:eastAsia="仿宋_GB2312" w:cs="仿宋_GB2312"/>
          <w:sz w:val="32"/>
          <w:szCs w:val="32"/>
          <w:rtl w:val="0"/>
          <w:lang w:val="zh-TW" w:eastAsia="zh-TW"/>
        </w:rPr>
        <w:t>指除上述</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财政拨款收入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b/>
          <w:bCs/>
          <w:sz w:val="32"/>
          <w:szCs w:val="32"/>
          <w:rtl w:val="0"/>
          <w:lang w:val="en-US"/>
        </w:rPr>
        <w:t xml:space="preserve"> </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上级补助收入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事业收入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经营收入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附属单位上缴收入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等以外的收入。</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7.</w:t>
      </w:r>
      <w:r>
        <w:rPr>
          <w:rFonts w:ascii="仿宋_GB2312" w:hAnsi="仿宋_GB2312" w:eastAsia="仿宋_GB2312" w:cs="仿宋_GB2312"/>
          <w:b/>
          <w:bCs/>
          <w:sz w:val="32"/>
          <w:szCs w:val="32"/>
          <w:rtl w:val="0"/>
          <w:lang w:val="zh-TW" w:eastAsia="zh-TW"/>
        </w:rPr>
        <w:t>用事业基金弥补收支差额：</w:t>
      </w:r>
      <w:r>
        <w:rPr>
          <w:rFonts w:ascii="仿宋_GB2312" w:hAnsi="仿宋_GB2312" w:eastAsia="仿宋_GB2312" w:cs="仿宋_GB2312"/>
          <w:sz w:val="32"/>
          <w:szCs w:val="32"/>
          <w:rtl w:val="0"/>
          <w:lang w:val="zh-TW" w:eastAsia="zh-TW"/>
        </w:rPr>
        <w:t>指事业单位在当年的</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财政拨款收入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财政拨款结转和结余资金</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上级补助收入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事业收入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经营收入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附属单位上缴收入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其他收入</w:t>
      </w:r>
      <w:r>
        <w:rPr>
          <w:rFonts w:ascii="仿宋_GB2312" w:hAnsi="仿宋_GB2312" w:eastAsia="仿宋_GB2312" w:cs="仿宋_GB2312"/>
          <w:sz w:val="32"/>
          <w:szCs w:val="32"/>
          <w:rtl w:val="0"/>
          <w:lang w:val="en-US"/>
        </w:rPr>
        <w:t>”</w:t>
      </w:r>
      <w:r>
        <w:rPr>
          <w:rFonts w:ascii="仿宋_GB2312" w:hAnsi="仿宋_GB2312" w:eastAsia="仿宋_GB2312" w:cs="仿宋_GB2312"/>
          <w:sz w:val="32"/>
          <w:szCs w:val="32"/>
          <w:rtl w:val="0"/>
          <w:lang w:val="zh-TW" w:eastAsia="zh-TW"/>
        </w:rPr>
        <w:t>不足以安排当年支出情况下，使用以前年度积累的事业基金（事业单位当年收支相抵后按国家规定提取、用于弥补以后年度收支差额的基金）弥补本年度收支缺口的资金。</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8.</w:t>
      </w:r>
      <w:r>
        <w:rPr>
          <w:rFonts w:ascii="仿宋_GB2312" w:hAnsi="仿宋_GB2312" w:eastAsia="仿宋_GB2312" w:cs="仿宋_GB2312"/>
          <w:b/>
          <w:bCs/>
          <w:sz w:val="32"/>
          <w:szCs w:val="32"/>
          <w:rtl w:val="0"/>
          <w:lang w:val="zh-TW" w:eastAsia="zh-TW"/>
        </w:rPr>
        <w:t>上年结转和结余：</w:t>
      </w:r>
      <w:r>
        <w:rPr>
          <w:rFonts w:ascii="仿宋_GB2312" w:hAnsi="仿宋_GB2312" w:eastAsia="仿宋_GB2312" w:cs="仿宋_GB2312"/>
          <w:sz w:val="32"/>
          <w:szCs w:val="32"/>
          <w:rtl w:val="0"/>
          <w:lang w:val="zh-TW" w:eastAsia="zh-TW"/>
        </w:rPr>
        <w:t>指以前年度尚未完成、结转到本年按有关规定继续使用的资金。</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9.</w:t>
      </w:r>
      <w:r>
        <w:rPr>
          <w:rFonts w:ascii="仿宋_GB2312" w:hAnsi="仿宋_GB2312" w:eastAsia="仿宋_GB2312" w:cs="仿宋_GB2312"/>
          <w:b/>
          <w:bCs/>
          <w:sz w:val="32"/>
          <w:szCs w:val="32"/>
          <w:rtl w:val="0"/>
          <w:lang w:val="zh-TW" w:eastAsia="zh-TW"/>
        </w:rPr>
        <w:t>基本支出：</w:t>
      </w:r>
      <w:r>
        <w:rPr>
          <w:rFonts w:ascii="仿宋_GB2312" w:hAnsi="仿宋_GB2312" w:eastAsia="仿宋_GB2312" w:cs="仿宋_GB2312"/>
          <w:sz w:val="32"/>
          <w:szCs w:val="32"/>
          <w:rtl w:val="0"/>
          <w:lang w:val="zh-TW" w:eastAsia="zh-TW"/>
        </w:rPr>
        <w:t>指保障机构正常运转、完成日常工作任务而发生的人员支出和公用支出。</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10.</w:t>
      </w:r>
      <w:r>
        <w:rPr>
          <w:rFonts w:ascii="仿宋_GB2312" w:hAnsi="仿宋_GB2312" w:eastAsia="仿宋_GB2312" w:cs="仿宋_GB2312"/>
          <w:b/>
          <w:bCs/>
          <w:sz w:val="32"/>
          <w:szCs w:val="32"/>
          <w:rtl w:val="0"/>
          <w:lang w:val="zh-TW" w:eastAsia="zh-TW"/>
        </w:rPr>
        <w:t>项目支出：</w:t>
      </w:r>
      <w:r>
        <w:rPr>
          <w:rFonts w:ascii="仿宋_GB2312" w:hAnsi="仿宋_GB2312" w:eastAsia="仿宋_GB2312" w:cs="仿宋_GB2312"/>
          <w:sz w:val="32"/>
          <w:szCs w:val="32"/>
          <w:rtl w:val="0"/>
          <w:lang w:val="zh-TW" w:eastAsia="zh-TW"/>
        </w:rPr>
        <w:t>指在基本支出之外为完成特定行政任务和事业发展目标所发生的支出。</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11.</w:t>
      </w:r>
      <w:r>
        <w:rPr>
          <w:rFonts w:ascii="仿宋_GB2312" w:hAnsi="仿宋_GB2312" w:eastAsia="仿宋_GB2312" w:cs="仿宋_GB2312"/>
          <w:b/>
          <w:bCs/>
          <w:sz w:val="32"/>
          <w:szCs w:val="32"/>
          <w:rtl w:val="0"/>
          <w:lang w:val="zh-TW" w:eastAsia="zh-TW"/>
        </w:rPr>
        <w:t>上缴上级支出：</w:t>
      </w:r>
      <w:r>
        <w:rPr>
          <w:rFonts w:ascii="仿宋_GB2312" w:hAnsi="仿宋_GB2312" w:eastAsia="仿宋_GB2312" w:cs="仿宋_GB2312"/>
          <w:sz w:val="32"/>
          <w:szCs w:val="32"/>
          <w:rtl w:val="0"/>
          <w:lang w:val="zh-TW" w:eastAsia="zh-TW"/>
        </w:rPr>
        <w:t>指事业单位按照财政部门和主管部门的规定上缴上级单位的支出。</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12.</w:t>
      </w:r>
      <w:r>
        <w:rPr>
          <w:rFonts w:ascii="仿宋_GB2312" w:hAnsi="仿宋_GB2312" w:eastAsia="仿宋_GB2312" w:cs="仿宋_GB2312"/>
          <w:b/>
          <w:bCs/>
          <w:sz w:val="32"/>
          <w:szCs w:val="32"/>
          <w:rtl w:val="0"/>
          <w:lang w:val="zh-TW" w:eastAsia="zh-TW"/>
        </w:rPr>
        <w:t>经营支出：</w:t>
      </w:r>
      <w:r>
        <w:rPr>
          <w:rFonts w:ascii="仿宋_GB2312" w:hAnsi="仿宋_GB2312" w:eastAsia="仿宋_GB2312" w:cs="仿宋_GB2312"/>
          <w:sz w:val="32"/>
          <w:szCs w:val="32"/>
          <w:rtl w:val="0"/>
          <w:lang w:val="zh-TW" w:eastAsia="zh-TW"/>
        </w:rPr>
        <w:t>指事业单位在专业活动及辅助活动之外开展非独立核算经营活动发生的支出。</w:t>
      </w:r>
    </w:p>
    <w:p>
      <w:pPr>
        <w:pStyle w:val="8"/>
        <w:framePr w:wrap="auto" w:vAnchor="margin" w:hAnchor="text" w:yAlign="inline"/>
        <w:spacing w:line="540" w:lineRule="exact"/>
        <w:ind w:firstLine="643"/>
        <w:rPr>
          <w:rFonts w:ascii="仿宋_GB2312" w:hAnsi="仿宋_GB2312" w:eastAsia="仿宋_GB2312" w:cs="仿宋_GB2312"/>
          <w:b/>
          <w:bCs/>
          <w:sz w:val="32"/>
          <w:szCs w:val="32"/>
        </w:rPr>
      </w:pPr>
      <w:r>
        <w:rPr>
          <w:rFonts w:ascii="仿宋_GB2312" w:hAnsi="仿宋_GB2312" w:eastAsia="仿宋_GB2312" w:cs="仿宋_GB2312"/>
          <w:b/>
          <w:bCs/>
          <w:sz w:val="32"/>
          <w:szCs w:val="32"/>
          <w:rtl w:val="0"/>
          <w:lang w:val="en-US"/>
        </w:rPr>
        <w:t>13.</w:t>
      </w:r>
      <w:r>
        <w:rPr>
          <w:rFonts w:ascii="仿宋_GB2312" w:hAnsi="仿宋_GB2312" w:eastAsia="仿宋_GB2312" w:cs="仿宋_GB2312"/>
          <w:b/>
          <w:bCs/>
          <w:sz w:val="32"/>
          <w:szCs w:val="32"/>
          <w:rtl w:val="0"/>
          <w:lang w:val="zh-TW" w:eastAsia="zh-TW"/>
        </w:rPr>
        <w:t>对附属单位补助支出：</w:t>
      </w:r>
      <w:r>
        <w:rPr>
          <w:rFonts w:ascii="仿宋_GB2312" w:hAnsi="仿宋_GB2312" w:eastAsia="仿宋_GB2312" w:cs="仿宋_GB2312"/>
          <w:sz w:val="32"/>
          <w:szCs w:val="32"/>
          <w:rtl w:val="0"/>
          <w:lang w:val="zh-TW" w:eastAsia="zh-TW"/>
        </w:rPr>
        <w:t>指事业单位用财政补助收入之外的收入对附属单位补助发生的支出。</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14.“</w:t>
      </w:r>
      <w:r>
        <w:rPr>
          <w:rFonts w:ascii="仿宋_GB2312" w:hAnsi="仿宋_GB2312" w:eastAsia="仿宋_GB2312" w:cs="仿宋_GB2312"/>
          <w:b/>
          <w:bCs/>
          <w:sz w:val="32"/>
          <w:szCs w:val="32"/>
          <w:rtl w:val="0"/>
          <w:lang w:val="zh-TW" w:eastAsia="zh-TW"/>
        </w:rPr>
        <w:t>三公</w:t>
      </w:r>
      <w:r>
        <w:rPr>
          <w:rFonts w:ascii="仿宋_GB2312" w:hAnsi="仿宋_GB2312" w:eastAsia="仿宋_GB2312" w:cs="仿宋_GB2312"/>
          <w:b/>
          <w:bCs/>
          <w:sz w:val="32"/>
          <w:szCs w:val="32"/>
          <w:rtl w:val="0"/>
          <w:lang w:val="en-US"/>
        </w:rPr>
        <w:t>”</w:t>
      </w:r>
      <w:r>
        <w:rPr>
          <w:rFonts w:ascii="仿宋_GB2312" w:hAnsi="仿宋_GB2312" w:eastAsia="仿宋_GB2312" w:cs="仿宋_GB2312"/>
          <w:b/>
          <w:bCs/>
          <w:sz w:val="32"/>
          <w:szCs w:val="32"/>
          <w:rtl w:val="0"/>
          <w:lang w:val="zh-TW" w:eastAsia="zh-TW"/>
        </w:rPr>
        <w:t>经费：</w:t>
      </w:r>
      <w:r>
        <w:rPr>
          <w:rFonts w:ascii="仿宋_GB2312" w:hAnsi="仿宋_GB2312" w:eastAsia="仿宋_GB2312" w:cs="仿宋_GB2312"/>
          <w:sz w:val="32"/>
          <w:szCs w:val="32"/>
          <w:rtl w:val="0"/>
          <w:lang w:val="zh-TW" w:eastAsia="zh-TW"/>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15.</w:t>
      </w:r>
      <w:r>
        <w:rPr>
          <w:rFonts w:ascii="仿宋_GB2312" w:hAnsi="仿宋_GB2312" w:eastAsia="仿宋_GB2312" w:cs="仿宋_GB2312"/>
          <w:b/>
          <w:bCs/>
          <w:sz w:val="32"/>
          <w:szCs w:val="32"/>
          <w:rtl w:val="0"/>
          <w:lang w:val="zh-TW" w:eastAsia="zh-TW"/>
        </w:rPr>
        <w:t>一般公共服务（类）财政事务（款）行政运行（项）：</w:t>
      </w:r>
      <w:r>
        <w:rPr>
          <w:rFonts w:ascii="仿宋_GB2312" w:hAnsi="仿宋_GB2312" w:eastAsia="仿宋_GB2312" w:cs="仿宋_GB2312"/>
          <w:sz w:val="32"/>
          <w:szCs w:val="32"/>
          <w:rtl w:val="0"/>
          <w:lang w:val="zh-TW" w:eastAsia="zh-TW"/>
        </w:rPr>
        <w:t>反映行政单位（包括实行公务员管理的事业单位）的基本支出。</w:t>
      </w:r>
    </w:p>
    <w:p>
      <w:pPr>
        <w:pStyle w:val="8"/>
        <w:framePr w:wrap="auto" w:vAnchor="margin" w:hAnchor="text" w:yAlign="inline"/>
        <w:spacing w:line="540" w:lineRule="exact"/>
        <w:ind w:firstLine="643"/>
        <w:rPr>
          <w:rFonts w:ascii="仿宋_GB2312" w:hAnsi="仿宋_GB2312" w:eastAsia="仿宋_GB2312" w:cs="仿宋_GB2312"/>
          <w:sz w:val="32"/>
          <w:szCs w:val="32"/>
        </w:rPr>
      </w:pPr>
      <w:r>
        <w:rPr>
          <w:rFonts w:ascii="仿宋_GB2312" w:hAnsi="仿宋_GB2312" w:eastAsia="仿宋_GB2312" w:cs="仿宋_GB2312"/>
          <w:b/>
          <w:bCs/>
          <w:sz w:val="32"/>
          <w:szCs w:val="32"/>
          <w:rtl w:val="0"/>
          <w:lang w:val="en-US"/>
        </w:rPr>
        <w:t>16.</w:t>
      </w:r>
      <w:r>
        <w:rPr>
          <w:rFonts w:ascii="仿宋_GB2312" w:hAnsi="仿宋_GB2312" w:eastAsia="仿宋_GB2312" w:cs="仿宋_GB2312"/>
          <w:b/>
          <w:bCs/>
          <w:sz w:val="32"/>
          <w:szCs w:val="32"/>
          <w:rtl w:val="0"/>
          <w:lang w:val="zh-TW" w:eastAsia="zh-TW"/>
        </w:rPr>
        <w:t>机关运行经费：</w:t>
      </w:r>
      <w:r>
        <w:rPr>
          <w:rFonts w:ascii="仿宋_GB2312" w:hAnsi="仿宋_GB2312" w:eastAsia="仿宋_GB2312" w:cs="仿宋_GB2312"/>
          <w:sz w:val="32"/>
          <w:szCs w:val="32"/>
          <w:rtl w:val="0"/>
          <w:lang w:val="zh-TW" w:eastAsia="zh-TW"/>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pPr>
        <w:pStyle w:val="8"/>
        <w:framePr w:wrap="auto" w:vAnchor="margin" w:hAnchor="text" w:yAlign="inline"/>
        <w:spacing w:line="540" w:lineRule="exact"/>
        <w:rPr>
          <w:sz w:val="32"/>
          <w:szCs w:val="32"/>
        </w:rPr>
      </w:pPr>
    </w:p>
    <w:p>
      <w:pPr>
        <w:pStyle w:val="8"/>
        <w:framePr w:wrap="auto" w:vAnchor="margin" w:hAnchor="text" w:yAlign="inline"/>
        <w:spacing w:line="540" w:lineRule="exact"/>
        <w:rPr>
          <w:sz w:val="32"/>
          <w:szCs w:val="32"/>
        </w:rPr>
      </w:pPr>
    </w:p>
    <w:p>
      <w:pPr>
        <w:pStyle w:val="8"/>
        <w:framePr w:wrap="auto" w:vAnchor="margin" w:hAnchor="text" w:yAlign="inline"/>
        <w:spacing w:line="540" w:lineRule="exact"/>
        <w:rPr>
          <w:sz w:val="32"/>
          <w:szCs w:val="32"/>
        </w:rPr>
      </w:pPr>
    </w:p>
    <w:p>
      <w:pPr>
        <w:pStyle w:val="8"/>
        <w:framePr w:wrap="auto" w:vAnchor="margin" w:hAnchor="text" w:yAlign="inline"/>
        <w:spacing w:line="540" w:lineRule="exact"/>
        <w:rPr>
          <w:sz w:val="32"/>
          <w:szCs w:val="32"/>
        </w:rPr>
      </w:pPr>
    </w:p>
    <w:p>
      <w:pPr>
        <w:pStyle w:val="8"/>
        <w:framePr w:wrap="auto" w:vAnchor="margin" w:hAnchor="text" w:yAlign="inline"/>
        <w:spacing w:line="540" w:lineRule="exact"/>
        <w:rPr>
          <w:sz w:val="32"/>
          <w:szCs w:val="32"/>
        </w:rPr>
      </w:pPr>
    </w:p>
    <w:p>
      <w:pPr>
        <w:pStyle w:val="8"/>
        <w:framePr w:wrap="auto" w:vAnchor="margin" w:hAnchor="text" w:yAlign="inline"/>
        <w:spacing w:line="540" w:lineRule="exact"/>
        <w:rPr>
          <w:sz w:val="32"/>
          <w:szCs w:val="32"/>
        </w:rPr>
      </w:pPr>
    </w:p>
    <w:p>
      <w:pPr>
        <w:pStyle w:val="8"/>
        <w:framePr w:wrap="auto" w:vAnchor="margin" w:hAnchor="text" w:yAlign="inline"/>
        <w:spacing w:line="540" w:lineRule="exact"/>
        <w:jc w:val="center"/>
        <w:rPr>
          <w:rFonts w:ascii="宋体" w:hAnsi="宋体" w:eastAsia="宋体" w:cs="宋体"/>
          <w:b/>
          <w:bCs/>
          <w:sz w:val="36"/>
          <w:szCs w:val="36"/>
        </w:rPr>
      </w:pPr>
    </w:p>
    <w:p>
      <w:pPr>
        <w:pStyle w:val="8"/>
        <w:framePr w:wrap="auto" w:vAnchor="margin" w:hAnchor="text" w:yAlign="inline"/>
        <w:spacing w:line="540" w:lineRule="exact"/>
        <w:jc w:val="center"/>
        <w:rPr>
          <w:rFonts w:ascii="宋体" w:hAnsi="宋体" w:eastAsia="宋体" w:cs="宋体"/>
          <w:b/>
          <w:bCs/>
          <w:sz w:val="36"/>
          <w:szCs w:val="36"/>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rPr>
          <w:rFonts w:ascii="宋体" w:hAnsi="宋体" w:eastAsia="宋体" w:cs="宋体"/>
          <w:b/>
          <w:bCs/>
          <w:sz w:val="52"/>
          <w:szCs w:val="52"/>
          <w:rtl w:val="0"/>
          <w:lang w:val="zh-TW" w:eastAsia="zh-TW"/>
        </w:rPr>
      </w:pPr>
    </w:p>
    <w:p>
      <w:pPr>
        <w:pStyle w:val="8"/>
        <w:framePr w:wrap="auto" w:vAnchor="margin" w:hAnchor="text" w:yAlign="inline"/>
        <w:spacing w:line="540" w:lineRule="exact"/>
        <w:jc w:val="center"/>
        <w:outlineLvl w:val="0"/>
        <w:rPr>
          <w:rFonts w:ascii="仿宋_GB2312" w:hAnsi="仿宋_GB2312" w:eastAsia="仿宋_GB2312" w:cs="仿宋_GB2312"/>
          <w:sz w:val="52"/>
          <w:szCs w:val="52"/>
        </w:rPr>
      </w:pPr>
      <w:r>
        <w:rPr>
          <w:rFonts w:ascii="宋体" w:hAnsi="宋体" w:eastAsia="宋体" w:cs="宋体"/>
          <w:b/>
          <w:bCs/>
          <w:sz w:val="52"/>
          <w:szCs w:val="52"/>
          <w:rtl w:val="0"/>
          <w:lang w:val="zh-TW" w:eastAsia="zh-TW"/>
        </w:rPr>
        <w:t>第四部分 沈阳市浑南区气象局</w:t>
      </w:r>
      <w:r>
        <w:rPr>
          <w:rFonts w:ascii="宋体" w:hAnsi="宋体" w:eastAsia="宋体" w:cs="宋体"/>
          <w:b/>
          <w:bCs/>
          <w:sz w:val="52"/>
          <w:szCs w:val="52"/>
          <w:rtl w:val="0"/>
          <w:lang w:val="en-US"/>
        </w:rPr>
        <w:t>2020</w:t>
      </w:r>
      <w:r>
        <w:rPr>
          <w:rFonts w:ascii="宋体" w:hAnsi="宋体" w:eastAsia="宋体" w:cs="宋体"/>
          <w:b/>
          <w:bCs/>
          <w:sz w:val="52"/>
          <w:szCs w:val="52"/>
          <w:rtl w:val="0"/>
          <w:lang w:val="zh-TW" w:eastAsia="zh-TW"/>
        </w:rPr>
        <w:t>年度决算表</w:t>
      </w:r>
    </w:p>
    <w:p>
      <w:pPr>
        <w:pStyle w:val="8"/>
        <w:framePr w:wrap="auto" w:vAnchor="margin" w:hAnchor="text" w:yAlign="inline"/>
        <w:spacing w:line="540" w:lineRule="exact"/>
        <w:jc w:val="left"/>
      </w:pPr>
    </w:p>
    <w:sectPr>
      <w:headerReference r:id="rId5" w:type="default"/>
      <w:footerReference r:id="rId6" w:type="default"/>
      <w:pgSz w:w="11900" w:h="16840"/>
      <w:pgMar w:top="1701" w:right="1418" w:bottom="1701" w:left="1418"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PingFang SC Regula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roman"/>
    <w:pitch w:val="default"/>
    <w:sig w:usb0="00000001" w:usb1="080E0000" w:usb2="00000000" w:usb3="00000000" w:csb0="00040000"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jc w:val="center"/>
    </w:pPr>
    <w:r>
      <w:rPr>
        <w:rtl w:val="0"/>
      </w:rPr>
      <w:fldChar w:fldCharType="begin"/>
    </w:r>
    <w:r>
      <w:rPr>
        <w:rtl w:val="0"/>
      </w:rPr>
      <w:instrText xml:space="preserve"> PAGE </w:instrText>
    </w:r>
    <w:r>
      <w:rPr>
        <w:rtl w:val="0"/>
      </w:rPr>
      <w:fldChar w:fldCharType="separate"/>
    </w:r>
    <w:r>
      <w:rPr>
        <w:rtl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margin" w:hAnchor="text" w:yAlign="inline"/>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EB146C"/>
    <w:multiLevelType w:val="singleLevel"/>
    <w:tmpl w:val="8AEB146C"/>
    <w:lvl w:ilvl="0" w:tentative="0">
      <w:start w:val="4"/>
      <w:numFmt w:val="chineseCounting"/>
      <w:suff w:val="nothing"/>
      <w:lvlText w:val="（%1）"/>
      <w:lvlJc w:val="left"/>
      <w:rPr>
        <w:rFonts w:hint="eastAsia"/>
      </w:rPr>
    </w:lvl>
  </w:abstractNum>
  <w:abstractNum w:abstractNumId="1">
    <w:nsid w:val="0053208E"/>
    <w:multiLevelType w:val="multilevel"/>
    <w:tmpl w:val="0053208E"/>
    <w:lvl w:ilvl="0" w:tentative="0">
      <w:start w:val="1"/>
      <w:numFmt w:val="ideographDigit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ideographDigital"/>
      <w:suff w:val="nothing"/>
      <w:lvlText w:val="%2."/>
      <w:lvlJc w:val="left"/>
      <w:pPr>
        <w:tabs>
          <w:tab w:val="left" w:pos="720"/>
        </w:tabs>
        <w:ind w:left="720" w:hanging="30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tabs>
          <w:tab w:val="left" w:pos="720"/>
        </w:tabs>
        <w:ind w:left="1260" w:hanging="612"/>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tabs>
          <w:tab w:val="left" w:pos="72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tabs>
          <w:tab w:val="left" w:pos="72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tabs>
          <w:tab w:val="left" w:pos="720"/>
        </w:tabs>
        <w:ind w:left="2520" w:hanging="612"/>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tabs>
          <w:tab w:val="left" w:pos="72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tabs>
          <w:tab w:val="left" w:pos="72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tabs>
          <w:tab w:val="left" w:pos="720"/>
        </w:tabs>
        <w:ind w:left="3780" w:hanging="61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rsids>
    <w:rsidRoot w:val="00000000"/>
    <w:rsid w:val="0C56384F"/>
    <w:rsid w:val="0D622BEE"/>
    <w:rsid w:val="32614596"/>
    <w:rsid w:val="3E8F1D5C"/>
    <w:rsid w:val="53E977FC"/>
    <w:rsid w:val="703C37C8"/>
    <w:rsid w:val="7A113B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u w:val="single"/>
    </w:rPr>
  </w:style>
  <w:style w:type="table" w:customStyle="1" w:styleId="5">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6">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4"/>
      <w:szCs w:val="24"/>
      <w:u w:val="none" w:color="auto"/>
      <w:shd w:val="clear" w:color="auto" w:fill="auto"/>
      <w:vertAlign w:val="baseline"/>
    </w:rPr>
  </w:style>
  <w:style w:type="paragraph" w:customStyle="1" w:styleId="7">
    <w:name w:val="页脚1"/>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uto"/>
      <w:ind w:left="0" w:right="0" w:firstLine="0"/>
      <w:jc w:val="left"/>
      <w:outlineLvl w:val="9"/>
    </w:pPr>
    <w:rPr>
      <w:rFonts w:ascii="Times New Roman" w:hAnsi="Times New Roman" w:eastAsia="Arial Unicode MS" w:cs="Arial Unicode MS"/>
      <w:color w:val="000000"/>
      <w:spacing w:val="0"/>
      <w:w w:val="100"/>
      <w:kern w:val="2"/>
      <w:position w:val="0"/>
      <w:sz w:val="18"/>
      <w:szCs w:val="18"/>
      <w:u w:val="none" w:color="000000"/>
      <w:shd w:val="clear" w:color="auto" w:fill="auto"/>
      <w:vertAlign w:val="baseline"/>
      <w:lang w:val="en-US"/>
    </w:rPr>
  </w:style>
  <w:style w:type="paragraph" w:customStyle="1" w:styleId="8">
    <w:name w:val="正文 A"/>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PingFang SC Semibold"/>
        <a:ea typeface="PingFang SC Semibold"/>
        <a:cs typeface="PingFang SC Semibold"/>
      </a:majorFont>
      <a:minorFont>
        <a:latin typeface="PingFang SC Regular"/>
        <a:ea typeface="PingFang SC Regular"/>
        <a:cs typeface="PingFang SC Regula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Office_11.1.0.11365_F1E327BC-269C-435d-A152-05C5408002CA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2021-09-26T07:16:00Z</dcterms:created>
  <dc:creator>Administrator</dc:creator>
  <cp:lastModifiedBy>初初</cp:lastModifiedBy>
  <dcterms:modified xsi:type="dcterms:W3CDTF">2022-03-04T06:42:52Z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2FE37ADC8E924FBDB8479DDE177A18B7</vt:lpwstr>
  </property>
</Properties>
</file>