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Style w:val="6"/>
          <w:rFonts w:ascii="黑体" w:hAnsi="黑体" w:eastAsia="黑体" w:cs="黑体"/>
          <w:bCs/>
          <w:sz w:val="28"/>
          <w:szCs w:val="28"/>
        </w:rPr>
      </w:pPr>
      <w:r>
        <w:rPr>
          <w:rStyle w:val="6"/>
          <w:rFonts w:ascii="黑体" w:hAnsi="黑体" w:eastAsia="黑体" w:cs="黑体"/>
          <w:bCs/>
          <w:sz w:val="28"/>
          <w:szCs w:val="28"/>
        </w:rPr>
        <w:t>附件2</w:t>
      </w: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rFonts w:ascii="宋体" w:hAnsi="宋体"/>
          <w:b/>
          <w:color w:val="FF0000"/>
          <w:sz w:val="52"/>
          <w:szCs w:val="52"/>
        </w:rPr>
      </w:pPr>
      <w:r>
        <w:rPr>
          <w:rStyle w:val="6"/>
          <w:rFonts w:ascii="宋体" w:hAnsi="宋体"/>
          <w:b/>
          <w:sz w:val="52"/>
          <w:szCs w:val="52"/>
        </w:rPr>
        <w:t>沈阳市第五十一中学分校2020年度决算说明</w:t>
      </w: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u w:val="single"/>
        </w:rPr>
      </w:pPr>
    </w:p>
    <w:p>
      <w:pPr>
        <w:spacing w:line="540" w:lineRule="exact"/>
        <w:jc w:val="center"/>
        <w:rPr>
          <w:rStyle w:val="6"/>
          <w:b/>
          <w:sz w:val="44"/>
          <w:szCs w:val="44"/>
        </w:rPr>
      </w:pPr>
    </w:p>
    <w:p>
      <w:pPr>
        <w:spacing w:line="540" w:lineRule="exact"/>
        <w:jc w:val="center"/>
        <w:rPr>
          <w:rStyle w:val="6"/>
          <w:b/>
          <w:sz w:val="44"/>
          <w:szCs w:val="44"/>
        </w:rPr>
      </w:pPr>
    </w:p>
    <w:p>
      <w:pPr>
        <w:spacing w:line="540" w:lineRule="exact"/>
        <w:jc w:val="center"/>
        <w:rPr>
          <w:rStyle w:val="6"/>
          <w:b/>
          <w:sz w:val="44"/>
          <w:szCs w:val="44"/>
        </w:rPr>
      </w:pPr>
    </w:p>
    <w:p>
      <w:pPr>
        <w:spacing w:line="540" w:lineRule="exact"/>
        <w:jc w:val="center"/>
        <w:rPr>
          <w:rStyle w:val="6"/>
          <w:b/>
          <w:sz w:val="44"/>
          <w:szCs w:val="44"/>
        </w:rPr>
      </w:pPr>
      <w:r>
        <w:rPr>
          <w:rStyle w:val="6"/>
          <w:b/>
          <w:sz w:val="44"/>
          <w:szCs w:val="44"/>
        </w:rPr>
        <w:t>目录</w:t>
      </w:r>
    </w:p>
    <w:p>
      <w:pPr>
        <w:spacing w:line="540" w:lineRule="exact"/>
        <w:rPr>
          <w:rStyle w:val="6"/>
          <w:b/>
          <w:sz w:val="44"/>
          <w:szCs w:val="44"/>
          <w:u w:val="single"/>
        </w:rPr>
      </w:pPr>
    </w:p>
    <w:p>
      <w:pPr>
        <w:spacing w:line="540" w:lineRule="exact"/>
        <w:rPr>
          <w:rStyle w:val="6"/>
          <w:b/>
          <w:sz w:val="44"/>
          <w:szCs w:val="44"/>
          <w:u w:val="single"/>
        </w:rPr>
      </w:pPr>
    </w:p>
    <w:p>
      <w:pPr>
        <w:spacing w:line="540" w:lineRule="exact"/>
        <w:rPr>
          <w:rStyle w:val="6"/>
          <w:rFonts w:ascii="黑体" w:hAnsi="黑体" w:eastAsia="黑体"/>
          <w:sz w:val="32"/>
          <w:szCs w:val="32"/>
        </w:rPr>
      </w:pPr>
      <w:r>
        <w:rPr>
          <w:rStyle w:val="6"/>
          <w:rFonts w:ascii="黑体" w:hAnsi="黑体" w:eastAsia="黑体"/>
          <w:sz w:val="32"/>
          <w:szCs w:val="32"/>
        </w:rPr>
        <w:t>第一部分沈阳市第五十一中学分校概况</w:t>
      </w:r>
    </w:p>
    <w:p>
      <w:pPr>
        <w:numPr>
          <w:ilvl w:val="0"/>
          <w:numId w:val="1"/>
        </w:numPr>
        <w:spacing w:line="540" w:lineRule="exact"/>
        <w:rPr>
          <w:rStyle w:val="6"/>
          <w:rFonts w:ascii="仿宋_GB2312" w:hAnsi="黑体" w:eastAsia="仿宋_GB2312"/>
          <w:sz w:val="32"/>
          <w:szCs w:val="32"/>
        </w:rPr>
      </w:pPr>
      <w:r>
        <w:rPr>
          <w:rStyle w:val="6"/>
          <w:rFonts w:ascii="仿宋_GB2312" w:hAnsi="黑体" w:eastAsia="仿宋_GB2312"/>
          <w:sz w:val="32"/>
          <w:szCs w:val="32"/>
        </w:rPr>
        <w:t>主要职责</w:t>
      </w:r>
    </w:p>
    <w:p>
      <w:pPr>
        <w:numPr>
          <w:ilvl w:val="0"/>
          <w:numId w:val="1"/>
        </w:numPr>
        <w:spacing w:line="540" w:lineRule="exact"/>
        <w:rPr>
          <w:rStyle w:val="6"/>
          <w:rFonts w:ascii="仿宋_GB2312" w:hAnsi="黑体" w:eastAsia="仿宋_GB2312"/>
          <w:sz w:val="32"/>
          <w:szCs w:val="32"/>
        </w:rPr>
      </w:pPr>
      <w:r>
        <w:rPr>
          <w:rStyle w:val="6"/>
          <w:rFonts w:ascii="仿宋_GB2312" w:hAnsi="黑体" w:eastAsia="仿宋_GB2312"/>
          <w:sz w:val="32"/>
          <w:szCs w:val="32"/>
        </w:rPr>
        <w:t>决算单位构成</w:t>
      </w:r>
    </w:p>
    <w:p>
      <w:pPr>
        <w:spacing w:line="540" w:lineRule="exact"/>
        <w:rPr>
          <w:rStyle w:val="6"/>
          <w:rFonts w:ascii="黑体" w:hAnsi="黑体" w:eastAsia="黑体"/>
          <w:sz w:val="32"/>
          <w:szCs w:val="32"/>
        </w:rPr>
      </w:pPr>
      <w:r>
        <w:rPr>
          <w:rStyle w:val="6"/>
          <w:rFonts w:ascii="黑体" w:hAnsi="黑体" w:eastAsia="黑体"/>
          <w:sz w:val="32"/>
          <w:szCs w:val="32"/>
        </w:rPr>
        <w:t>第二部分沈阳市第五十一中学分校2020年度决算情况说明</w:t>
      </w:r>
    </w:p>
    <w:p>
      <w:pPr>
        <w:spacing w:line="540" w:lineRule="exact"/>
        <w:rPr>
          <w:rStyle w:val="6"/>
          <w:rFonts w:ascii="黑体" w:hAnsi="黑体" w:eastAsia="黑体"/>
          <w:sz w:val="32"/>
          <w:szCs w:val="32"/>
        </w:rPr>
      </w:pPr>
      <w:r>
        <w:rPr>
          <w:rStyle w:val="6"/>
          <w:rFonts w:ascii="黑体" w:hAnsi="黑体" w:eastAsia="黑体"/>
          <w:sz w:val="32"/>
          <w:szCs w:val="32"/>
        </w:rPr>
        <w:t>第三部分名词解释</w:t>
      </w:r>
    </w:p>
    <w:p>
      <w:pPr>
        <w:spacing w:line="540" w:lineRule="exact"/>
        <w:rPr>
          <w:rStyle w:val="6"/>
          <w:rFonts w:ascii="黑体" w:hAnsi="黑体" w:eastAsia="黑体"/>
          <w:sz w:val="32"/>
          <w:szCs w:val="32"/>
        </w:rPr>
      </w:pPr>
      <w:r>
        <w:rPr>
          <w:rStyle w:val="6"/>
          <w:rFonts w:ascii="黑体" w:hAnsi="黑体" w:eastAsia="黑体"/>
          <w:sz w:val="32"/>
          <w:szCs w:val="32"/>
        </w:rPr>
        <w:t>第四部分沈阳市第五十一中学分校2020年度决算报表</w:t>
      </w:r>
    </w:p>
    <w:p>
      <w:pPr>
        <w:spacing w:line="540" w:lineRule="exact"/>
        <w:rPr>
          <w:rStyle w:val="6"/>
          <w:rFonts w:ascii="仿宋_GB2312" w:hAnsi="黑体" w:eastAsia="仿宋_GB2312"/>
          <w:sz w:val="32"/>
          <w:szCs w:val="32"/>
        </w:rPr>
      </w:pPr>
      <w:r>
        <w:rPr>
          <w:rStyle w:val="6"/>
          <w:rFonts w:ascii="仿宋_GB2312" w:eastAsia="仿宋_GB2312"/>
          <w:sz w:val="32"/>
          <w:szCs w:val="32"/>
        </w:rPr>
        <w:t>一、</w:t>
      </w:r>
      <w:r>
        <w:rPr>
          <w:rStyle w:val="6"/>
          <w:rFonts w:ascii="仿宋_GB2312" w:hAnsi="仿宋" w:eastAsia="仿宋_GB2312"/>
          <w:sz w:val="32"/>
          <w:szCs w:val="32"/>
        </w:rPr>
        <w:t>2020年度收入支出决算总表</w:t>
      </w:r>
    </w:p>
    <w:p>
      <w:pPr>
        <w:spacing w:line="540" w:lineRule="exact"/>
        <w:rPr>
          <w:rStyle w:val="6"/>
          <w:rFonts w:ascii="仿宋_GB2312" w:eastAsia="仿宋_GB2312"/>
          <w:sz w:val="32"/>
          <w:szCs w:val="32"/>
        </w:rPr>
      </w:pPr>
      <w:r>
        <w:rPr>
          <w:rStyle w:val="6"/>
          <w:rFonts w:ascii="仿宋_GB2312" w:eastAsia="仿宋_GB2312"/>
          <w:sz w:val="32"/>
          <w:szCs w:val="32"/>
        </w:rPr>
        <w:t>二、2020</w:t>
      </w:r>
      <w:r>
        <w:rPr>
          <w:rStyle w:val="6"/>
          <w:rFonts w:ascii="仿宋_GB2312" w:hAnsi="仿宋" w:eastAsia="仿宋_GB2312"/>
          <w:sz w:val="32"/>
          <w:szCs w:val="32"/>
        </w:rPr>
        <w:t>年度</w:t>
      </w:r>
      <w:r>
        <w:rPr>
          <w:rStyle w:val="6"/>
          <w:rFonts w:ascii="仿宋_GB2312" w:eastAsia="仿宋_GB2312"/>
          <w:sz w:val="32"/>
          <w:szCs w:val="32"/>
        </w:rPr>
        <w:t>收入决算表</w:t>
      </w:r>
    </w:p>
    <w:p>
      <w:pPr>
        <w:spacing w:line="540" w:lineRule="exact"/>
        <w:rPr>
          <w:rStyle w:val="6"/>
          <w:rFonts w:ascii="仿宋_GB2312" w:eastAsia="仿宋_GB2312"/>
          <w:sz w:val="32"/>
          <w:szCs w:val="32"/>
        </w:rPr>
      </w:pPr>
      <w:r>
        <w:rPr>
          <w:rStyle w:val="6"/>
          <w:rFonts w:ascii="仿宋_GB2312" w:eastAsia="仿宋_GB2312"/>
          <w:sz w:val="32"/>
          <w:szCs w:val="32"/>
        </w:rPr>
        <w:t>三、2020</w:t>
      </w:r>
      <w:r>
        <w:rPr>
          <w:rStyle w:val="6"/>
          <w:rFonts w:ascii="仿宋_GB2312" w:hAnsi="仿宋" w:eastAsia="仿宋_GB2312"/>
          <w:sz w:val="32"/>
          <w:szCs w:val="32"/>
        </w:rPr>
        <w:t>年度</w:t>
      </w:r>
      <w:r>
        <w:rPr>
          <w:rStyle w:val="6"/>
          <w:rFonts w:ascii="仿宋_GB2312" w:eastAsia="仿宋_GB2312"/>
          <w:sz w:val="32"/>
          <w:szCs w:val="32"/>
        </w:rPr>
        <w:t>支出决算表</w:t>
      </w:r>
    </w:p>
    <w:p>
      <w:pPr>
        <w:spacing w:line="540" w:lineRule="exact"/>
        <w:rPr>
          <w:rStyle w:val="6"/>
          <w:rFonts w:ascii="仿宋_GB2312" w:hAnsi="黑体" w:eastAsia="仿宋_GB2312"/>
          <w:sz w:val="32"/>
          <w:szCs w:val="32"/>
        </w:rPr>
      </w:pPr>
      <w:r>
        <w:rPr>
          <w:rStyle w:val="6"/>
          <w:rFonts w:ascii="仿宋_GB2312" w:eastAsia="仿宋_GB2312"/>
          <w:sz w:val="32"/>
          <w:szCs w:val="32"/>
        </w:rPr>
        <w:t>四、</w:t>
      </w:r>
      <w:r>
        <w:rPr>
          <w:rStyle w:val="6"/>
          <w:rFonts w:ascii="仿宋_GB2312" w:hAnsi="仿宋" w:eastAsia="仿宋_GB2312"/>
          <w:sz w:val="32"/>
          <w:szCs w:val="32"/>
        </w:rPr>
        <w:t>2020年度财政拨款收入支出决算表</w:t>
      </w:r>
    </w:p>
    <w:p>
      <w:pPr>
        <w:spacing w:line="540" w:lineRule="exact"/>
        <w:rPr>
          <w:rStyle w:val="6"/>
          <w:rFonts w:ascii="仿宋_GB2312" w:eastAsia="仿宋_GB2312"/>
          <w:sz w:val="32"/>
          <w:szCs w:val="32"/>
        </w:rPr>
      </w:pPr>
      <w:r>
        <w:rPr>
          <w:rStyle w:val="6"/>
          <w:rFonts w:ascii="仿宋_GB2312" w:eastAsia="仿宋_GB2312"/>
          <w:sz w:val="32"/>
          <w:szCs w:val="32"/>
        </w:rPr>
        <w:t>五、2020年度一般公共预算财政拨款支出决算表</w:t>
      </w:r>
    </w:p>
    <w:p>
      <w:pPr>
        <w:spacing w:line="540" w:lineRule="exact"/>
        <w:rPr>
          <w:rStyle w:val="6"/>
          <w:rFonts w:ascii="仿宋_GB2312" w:eastAsia="仿宋_GB2312"/>
          <w:sz w:val="32"/>
          <w:szCs w:val="32"/>
        </w:rPr>
      </w:pPr>
      <w:r>
        <w:rPr>
          <w:rStyle w:val="6"/>
          <w:rFonts w:ascii="仿宋_GB2312" w:eastAsia="仿宋_GB2312"/>
          <w:sz w:val="32"/>
          <w:szCs w:val="32"/>
        </w:rPr>
        <w:t>六、2020年度一般公共预算财政拨款基本支出决算表</w:t>
      </w:r>
    </w:p>
    <w:p>
      <w:pPr>
        <w:spacing w:line="540" w:lineRule="exact"/>
        <w:rPr>
          <w:rStyle w:val="6"/>
          <w:rFonts w:ascii="仿宋_GB2312" w:eastAsia="仿宋_GB2312"/>
          <w:sz w:val="32"/>
          <w:szCs w:val="32"/>
        </w:rPr>
      </w:pPr>
      <w:r>
        <w:rPr>
          <w:rStyle w:val="6"/>
          <w:rFonts w:ascii="仿宋_GB2312" w:eastAsia="仿宋_GB2312"/>
          <w:sz w:val="32"/>
          <w:szCs w:val="32"/>
        </w:rPr>
        <w:t>七、2020年度政府性基金预算财政拨款支出决算表</w:t>
      </w:r>
    </w:p>
    <w:p>
      <w:pPr>
        <w:spacing w:line="540" w:lineRule="exact"/>
        <w:ind w:left="640" w:hanging="640"/>
        <w:rPr>
          <w:rStyle w:val="6"/>
          <w:rFonts w:ascii="仿宋_GB2312" w:eastAsia="仿宋_GB2312"/>
          <w:sz w:val="32"/>
          <w:szCs w:val="32"/>
        </w:rPr>
      </w:pPr>
      <w:r>
        <w:rPr>
          <w:rStyle w:val="6"/>
          <w:rFonts w:ascii="仿宋_GB2312" w:eastAsia="仿宋_GB2312"/>
          <w:sz w:val="32"/>
          <w:szCs w:val="32"/>
        </w:rPr>
        <w:t>八、2020</w:t>
      </w:r>
      <w:r>
        <w:rPr>
          <w:rStyle w:val="6"/>
          <w:rFonts w:ascii="仿宋_GB2312" w:hAnsi="仿宋" w:eastAsia="仿宋_GB2312"/>
          <w:sz w:val="32"/>
          <w:szCs w:val="32"/>
        </w:rPr>
        <w:t>年度</w:t>
      </w:r>
      <w:r>
        <w:rPr>
          <w:rStyle w:val="6"/>
          <w:rFonts w:ascii="仿宋_GB2312" w:eastAsia="仿宋_GB2312"/>
          <w:sz w:val="32"/>
          <w:szCs w:val="32"/>
        </w:rPr>
        <w:t>一般公共预算财政拨款“三公”经费支出决算表</w:t>
      </w:r>
    </w:p>
    <w:p>
      <w:pPr>
        <w:spacing w:line="540" w:lineRule="exact"/>
        <w:ind w:left="640" w:hanging="640"/>
        <w:rPr>
          <w:rStyle w:val="6"/>
          <w:rFonts w:ascii="仿宋_GB2312" w:eastAsia="仿宋_GB2312"/>
          <w:sz w:val="32"/>
          <w:szCs w:val="32"/>
        </w:rPr>
      </w:pPr>
      <w:r>
        <w:rPr>
          <w:rStyle w:val="6"/>
          <w:rFonts w:ascii="仿宋_GB2312" w:eastAsia="仿宋_GB2312"/>
          <w:sz w:val="32"/>
          <w:szCs w:val="32"/>
        </w:rPr>
        <w:t>九、2020年度国有资本经营预算财政拨款支出决算表</w:t>
      </w:r>
    </w:p>
    <w:p>
      <w:pPr>
        <w:spacing w:line="540" w:lineRule="exact"/>
        <w:rPr>
          <w:rStyle w:val="6"/>
          <w:rFonts w:ascii="黑体" w:hAnsi="黑体" w:eastAsia="黑体"/>
          <w:sz w:val="32"/>
          <w:szCs w:val="32"/>
        </w:rPr>
      </w:pPr>
    </w:p>
    <w:p>
      <w:pPr>
        <w:spacing w:line="540" w:lineRule="exact"/>
        <w:jc w:val="center"/>
        <w:rPr>
          <w:rStyle w:val="6"/>
          <w:rFonts w:ascii="黑体" w:hAnsi="黑体" w:eastAsia="黑体"/>
          <w:b/>
          <w:sz w:val="44"/>
          <w:szCs w:val="44"/>
          <w:u w:val="single"/>
        </w:rPr>
      </w:pPr>
    </w:p>
    <w:p>
      <w:pPr>
        <w:spacing w:line="540" w:lineRule="exact"/>
        <w:jc w:val="center"/>
        <w:rPr>
          <w:rStyle w:val="6"/>
          <w:b/>
          <w:sz w:val="44"/>
          <w:szCs w:val="44"/>
          <w:u w:val="single"/>
        </w:rPr>
      </w:pPr>
    </w:p>
    <w:p>
      <w:pPr>
        <w:spacing w:line="540" w:lineRule="exact"/>
        <w:jc w:val="center"/>
        <w:rPr>
          <w:rStyle w:val="6"/>
          <w:rFonts w:ascii="宋体" w:hAnsi="宋体"/>
          <w:b/>
          <w:sz w:val="36"/>
          <w:szCs w:val="36"/>
        </w:rPr>
      </w:pPr>
    </w:p>
    <w:p>
      <w:pPr>
        <w:spacing w:line="540" w:lineRule="exact"/>
        <w:jc w:val="center"/>
        <w:rPr>
          <w:rStyle w:val="6"/>
          <w:rFonts w:ascii="宋体" w:hAnsi="宋体"/>
          <w:b/>
          <w:sz w:val="36"/>
          <w:szCs w:val="36"/>
        </w:rPr>
      </w:pPr>
      <w:r>
        <w:rPr>
          <w:rStyle w:val="6"/>
          <w:rFonts w:ascii="宋体" w:hAnsi="宋体"/>
          <w:b/>
          <w:sz w:val="36"/>
          <w:szCs w:val="36"/>
        </w:rPr>
        <w:t>第一部分</w:t>
      </w:r>
      <w:r>
        <w:rPr>
          <w:rStyle w:val="6"/>
          <w:rFonts w:ascii="宋体" w:hAnsi="宋体" w:cs="Times New Roman"/>
          <w:b/>
          <w:bCs/>
          <w:sz w:val="36"/>
          <w:szCs w:val="36"/>
        </w:rPr>
        <w:t>沈阳市第五十一中学分校</w:t>
      </w:r>
      <w:r>
        <w:rPr>
          <w:rStyle w:val="6"/>
          <w:rFonts w:ascii="宋体" w:hAnsi="宋体"/>
          <w:b/>
          <w:sz w:val="36"/>
          <w:szCs w:val="36"/>
        </w:rPr>
        <w:t>概况</w:t>
      </w:r>
    </w:p>
    <w:p>
      <w:pPr>
        <w:spacing w:line="540" w:lineRule="exact"/>
        <w:ind w:firstLine="640" w:firstLineChars="200"/>
        <w:jc w:val="left"/>
        <w:rPr>
          <w:rStyle w:val="6"/>
          <w:rFonts w:ascii="黑体" w:eastAsia="黑体"/>
          <w:sz w:val="32"/>
          <w:szCs w:val="32"/>
        </w:rPr>
      </w:pPr>
    </w:p>
    <w:p>
      <w:pPr>
        <w:spacing w:line="540" w:lineRule="exact"/>
        <w:ind w:firstLine="640" w:firstLineChars="200"/>
        <w:jc w:val="left"/>
        <w:rPr>
          <w:rStyle w:val="6"/>
          <w:rFonts w:ascii="黑体" w:eastAsia="黑体"/>
          <w:sz w:val="32"/>
          <w:szCs w:val="32"/>
        </w:rPr>
      </w:pPr>
      <w:r>
        <w:rPr>
          <w:rStyle w:val="6"/>
          <w:rFonts w:ascii="黑体" w:eastAsia="黑体"/>
          <w:sz w:val="32"/>
          <w:szCs w:val="32"/>
        </w:rPr>
        <w:t>一、主要职责</w:t>
      </w:r>
    </w:p>
    <w:p>
      <w:pPr>
        <w:spacing w:line="360" w:lineRule="auto"/>
        <w:ind w:firstLine="640" w:firstLineChars="200"/>
        <w:jc w:val="left"/>
        <w:rPr>
          <w:rStyle w:val="6"/>
          <w:rFonts w:eastAsia="仿宋_GB2312" w:cs="宋体"/>
          <w:bCs/>
          <w:kern w:val="0"/>
          <w:sz w:val="32"/>
          <w:szCs w:val="32"/>
        </w:rPr>
      </w:pPr>
      <w:r>
        <w:rPr>
          <w:rStyle w:val="6"/>
          <w:rFonts w:eastAsia="仿宋_GB2312" w:cs="宋体"/>
          <w:bCs/>
          <w:kern w:val="0"/>
          <w:sz w:val="32"/>
          <w:szCs w:val="32"/>
        </w:rPr>
        <w:t>（一）组织教育教学、科学研究活动，保证教育教学质量。维护教职工利益，保障教职工合法权益，以教职工和学生的人生幸福和生命质量作为重点。</w:t>
      </w:r>
    </w:p>
    <w:p>
      <w:pPr>
        <w:spacing w:line="360" w:lineRule="auto"/>
        <w:ind w:firstLine="640" w:firstLineChars="200"/>
        <w:jc w:val="left"/>
        <w:rPr>
          <w:rStyle w:val="6"/>
          <w:rFonts w:eastAsia="仿宋_GB2312" w:cs="宋体"/>
          <w:bCs/>
          <w:kern w:val="0"/>
          <w:sz w:val="32"/>
          <w:szCs w:val="32"/>
        </w:rPr>
      </w:pPr>
      <w:r>
        <w:rPr>
          <w:rStyle w:val="6"/>
          <w:rFonts w:eastAsia="仿宋_GB2312" w:cs="宋体"/>
          <w:bCs/>
          <w:kern w:val="0"/>
          <w:sz w:val="32"/>
          <w:szCs w:val="32"/>
        </w:rPr>
        <w:t>（二）制定学校发展规划，并抓好组织实施和落实情况。</w:t>
      </w:r>
    </w:p>
    <w:p>
      <w:pPr>
        <w:spacing w:line="360" w:lineRule="auto"/>
        <w:ind w:firstLine="640" w:firstLineChars="200"/>
        <w:jc w:val="left"/>
        <w:rPr>
          <w:rStyle w:val="6"/>
          <w:rFonts w:eastAsia="仿宋_GB2312" w:cs="宋体"/>
          <w:bCs/>
          <w:kern w:val="0"/>
          <w:sz w:val="32"/>
          <w:szCs w:val="32"/>
        </w:rPr>
      </w:pPr>
      <w:r>
        <w:rPr>
          <w:rStyle w:val="6"/>
          <w:rFonts w:eastAsia="仿宋_GB2312" w:cs="宋体"/>
          <w:bCs/>
          <w:kern w:val="0"/>
          <w:sz w:val="32"/>
          <w:szCs w:val="32"/>
        </w:rPr>
        <w:t>（三）科学管理、合理使用学校的设施和经费，并积极筹措办学资金，改善办学条件。</w:t>
      </w:r>
    </w:p>
    <w:p>
      <w:pPr>
        <w:pStyle w:val="13"/>
        <w:spacing w:line="560" w:lineRule="atLeast"/>
        <w:ind w:firstLine="640"/>
        <w:rPr>
          <w:rStyle w:val="6"/>
          <w:rFonts w:ascii="黑体" w:eastAsia="黑体"/>
          <w:sz w:val="32"/>
          <w:szCs w:val="32"/>
        </w:rPr>
      </w:pPr>
      <w:r>
        <w:rPr>
          <w:rStyle w:val="6"/>
          <w:rFonts w:eastAsia="仿宋_GB2312" w:cs="宋体"/>
          <w:bCs/>
          <w:sz w:val="32"/>
          <w:szCs w:val="32"/>
        </w:rPr>
        <w:t>（四）依法接受各级教育行政部门的检查指导和人民群众的监督。</w:t>
      </w:r>
    </w:p>
    <w:p>
      <w:pPr>
        <w:ind w:left="359" w:leftChars="171" w:firstLine="313" w:firstLineChars="98"/>
        <w:rPr>
          <w:rStyle w:val="6"/>
          <w:rFonts w:eastAsia="仿宋_GB2312" w:cs="宋体"/>
          <w:bCs/>
          <w:kern w:val="0"/>
          <w:sz w:val="32"/>
          <w:szCs w:val="32"/>
        </w:rPr>
      </w:pPr>
      <w:r>
        <w:rPr>
          <w:rStyle w:val="6"/>
          <w:rFonts w:eastAsia="仿宋_GB2312" w:cs="宋体"/>
          <w:bCs/>
          <w:kern w:val="0"/>
          <w:sz w:val="32"/>
          <w:szCs w:val="32"/>
        </w:rPr>
        <w:t>（五）财务管理方面：</w:t>
      </w:r>
    </w:p>
    <w:p>
      <w:pPr>
        <w:shd w:val="clear" w:color="auto" w:fill="FFFFFF"/>
        <w:spacing w:line="400" w:lineRule="atLeast"/>
        <w:ind w:firstLine="627" w:firstLineChars="196"/>
        <w:jc w:val="left"/>
        <w:rPr>
          <w:rStyle w:val="6"/>
          <w:rFonts w:ascii="宋体" w:hAnsi="宋体" w:eastAsia="仿宋_GB2312" w:cs="宋体"/>
          <w:bCs/>
          <w:kern w:val="0"/>
          <w:sz w:val="32"/>
          <w:szCs w:val="32"/>
        </w:rPr>
      </w:pPr>
      <w:r>
        <w:rPr>
          <w:rStyle w:val="6"/>
          <w:rFonts w:ascii="宋体" w:hAnsi="宋体" w:eastAsia="仿宋_GB2312" w:cs="宋体"/>
          <w:bCs/>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ind w:firstLine="560"/>
        <w:jc w:val="left"/>
        <w:rPr>
          <w:rStyle w:val="6"/>
          <w:rFonts w:ascii="宋体" w:hAnsi="宋体" w:eastAsia="仿宋_GB2312" w:cs="宋体"/>
          <w:bCs/>
          <w:kern w:val="0"/>
          <w:sz w:val="32"/>
          <w:szCs w:val="32"/>
        </w:rPr>
      </w:pPr>
    </w:p>
    <w:p>
      <w:pPr>
        <w:ind w:firstLine="560"/>
        <w:jc w:val="left"/>
        <w:rPr>
          <w:rStyle w:val="6"/>
          <w:rFonts w:ascii="黑体" w:eastAsia="黑体"/>
          <w:sz w:val="32"/>
        </w:rPr>
      </w:pPr>
      <w:r>
        <w:rPr>
          <w:rStyle w:val="6"/>
          <w:rFonts w:eastAsia="仿宋_GB2312" w:cs="宋体"/>
          <w:bCs/>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numPr>
          <w:ilvl w:val="0"/>
          <w:numId w:val="1"/>
        </w:numPr>
        <w:spacing w:after="312"/>
        <w:rPr>
          <w:rStyle w:val="6"/>
          <w:rFonts w:ascii="仿宋_GB2312" w:hAnsi="仿宋_GB2312" w:eastAsia="仿宋_GB2312" w:cs="仿宋_GB2312"/>
          <w:b/>
          <w:bCs/>
          <w:sz w:val="32"/>
          <w:szCs w:val="32"/>
        </w:rPr>
      </w:pPr>
      <w:r>
        <w:rPr>
          <w:rStyle w:val="6"/>
          <w:rFonts w:ascii="黑体" w:eastAsia="黑体"/>
          <w:sz w:val="32"/>
          <w:szCs w:val="32"/>
        </w:rPr>
        <w:t>决算单位构成</w:t>
      </w:r>
    </w:p>
    <w:p>
      <w:pPr>
        <w:spacing w:line="540" w:lineRule="exact"/>
        <w:ind w:firstLine="640" w:firstLineChars="200"/>
        <w:jc w:val="left"/>
        <w:rPr>
          <w:rStyle w:val="6"/>
          <w:sz w:val="32"/>
        </w:rPr>
      </w:pPr>
      <w:r>
        <w:rPr>
          <w:rStyle w:val="6"/>
          <w:rFonts w:ascii="仿宋_GB2312" w:hAnsi="仿宋_GB2312" w:eastAsia="仿宋_GB2312" w:cs="仿宋_GB2312"/>
          <w:bCs/>
          <w:sz w:val="32"/>
          <w:szCs w:val="32"/>
        </w:rPr>
        <w:t>沈阳市浑南区第五十一中学分校</w:t>
      </w:r>
      <w:r>
        <w:rPr>
          <w:rStyle w:val="6"/>
          <w:sz w:val="32"/>
        </w:rPr>
        <w:t>是纳入浑南区教育局2020年度部门决算编制范围的二级预算单位，本单位无下设机构。</w:t>
      </w:r>
    </w:p>
    <w:p>
      <w:pPr>
        <w:spacing w:line="540" w:lineRule="exact"/>
        <w:ind w:firstLine="640" w:firstLineChars="200"/>
        <w:jc w:val="left"/>
        <w:rPr>
          <w:rStyle w:val="6"/>
          <w:sz w:val="32"/>
        </w:rPr>
      </w:pPr>
    </w:p>
    <w:p>
      <w:pPr>
        <w:spacing w:line="540" w:lineRule="exact"/>
        <w:ind w:firstLine="723" w:firstLineChars="200"/>
        <w:jc w:val="left"/>
        <w:rPr>
          <w:rStyle w:val="6"/>
          <w:rFonts w:ascii="宋体" w:hAnsi="宋体"/>
          <w:b/>
          <w:sz w:val="36"/>
          <w:szCs w:val="36"/>
        </w:rPr>
      </w:pPr>
      <w:r>
        <w:rPr>
          <w:rStyle w:val="6"/>
          <w:rFonts w:ascii="宋体" w:hAnsi="宋体"/>
          <w:b/>
          <w:sz w:val="36"/>
          <w:szCs w:val="36"/>
        </w:rPr>
        <w:t>第二部分</w:t>
      </w:r>
      <w:r>
        <w:rPr>
          <w:rStyle w:val="6"/>
          <w:rFonts w:ascii="宋体" w:hAnsi="宋体" w:cs="Times New Roman"/>
          <w:b/>
          <w:bCs/>
          <w:sz w:val="36"/>
          <w:szCs w:val="36"/>
        </w:rPr>
        <w:t>沈阳市第五十一中学分校</w:t>
      </w:r>
      <w:r>
        <w:rPr>
          <w:rStyle w:val="6"/>
          <w:rFonts w:ascii="宋体" w:hAnsi="宋体"/>
          <w:b/>
          <w:sz w:val="36"/>
          <w:szCs w:val="36"/>
        </w:rPr>
        <w:t>2020年度决算情况说明</w:t>
      </w:r>
    </w:p>
    <w:p>
      <w:pPr>
        <w:spacing w:line="540" w:lineRule="exact"/>
        <w:rPr>
          <w:rStyle w:val="6"/>
          <w:rFonts w:ascii="宋体" w:hAnsi="宋体"/>
          <w:b/>
          <w:sz w:val="36"/>
          <w:szCs w:val="36"/>
        </w:rPr>
      </w:pPr>
    </w:p>
    <w:p>
      <w:pPr>
        <w:spacing w:line="540" w:lineRule="exact"/>
        <w:ind w:firstLine="627" w:firstLineChars="196"/>
        <w:rPr>
          <w:rStyle w:val="6"/>
          <w:rFonts w:ascii="黑体" w:hAnsi="黑体" w:eastAsia="黑体"/>
          <w:sz w:val="32"/>
          <w:szCs w:val="32"/>
        </w:rPr>
      </w:pPr>
      <w:r>
        <w:rPr>
          <w:rStyle w:val="6"/>
          <w:rFonts w:ascii="黑体" w:hAnsi="黑体" w:eastAsia="黑体"/>
          <w:sz w:val="32"/>
          <w:szCs w:val="32"/>
        </w:rPr>
        <w:t>一、收入支出决算总体情况</w:t>
      </w:r>
    </w:p>
    <w:p>
      <w:pPr>
        <w:spacing w:line="540" w:lineRule="exact"/>
        <w:ind w:firstLine="660"/>
        <w:rPr>
          <w:rStyle w:val="6"/>
          <w:rFonts w:ascii="楷体_GB2312" w:hAnsi="宋体" w:eastAsia="楷体_GB2312"/>
          <w:b/>
          <w:sz w:val="32"/>
          <w:szCs w:val="32"/>
        </w:rPr>
      </w:pPr>
      <w:r>
        <w:rPr>
          <w:rStyle w:val="6"/>
          <w:rFonts w:ascii="楷体_GB2312" w:hAnsi="宋体" w:eastAsia="楷体_GB2312"/>
          <w:b/>
          <w:sz w:val="32"/>
          <w:szCs w:val="32"/>
        </w:rPr>
        <w:t>（一）收入总计1041.08万元，包括：</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1.财政拨款收入969.47万元，占收入总计的93%。其中：一般公共预算财政拨款收入969.47万元，政府性基金收入0万元，国有资本经营预算财政拨款收入0万元。</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2.上级补助收入0万元，占收入总计的0%。</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3.事业收入0万元，占收入总计的0%。</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4.经营收入0万元，占收入总计的0%。</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5.附属单位上缴收入0万元，占收入总计的0%。</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6.其他收入3.79万元，占收入总计的1%。主要是教育局转助学金和免学费补助等收入。</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7.用事业基金弥补收支差额0万元，占收入总计的0%。</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8.上年结转和结余67.82万元，占收入总计的6%。主要是教育局转弹性离校、往年结转的事业基金等。</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与上年相比，今年收入增加86.05万元，增长9%，主要原因：</w:t>
      </w:r>
      <w:r>
        <w:rPr>
          <w:rStyle w:val="6"/>
          <w:rFonts w:ascii="黑体" w:hAnsi="黑体" w:eastAsia="黑体"/>
          <w:sz w:val="32"/>
          <w:szCs w:val="32"/>
        </w:rPr>
        <w:t>一是</w:t>
      </w:r>
      <w:r>
        <w:rPr>
          <w:rStyle w:val="6"/>
          <w:rFonts w:ascii="仿宋_GB2312" w:hAnsi="宋体" w:eastAsia="仿宋_GB2312"/>
          <w:sz w:val="32"/>
          <w:szCs w:val="32"/>
        </w:rPr>
        <w:t>学生增多，生均经费增加。</w:t>
      </w:r>
    </w:p>
    <w:p>
      <w:pPr>
        <w:spacing w:line="540" w:lineRule="exact"/>
        <w:ind w:firstLine="660"/>
        <w:rPr>
          <w:rStyle w:val="6"/>
          <w:rFonts w:ascii="楷体_GB2312" w:hAnsi="宋体" w:eastAsia="楷体_GB2312"/>
          <w:b/>
          <w:sz w:val="32"/>
          <w:szCs w:val="32"/>
        </w:rPr>
      </w:pPr>
      <w:r>
        <w:rPr>
          <w:rStyle w:val="6"/>
          <w:rFonts w:ascii="楷体_GB2312" w:hAnsi="宋体" w:eastAsia="楷体_GB2312"/>
          <w:b/>
          <w:sz w:val="32"/>
          <w:szCs w:val="32"/>
        </w:rPr>
        <w:t>（二）支出总计</w:t>
      </w:r>
      <w:r>
        <w:rPr>
          <w:rStyle w:val="6"/>
          <w:rFonts w:ascii="等线" w:hAnsi="等线" w:eastAsia="楷体_GB2312"/>
          <w:b/>
          <w:sz w:val="32"/>
          <w:szCs w:val="32"/>
        </w:rPr>
        <w:t>1006.79</w:t>
      </w:r>
      <w:r>
        <w:rPr>
          <w:rStyle w:val="6"/>
          <w:rFonts w:ascii="楷体_GB2312" w:hAnsi="宋体" w:eastAsia="楷体_GB2312"/>
          <w:b/>
          <w:sz w:val="32"/>
          <w:szCs w:val="32"/>
        </w:rPr>
        <w:t>万元，包括：</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1.基本支出892.92万元，占支出总计的88%。主要是为保障机构正常运转、完成日常工作任务而发生的各项支出，其中：工资福利支出685.96万元，对个人和家庭的补助支出25.74万元，商品和服务支出155.87万元，资本性支出25.35万元。</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2.项目支出113.87万元，占支出总计的12%。主要包括电取暖、设备款、弹性离校等业务支出。</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3.上缴上级支出0万元，占支出总计的0%。</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4.经营支出0万元，占支出总计的0%。</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5.对附属单位补助支出0万元，占支出总计的0%。</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与上年相比，今年支出增加51.76万元，增长5%，主要原因：</w:t>
      </w:r>
      <w:r>
        <w:rPr>
          <w:rStyle w:val="6"/>
          <w:rFonts w:ascii="黑体" w:hAnsi="黑体" w:eastAsia="黑体"/>
          <w:sz w:val="32"/>
          <w:szCs w:val="32"/>
        </w:rPr>
        <w:t>一是</w:t>
      </w:r>
      <w:r>
        <w:rPr>
          <w:rStyle w:val="6"/>
          <w:rFonts w:ascii="仿宋_GB2312" w:hAnsi="宋体" w:eastAsia="仿宋_GB2312"/>
          <w:sz w:val="32"/>
          <w:szCs w:val="32"/>
        </w:rPr>
        <w:t>学生增多，生均经费增加。</w:t>
      </w:r>
    </w:p>
    <w:p>
      <w:pPr>
        <w:spacing w:line="540" w:lineRule="exact"/>
        <w:ind w:firstLine="660"/>
        <w:rPr>
          <w:rStyle w:val="6"/>
          <w:rFonts w:ascii="楷体_GB2312" w:hAnsi="宋体" w:eastAsia="楷体_GB2312"/>
          <w:b/>
          <w:sz w:val="32"/>
          <w:szCs w:val="32"/>
        </w:rPr>
      </w:pPr>
      <w:r>
        <w:rPr>
          <w:rStyle w:val="6"/>
          <w:rFonts w:ascii="楷体_GB2312" w:hAnsi="宋体" w:eastAsia="楷体_GB2312"/>
          <w:b/>
          <w:sz w:val="32"/>
          <w:szCs w:val="32"/>
        </w:rPr>
        <w:t>（三）年末结转和结余34.29万元。</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主要是以前年度事业基金形成的结余。与上年相比，今年结转结余减少33.53万元，降低49</w:t>
      </w:r>
      <w:r>
        <w:rPr>
          <w:rStyle w:val="6"/>
          <w:rFonts w:hint="eastAsia" w:ascii="仿宋_GB2312" w:hAnsi="宋体" w:eastAsia="仿宋_GB2312"/>
          <w:sz w:val="32"/>
          <w:szCs w:val="32"/>
          <w:lang w:val="en-US" w:eastAsia="zh-CN"/>
        </w:rPr>
        <w:t>.44</w:t>
      </w:r>
      <w:r>
        <w:rPr>
          <w:rStyle w:val="6"/>
          <w:rFonts w:ascii="仿宋_GB2312" w:hAnsi="宋体" w:eastAsia="仿宋_GB2312"/>
          <w:sz w:val="32"/>
          <w:szCs w:val="32"/>
        </w:rPr>
        <w:t>%，主要原因：</w:t>
      </w:r>
      <w:r>
        <w:rPr>
          <w:rStyle w:val="6"/>
          <w:rFonts w:ascii="黑体" w:hAnsi="黑体" w:eastAsia="黑体"/>
          <w:sz w:val="32"/>
          <w:szCs w:val="32"/>
        </w:rPr>
        <w:t>一是</w:t>
      </w:r>
      <w:r>
        <w:rPr>
          <w:rStyle w:val="6"/>
          <w:rFonts w:ascii="仿宋_GB2312" w:hAnsi="宋体" w:eastAsia="仿宋_GB2312"/>
          <w:sz w:val="32"/>
          <w:szCs w:val="32"/>
        </w:rPr>
        <w:t>支出结余的教育局转的设备款；</w:t>
      </w:r>
      <w:r>
        <w:rPr>
          <w:rStyle w:val="6"/>
          <w:rFonts w:ascii="黑体" w:hAnsi="黑体" w:eastAsia="黑体"/>
          <w:sz w:val="32"/>
          <w:szCs w:val="32"/>
        </w:rPr>
        <w:t>二是</w:t>
      </w:r>
      <w:r>
        <w:rPr>
          <w:rStyle w:val="6"/>
          <w:rFonts w:ascii="仿宋_GB2312" w:hAnsi="宋体" w:eastAsia="仿宋_GB2312"/>
          <w:sz w:val="32"/>
          <w:szCs w:val="32"/>
        </w:rPr>
        <w:t>支出结余的教育局拨弹性离校。</w:t>
      </w:r>
    </w:p>
    <w:p>
      <w:pPr>
        <w:spacing w:line="540" w:lineRule="exact"/>
        <w:ind w:firstLine="660"/>
        <w:rPr>
          <w:rStyle w:val="6"/>
          <w:rFonts w:ascii="黑体" w:hAnsi="黑体" w:eastAsia="黑体"/>
          <w:sz w:val="32"/>
          <w:szCs w:val="32"/>
        </w:rPr>
      </w:pPr>
      <w:r>
        <w:rPr>
          <w:rStyle w:val="6"/>
          <w:rFonts w:ascii="黑体" w:hAnsi="黑体" w:eastAsia="黑体"/>
          <w:sz w:val="32"/>
          <w:szCs w:val="32"/>
        </w:rPr>
        <w:t>二、财政拨款支出决算情况</w:t>
      </w:r>
    </w:p>
    <w:p>
      <w:pPr>
        <w:spacing w:line="540" w:lineRule="exact"/>
        <w:ind w:firstLine="660"/>
        <w:rPr>
          <w:rStyle w:val="6"/>
          <w:rFonts w:ascii="楷体_GB2312" w:hAnsi="宋体" w:eastAsia="楷体_GB2312"/>
          <w:b/>
          <w:sz w:val="32"/>
          <w:szCs w:val="32"/>
        </w:rPr>
      </w:pPr>
      <w:r>
        <w:rPr>
          <w:rStyle w:val="6"/>
          <w:rFonts w:ascii="楷体_GB2312" w:hAnsi="宋体" w:eastAsia="楷体_GB2312"/>
          <w:b/>
          <w:sz w:val="32"/>
          <w:szCs w:val="32"/>
        </w:rPr>
        <w:t>（一）总体情况。</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2020年度财政拨款支出1001.20万元，其中：基本支出892.92万元，项目支出108.2</w:t>
      </w:r>
      <w:r>
        <w:rPr>
          <w:rStyle w:val="6"/>
          <w:rFonts w:hint="eastAsia" w:ascii="仿宋_GB2312" w:hAnsi="宋体" w:eastAsia="仿宋_GB2312"/>
          <w:sz w:val="32"/>
          <w:szCs w:val="32"/>
          <w:lang w:val="en-US" w:eastAsia="zh-CN"/>
        </w:rPr>
        <w:t>8</w:t>
      </w:r>
      <w:r>
        <w:rPr>
          <w:rStyle w:val="6"/>
          <w:rFonts w:ascii="仿宋_GB2312" w:hAnsi="宋体" w:eastAsia="仿宋_GB2312"/>
          <w:sz w:val="32"/>
          <w:szCs w:val="32"/>
        </w:rPr>
        <w:t>万元。与上年相比，财政拨款支出增加106.66万元，增长11%，主要原因：</w:t>
      </w:r>
      <w:r>
        <w:rPr>
          <w:rStyle w:val="6"/>
          <w:rFonts w:ascii="仿宋_GB2312" w:eastAsia="仿宋_GB2312" w:cs="Times New Roman"/>
          <w:bCs/>
          <w:sz w:val="32"/>
          <w:szCs w:val="32"/>
        </w:rPr>
        <w:t>学生人数增加，学校正常教育教学运行费用增加</w:t>
      </w:r>
      <w:r>
        <w:rPr>
          <w:rStyle w:val="6"/>
          <w:rFonts w:ascii="仿宋_GB2312" w:hAnsi="宋体" w:eastAsia="仿宋_GB2312"/>
          <w:sz w:val="32"/>
          <w:szCs w:val="32"/>
        </w:rPr>
        <w:t>。与年初预算相比，2020年度财政拨款支出完成年初预算的100%，其中：基本支出完成年初预算的100%，学校没有单独安排项目年初预算，由教育局统一安排。</w:t>
      </w:r>
    </w:p>
    <w:p>
      <w:pPr>
        <w:spacing w:line="540" w:lineRule="exact"/>
        <w:ind w:firstLine="660"/>
        <w:rPr>
          <w:rFonts w:ascii="楷体_GB2312" w:hAnsi="宋体" w:eastAsia="楷体_GB2312"/>
          <w:b/>
          <w:color w:val="000000" w:themeColor="text1"/>
          <w:sz w:val="32"/>
          <w:szCs w:val="32"/>
        </w:rPr>
      </w:pPr>
      <w:r>
        <w:rPr>
          <w:rFonts w:hint="eastAsia" w:ascii="楷体_GB2312" w:hAnsi="宋体" w:eastAsia="楷体_GB2312"/>
          <w:b/>
          <w:color w:val="000000" w:themeColor="text1"/>
          <w:sz w:val="32"/>
          <w:szCs w:val="32"/>
        </w:rPr>
        <w:t>（二）一般公共预算财政拨款支出情况。</w:t>
      </w:r>
    </w:p>
    <w:p>
      <w:pPr>
        <w:spacing w:line="540" w:lineRule="exact"/>
        <w:ind w:firstLine="660"/>
        <w:rPr>
          <w:rStyle w:val="6"/>
          <w:rFonts w:ascii="仿宋_GB2312" w:hAnsi="宋体" w:eastAsia="仿宋_GB2312"/>
          <w:sz w:val="32"/>
          <w:szCs w:val="32"/>
        </w:rPr>
      </w:pPr>
      <w:r>
        <w:rPr>
          <w:rStyle w:val="6"/>
          <w:rFonts w:ascii="仿宋_GB2312" w:hAnsi="宋体" w:eastAsia="仿宋_GB2312"/>
          <w:sz w:val="32"/>
          <w:szCs w:val="32"/>
        </w:rPr>
        <w:t>2020年度财政拨款支出1001.20万元，按支出功能分类科目分，包括：</w:t>
      </w:r>
      <w:r>
        <w:rPr>
          <w:rStyle w:val="6"/>
          <w:rFonts w:ascii="仿宋_GB2312" w:eastAsia="仿宋_GB2312"/>
          <w:sz w:val="32"/>
          <w:szCs w:val="32"/>
        </w:rPr>
        <w:t>包括教育支出901.73，</w:t>
      </w:r>
      <w:r>
        <w:rPr>
          <w:rStyle w:val="6"/>
          <w:rFonts w:ascii="仿宋_GB2312" w:hAnsi="宋体" w:eastAsia="仿宋_GB2312"/>
          <w:sz w:val="32"/>
          <w:szCs w:val="32"/>
        </w:rPr>
        <w:t>占90%；</w:t>
      </w:r>
      <w:r>
        <w:rPr>
          <w:rStyle w:val="6"/>
          <w:rFonts w:ascii="仿宋_GB2312" w:eastAsia="仿宋_GB2312"/>
          <w:sz w:val="32"/>
          <w:szCs w:val="32"/>
        </w:rPr>
        <w:t>社会保障和就业支出63.20万元</w:t>
      </w:r>
      <w:r>
        <w:rPr>
          <w:rStyle w:val="6"/>
          <w:rFonts w:ascii="仿宋_GB2312" w:hAnsi="宋体" w:eastAsia="仿宋_GB2312"/>
          <w:sz w:val="32"/>
          <w:szCs w:val="32"/>
        </w:rPr>
        <w:t>，占6%；卫生健康支出36.27万元，占3%。</w:t>
      </w:r>
    </w:p>
    <w:p>
      <w:pPr>
        <w:pStyle w:val="13"/>
        <w:numPr>
          <w:ilvl w:val="0"/>
          <w:numId w:val="2"/>
        </w:numPr>
        <w:spacing w:line="560" w:lineRule="atLeast"/>
        <w:ind w:firstLine="640" w:firstLineChars="200"/>
        <w:rPr>
          <w:rStyle w:val="6"/>
          <w:rFonts w:ascii="仿宋_GB2312" w:eastAsia="仿宋_GB2312"/>
          <w:sz w:val="32"/>
          <w:szCs w:val="32"/>
        </w:rPr>
      </w:pPr>
      <w:r>
        <w:rPr>
          <w:rStyle w:val="6"/>
          <w:rFonts w:ascii="仿宋_GB2312" w:eastAsia="仿宋_GB2312"/>
          <w:sz w:val="32"/>
          <w:szCs w:val="32"/>
        </w:rPr>
        <w:t>教育支出901.73万元，具体包括：</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（1）教育支出（类）普通教育（款）高中教育（项）</w:t>
      </w:r>
      <w:r>
        <w:rPr>
          <w:rFonts w:hint="eastAsia" w:ascii="仿宋_GB2312" w:hAnsi="宋体" w:eastAsia="仿宋_GB2312"/>
          <w:sz w:val="32"/>
          <w:szCs w:val="32"/>
          <w:lang w:val="en-US" w:eastAsia="zh-CN"/>
        </w:rPr>
        <w:t>864.12</w:t>
      </w:r>
      <w:r>
        <w:rPr>
          <w:rFonts w:hint="eastAsia" w:ascii="仿宋_GB2312" w:hAnsi="宋体" w:eastAsia="仿宋_GB2312"/>
          <w:sz w:val="32"/>
          <w:szCs w:val="32"/>
        </w:rPr>
        <w:t>万元，主要是教育等支出，完成年初预算的100%，决算数等于年初预算数的原因主要是严格按照年初预算实行。</w:t>
      </w:r>
    </w:p>
    <w:p>
      <w:pPr>
        <w:spacing w:line="540" w:lineRule="exact"/>
        <w:ind w:firstLine="660"/>
        <w:rPr>
          <w:rStyle w:val="6"/>
          <w:rFonts w:ascii="仿宋_GB2312"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2</w:t>
      </w:r>
      <w:r>
        <w:rPr>
          <w:rFonts w:hint="eastAsia" w:ascii="仿宋_GB2312" w:hAnsi="宋体" w:eastAsia="仿宋_GB2312"/>
          <w:sz w:val="32"/>
          <w:szCs w:val="32"/>
        </w:rPr>
        <w:t>）教育支出（类）教育费附加安排的支出（款）其他教育费附加安排的支出（项）</w:t>
      </w:r>
      <w:r>
        <w:rPr>
          <w:rFonts w:hint="eastAsia" w:ascii="仿宋_GB2312" w:hAnsi="宋体" w:eastAsia="仿宋_GB2312"/>
          <w:sz w:val="32"/>
          <w:szCs w:val="32"/>
          <w:lang w:val="en-US" w:eastAsia="zh-CN"/>
        </w:rPr>
        <w:t>55.61</w:t>
      </w:r>
      <w:r>
        <w:rPr>
          <w:rFonts w:hint="eastAsia" w:ascii="仿宋_GB2312" w:hAnsi="宋体" w:eastAsia="仿宋_GB2312"/>
          <w:sz w:val="32"/>
          <w:szCs w:val="32"/>
        </w:rPr>
        <w:t>万元，主要是教育等支出，完成年初预算的100%，决算数等于年初预算数的原因主要是严格按照年初预算实行。</w:t>
      </w:r>
    </w:p>
    <w:p>
      <w:pPr>
        <w:spacing w:line="540" w:lineRule="exact"/>
        <w:ind w:firstLine="660"/>
        <w:rPr>
          <w:rStyle w:val="6"/>
          <w:rFonts w:ascii="仿宋_GB2312" w:eastAsia="仿宋_GB2312" w:cs="Times New Roman"/>
          <w:bCs/>
          <w:sz w:val="32"/>
          <w:szCs w:val="32"/>
        </w:rPr>
      </w:pPr>
      <w:r>
        <w:rPr>
          <w:rStyle w:val="6"/>
          <w:rFonts w:ascii="仿宋_GB2312" w:eastAsia="仿宋_GB2312" w:cs="Times New Roman"/>
          <w:bCs/>
          <w:sz w:val="32"/>
          <w:szCs w:val="32"/>
        </w:rPr>
        <w:t>2.社会保障和就业支出63.20万元，具体包括：行政事业单位养老支出63.</w:t>
      </w:r>
      <w:r>
        <w:rPr>
          <w:rStyle w:val="6"/>
          <w:rFonts w:hint="eastAsia" w:ascii="仿宋_GB2312" w:eastAsia="仿宋_GB2312" w:cs="Times New Roman"/>
          <w:bCs/>
          <w:sz w:val="32"/>
          <w:szCs w:val="32"/>
          <w:lang w:val="en-US" w:eastAsia="zh-CN"/>
        </w:rPr>
        <w:t>20</w:t>
      </w:r>
      <w:r>
        <w:rPr>
          <w:rStyle w:val="6"/>
          <w:rFonts w:ascii="仿宋_GB2312" w:eastAsia="仿宋_GB2312" w:cs="Times New Roman"/>
          <w:bCs/>
          <w:sz w:val="32"/>
          <w:szCs w:val="32"/>
        </w:rPr>
        <w:t>万元</w:t>
      </w:r>
      <w:r>
        <w:rPr>
          <w:rFonts w:hint="eastAsia" w:ascii="仿宋_GB2312" w:hAnsi="宋体" w:eastAsia="仿宋_GB2312"/>
          <w:sz w:val="32"/>
          <w:szCs w:val="32"/>
        </w:rPr>
        <w:t>，主要是社会保障和就业等支出，完成年初预算的100%，决算数等于年初预算数的原因主要是严格按照年初预算实行。</w:t>
      </w:r>
    </w:p>
    <w:p>
      <w:pPr>
        <w:spacing w:line="540" w:lineRule="exact"/>
        <w:ind w:firstLine="660"/>
        <w:rPr>
          <w:rStyle w:val="6"/>
          <w:rFonts w:ascii="仿宋_GB2312" w:eastAsia="仿宋_GB2312" w:cs="Times New Roman"/>
          <w:bCs/>
          <w:sz w:val="32"/>
          <w:szCs w:val="32"/>
        </w:rPr>
      </w:pPr>
      <w:r>
        <w:rPr>
          <w:rStyle w:val="6"/>
          <w:rFonts w:ascii="仿宋_GB2312" w:eastAsia="仿宋_GB2312" w:cs="Times New Roman"/>
          <w:bCs/>
          <w:sz w:val="32"/>
          <w:szCs w:val="32"/>
        </w:rPr>
        <w:t>3.卫生健康支出36.27万元，具体包括：事业单位医疗33.48万元，其他行政事业单位医疗支出2.79万元</w:t>
      </w:r>
      <w:r>
        <w:rPr>
          <w:rFonts w:hint="eastAsia" w:ascii="仿宋_GB2312" w:hAnsi="宋体" w:eastAsia="仿宋_GB2312"/>
          <w:sz w:val="32"/>
          <w:szCs w:val="32"/>
        </w:rPr>
        <w:t>，主要是卫生健康等支出，完成年初预算的100%，决算数等于年初预算数的原因主要是严格按照年初预算实行。</w:t>
      </w:r>
    </w:p>
    <w:p>
      <w:pPr>
        <w:spacing w:line="560" w:lineRule="exact"/>
        <w:ind w:firstLine="660"/>
        <w:outlineLvl w:val="2"/>
        <w:rPr>
          <w:rFonts w:ascii="楷体_GB2312" w:hAnsi="宋体" w:eastAsia="楷体_GB2312"/>
          <w:b/>
          <w:color w:val="000000" w:themeColor="text1"/>
          <w:sz w:val="32"/>
          <w:szCs w:val="32"/>
        </w:rPr>
      </w:pPr>
      <w:r>
        <w:rPr>
          <w:rFonts w:hint="eastAsia" w:ascii="楷体_GB2312" w:hAnsi="宋体" w:eastAsia="楷体_GB2312"/>
          <w:b/>
          <w:color w:val="000000" w:themeColor="text1"/>
          <w:sz w:val="32"/>
          <w:szCs w:val="32"/>
        </w:rPr>
        <w:t>（三）政府性基金预算财政拨款支出情况。</w:t>
      </w:r>
    </w:p>
    <w:p>
      <w:pPr>
        <w:spacing w:line="560" w:lineRule="exact"/>
        <w:ind w:firstLine="66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2020年度政府性基金预算财政拨款支出0万元，占0%，主要是本年无此业务发生。</w:t>
      </w:r>
    </w:p>
    <w:p>
      <w:pPr>
        <w:spacing w:line="560" w:lineRule="exact"/>
        <w:ind w:firstLine="660"/>
        <w:outlineLvl w:val="2"/>
        <w:rPr>
          <w:rFonts w:ascii="楷体_GB2312" w:hAnsi="宋体" w:eastAsia="楷体_GB2312"/>
          <w:b/>
          <w:color w:val="000000" w:themeColor="text1"/>
          <w:sz w:val="32"/>
          <w:szCs w:val="32"/>
        </w:rPr>
      </w:pPr>
      <w:r>
        <w:rPr>
          <w:rFonts w:hint="eastAsia" w:ascii="楷体_GB2312" w:hAnsi="宋体" w:eastAsia="楷体_GB2312"/>
          <w:b/>
          <w:color w:val="000000" w:themeColor="text1"/>
          <w:sz w:val="32"/>
          <w:szCs w:val="32"/>
        </w:rPr>
        <w:t>（四）国有资本经营预算财政拨款支出情况。</w:t>
      </w:r>
    </w:p>
    <w:p>
      <w:pPr>
        <w:spacing w:line="560" w:lineRule="exact"/>
        <w:ind w:firstLine="660"/>
        <w:rPr>
          <w:rStyle w:val="6"/>
          <w:rFonts w:ascii="仿宋_GB2312" w:eastAsia="仿宋_GB2312" w:cs="Times New Roman"/>
          <w:bCs/>
          <w:sz w:val="32"/>
          <w:szCs w:val="32"/>
        </w:rPr>
      </w:pPr>
      <w:r>
        <w:rPr>
          <w:rFonts w:hint="eastAsia" w:ascii="仿宋_GB2312" w:hAnsi="宋体" w:eastAsia="仿宋_GB2312"/>
          <w:color w:val="000000" w:themeColor="text1"/>
          <w:sz w:val="32"/>
          <w:szCs w:val="32"/>
        </w:rPr>
        <w:t>2020年度国有资本经营预算财政拨款支出0万元，占0%，主要是本年无此业务发生。</w:t>
      </w:r>
    </w:p>
    <w:p>
      <w:pPr>
        <w:spacing w:line="540" w:lineRule="exact"/>
        <w:ind w:firstLine="660"/>
        <w:rPr>
          <w:rStyle w:val="6"/>
          <w:rFonts w:ascii="黑体" w:hAnsi="黑体" w:eastAsia="黑体"/>
          <w:sz w:val="32"/>
          <w:szCs w:val="32"/>
        </w:rPr>
      </w:pPr>
      <w:r>
        <w:rPr>
          <w:rStyle w:val="6"/>
          <w:rFonts w:ascii="黑体" w:hAnsi="黑体" w:eastAsia="黑体"/>
          <w:sz w:val="32"/>
          <w:szCs w:val="32"/>
        </w:rPr>
        <w:t>三、一般公共预算财政拨款“三公”经费支出决算情况</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2020年度一般公共预算财政拨款安排的“三公”经费支出0.74万元，完成年初预算的100%。其中：因公出国（境）费0万元，公务接待费0万元，公务用车购置及运行维护费0.74万元。</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1.因公出国（境）费0万元，占“三公”经费支出的0%。2020年参加出国（境）团组0个，累计0人次。2020年因公出国（境）费与年初预算比减少0万元，下降0%，本单位无此业务。</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2.公务接待费0万元，占“三公”经费支出的0%。2020年国内公务接待累计0批次、0人0万元，本单位无此项支出，其中外事接待累计,0批次、0人、0万元。2020年公务接待费与年初预算比减少0万元，下降0%，本单位无此业务。</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3.</w:t>
      </w:r>
      <w:r>
        <w:rPr>
          <w:rFonts w:hint="eastAsia"/>
        </w:rPr>
        <w:t xml:space="preserve"> </w:t>
      </w:r>
      <w:r>
        <w:rPr>
          <w:rFonts w:hint="eastAsia" w:ascii="仿宋_GB2312" w:hAnsi="宋体" w:eastAsia="仿宋_GB2312"/>
          <w:sz w:val="32"/>
          <w:szCs w:val="32"/>
        </w:rPr>
        <w:t>公务用车购置及</w:t>
      </w:r>
      <w:r>
        <w:rPr>
          <w:rFonts w:ascii="仿宋_GB2312" w:hAnsi="宋体" w:eastAsia="仿宋_GB2312"/>
          <w:sz w:val="32"/>
          <w:szCs w:val="32"/>
        </w:rPr>
        <w:t>运行费</w:t>
      </w:r>
      <w:r>
        <w:rPr>
          <w:rFonts w:hint="eastAsia" w:ascii="仿宋_GB2312" w:hAnsi="宋体" w:eastAsia="仿宋_GB2312"/>
          <w:sz w:val="32"/>
          <w:szCs w:val="32"/>
        </w:rPr>
        <w:t>0.74万元，占“三公”经费支出的100%。与年初预算比增加0.74万元，增加100%，学校公务用车产生费油由生均经费中列支，区财政不单独安排资金，因此与年初预算相比增加100%。</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其中：公务用车购置费0万元,当年购置公务用车0辆。公务用车运行维护费0.74万元，主要用于加油保养和维修等，截至年末使用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公务用车保有量1辆。</w:t>
      </w:r>
    </w:p>
    <w:p>
      <w:pPr>
        <w:spacing w:line="540" w:lineRule="exact"/>
        <w:ind w:firstLine="645"/>
        <w:rPr>
          <w:rStyle w:val="6"/>
          <w:rFonts w:ascii="黑体" w:hAnsi="黑体" w:eastAsia="黑体"/>
          <w:sz w:val="32"/>
          <w:szCs w:val="32"/>
        </w:rPr>
      </w:pPr>
      <w:r>
        <w:rPr>
          <w:rStyle w:val="6"/>
          <w:rFonts w:ascii="黑体" w:hAnsi="黑体" w:eastAsia="黑体"/>
          <w:sz w:val="32"/>
          <w:szCs w:val="32"/>
        </w:rPr>
        <w:t>四、一般公共预算财政拨款基本支出决算情况说明</w:t>
      </w:r>
    </w:p>
    <w:p>
      <w:pPr>
        <w:spacing w:line="540" w:lineRule="exact"/>
        <w:ind w:firstLine="645"/>
        <w:rPr>
          <w:rStyle w:val="6"/>
          <w:rFonts w:ascii="仿宋_GB2312" w:hAnsi="宋体" w:eastAsia="仿宋_GB2312"/>
          <w:sz w:val="32"/>
          <w:szCs w:val="32"/>
        </w:rPr>
      </w:pPr>
      <w:r>
        <w:rPr>
          <w:rStyle w:val="6"/>
          <w:rFonts w:ascii="仿宋_GB2312" w:hAnsi="宋体" w:eastAsia="仿宋_GB2312"/>
          <w:sz w:val="32"/>
          <w:szCs w:val="32"/>
        </w:rPr>
        <w:t>2020年度一般公共预算财政拨款基本支出892.92万元，其中：人员经费711.70万元，主要包括基本工资、津贴补贴、奖金、其他社会保障缴费、机关事业单位基本养老保险缴费、其他工资福利支出、离休费、退休费、抚恤金、生活补助、奖励金、住房公积金、采暖补贴、其他对个人和家庭补助的支出；日常公用经费181.22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spacing w:line="540" w:lineRule="exact"/>
        <w:ind w:firstLine="640" w:firstLineChars="200"/>
        <w:rPr>
          <w:rStyle w:val="6"/>
          <w:rFonts w:ascii="黑体" w:hAnsi="黑体" w:eastAsia="黑体"/>
          <w:sz w:val="32"/>
          <w:szCs w:val="32"/>
        </w:rPr>
      </w:pPr>
      <w:r>
        <w:rPr>
          <w:rStyle w:val="6"/>
          <w:rFonts w:ascii="黑体" w:hAnsi="黑体" w:eastAsia="黑体"/>
          <w:sz w:val="32"/>
          <w:szCs w:val="32"/>
        </w:rPr>
        <w:t>五、其他重要事项的情况说明</w:t>
      </w:r>
    </w:p>
    <w:p>
      <w:pPr>
        <w:spacing w:line="540" w:lineRule="exact"/>
        <w:ind w:firstLine="643" w:firstLineChars="200"/>
        <w:rPr>
          <w:rStyle w:val="6"/>
          <w:rFonts w:ascii="楷体_GB2312" w:hAnsi="黑体" w:eastAsia="楷体_GB2312"/>
          <w:b/>
          <w:sz w:val="32"/>
          <w:szCs w:val="32"/>
        </w:rPr>
      </w:pPr>
      <w:r>
        <w:rPr>
          <w:rStyle w:val="6"/>
          <w:rFonts w:ascii="楷体_GB2312" w:hAnsi="黑体" w:eastAsia="楷体_GB2312"/>
          <w:b/>
          <w:sz w:val="32"/>
          <w:szCs w:val="32"/>
        </w:rPr>
        <w:t>（一）机关运行经费支出情况。</w:t>
      </w:r>
    </w:p>
    <w:p>
      <w:pPr>
        <w:spacing w:line="540" w:lineRule="exact"/>
        <w:ind w:firstLine="640" w:firstLineChars="200"/>
        <w:rPr>
          <w:rFonts w:hint="eastAsia" w:ascii="仿宋_GB2312" w:hAnsi="黑体" w:eastAsia="仿宋_GB2312"/>
          <w:sz w:val="32"/>
          <w:szCs w:val="32"/>
        </w:rPr>
      </w:pPr>
      <w:r>
        <w:rPr>
          <w:rFonts w:hint="eastAsia" w:ascii="楷体_GB2312" w:hAnsi="黑体" w:eastAsia="楷体_GB2312"/>
          <w:bCs/>
          <w:sz w:val="32"/>
          <w:szCs w:val="32"/>
        </w:rPr>
        <w:t>2020年机关运行经费支出0万元，与上年持平，主要原因是本单位属于事业单位，无机关运行经费</w:t>
      </w:r>
      <w:r>
        <w:rPr>
          <w:rFonts w:hint="eastAsia" w:ascii="仿宋_GB2312" w:hAnsi="黑体" w:eastAsia="仿宋_GB2312"/>
          <w:sz w:val="32"/>
          <w:szCs w:val="32"/>
        </w:rPr>
        <w:t>。</w:t>
      </w:r>
    </w:p>
    <w:p>
      <w:pPr>
        <w:spacing w:line="540" w:lineRule="exact"/>
        <w:ind w:firstLine="643" w:firstLineChars="200"/>
        <w:rPr>
          <w:rStyle w:val="6"/>
          <w:rFonts w:ascii="楷体_GB2312" w:hAnsi="黑体" w:eastAsia="楷体_GB2312"/>
          <w:b/>
          <w:sz w:val="32"/>
          <w:szCs w:val="32"/>
        </w:rPr>
      </w:pPr>
      <w:r>
        <w:rPr>
          <w:rStyle w:val="6"/>
          <w:rFonts w:ascii="楷体_GB2312" w:hAnsi="黑体" w:eastAsia="楷体_GB2312"/>
          <w:b/>
          <w:sz w:val="32"/>
          <w:szCs w:val="32"/>
        </w:rPr>
        <w:t>（二）政府采购支出情况。</w:t>
      </w:r>
      <w:bookmarkStart w:id="0" w:name="_GoBack"/>
      <w:bookmarkEnd w:id="0"/>
    </w:p>
    <w:p>
      <w:pPr>
        <w:spacing w:line="540" w:lineRule="exact"/>
        <w:ind w:firstLine="640" w:firstLineChars="200"/>
        <w:rPr>
          <w:rStyle w:val="6"/>
          <w:rFonts w:ascii="仿宋_GB2312" w:hAnsi="黑体" w:eastAsia="仿宋_GB2312"/>
          <w:sz w:val="32"/>
          <w:szCs w:val="32"/>
        </w:rPr>
      </w:pPr>
      <w:r>
        <w:rPr>
          <w:rStyle w:val="6"/>
          <w:rFonts w:ascii="仿宋_GB2312" w:hAnsi="黑体" w:eastAsia="仿宋_GB2312"/>
          <w:sz w:val="32"/>
          <w:szCs w:val="32"/>
        </w:rPr>
        <w:t>2020年政府采购支出总额0万元，其中：政府采购货物支出0万元，政府采购工程支出0万元，政府采购服务支出0万元。</w:t>
      </w:r>
      <w:r>
        <w:rPr>
          <w:rStyle w:val="6"/>
          <w:rFonts w:ascii="仿宋_GB2312" w:eastAsia="仿宋_GB2312"/>
          <w:sz w:val="32"/>
          <w:szCs w:val="32"/>
        </w:rPr>
        <w:t>授予中小企业合同金额0万元，占政府采购支出总额的0%，其中：授予小微企业合同金额0万元，占政府采购支出总额的0%。</w:t>
      </w:r>
    </w:p>
    <w:p>
      <w:pPr>
        <w:spacing w:line="540" w:lineRule="exact"/>
        <w:ind w:firstLine="643" w:firstLineChars="200"/>
        <w:rPr>
          <w:rStyle w:val="6"/>
          <w:rFonts w:ascii="楷体_GB2312" w:hAnsi="黑体" w:eastAsia="楷体_GB2312"/>
          <w:b/>
          <w:sz w:val="32"/>
          <w:szCs w:val="32"/>
        </w:rPr>
      </w:pPr>
      <w:r>
        <w:rPr>
          <w:rStyle w:val="6"/>
          <w:rFonts w:ascii="楷体_GB2312" w:hAnsi="黑体" w:eastAsia="楷体_GB2312"/>
          <w:b/>
          <w:sz w:val="32"/>
          <w:szCs w:val="32"/>
        </w:rPr>
        <w:t>（三）国有资产占用情况。</w:t>
      </w:r>
    </w:p>
    <w:p>
      <w:pPr>
        <w:spacing w:line="540" w:lineRule="exact"/>
        <w:ind w:firstLine="640" w:firstLineChars="200"/>
        <w:rPr>
          <w:rStyle w:val="6"/>
          <w:rFonts w:ascii="仿宋_GB2312" w:hAnsi="黑体" w:eastAsia="仿宋_GB2312"/>
          <w:sz w:val="32"/>
          <w:szCs w:val="32"/>
        </w:rPr>
      </w:pPr>
      <w:r>
        <w:rPr>
          <w:rStyle w:val="6"/>
          <w:rFonts w:ascii="仿宋_GB2312" w:hAnsi="黑体" w:eastAsia="仿宋_GB2312"/>
          <w:sz w:val="32"/>
          <w:szCs w:val="32"/>
        </w:rPr>
        <w:t>截至2020年12月31日，共有车辆1辆，其中：副省级以上领导干部用车0辆，主要领导干部用车0辆，机要通讯用车0辆，应急保障用车0辆，执法执勤用车0辆，特种专业技术用车0辆，离退休干部用车0辆，其他用车1辆，其他用车主要是学校公出人员用车。单位价值50万元以上通用设备0台（套），单价100万元以上专用设备0台（套）。</w:t>
      </w:r>
    </w:p>
    <w:p>
      <w:pPr>
        <w:spacing w:line="540" w:lineRule="exact"/>
        <w:ind w:firstLine="643" w:firstLineChars="200"/>
        <w:jc w:val="left"/>
        <w:rPr>
          <w:rStyle w:val="6"/>
          <w:rFonts w:ascii="楷体_GB2312" w:hAnsi="宋体" w:eastAsia="楷体_GB2312"/>
          <w:b/>
          <w:sz w:val="32"/>
          <w:szCs w:val="32"/>
        </w:rPr>
      </w:pPr>
      <w:r>
        <w:rPr>
          <w:rStyle w:val="6"/>
          <w:rFonts w:ascii="楷体_GB2312" w:hAnsi="宋体" w:eastAsia="楷体_GB2312"/>
          <w:b/>
          <w:sz w:val="32"/>
          <w:szCs w:val="32"/>
        </w:rPr>
        <w:t>（四）预算绩效管理工作开展情况。</w:t>
      </w:r>
    </w:p>
    <w:p>
      <w:pPr>
        <w:spacing w:line="540" w:lineRule="exact"/>
        <w:ind w:firstLine="640" w:firstLineChars="200"/>
        <w:jc w:val="left"/>
        <w:rPr>
          <w:rStyle w:val="6"/>
          <w:rFonts w:ascii="宋体" w:hAnsi="宋体"/>
          <w:b/>
          <w:sz w:val="36"/>
          <w:szCs w:val="36"/>
        </w:rPr>
      </w:pPr>
      <w:r>
        <w:rPr>
          <w:rStyle w:val="6"/>
          <w:rFonts w:ascii="仿宋_GB2312" w:eastAsia="仿宋_GB2312" w:cs="Times New Roman"/>
          <w:bCs/>
          <w:sz w:val="32"/>
          <w:szCs w:val="32"/>
        </w:rPr>
        <w:t>2020年不涉及民生项目和重点支出项目，</w:t>
      </w:r>
      <w:r>
        <w:rPr>
          <w:rStyle w:val="6"/>
          <w:rFonts w:ascii="仿宋_GB2312" w:eastAsia="仿宋_GB2312" w:cs="Times New Roman"/>
          <w:bCs/>
          <w:color w:val="000000"/>
          <w:sz w:val="32"/>
          <w:szCs w:val="32"/>
        </w:rPr>
        <w:t>因此本单位无绩效自评及部门评价。</w:t>
      </w:r>
    </w:p>
    <w:p>
      <w:pPr>
        <w:spacing w:line="540" w:lineRule="exact"/>
        <w:ind w:firstLine="723" w:firstLineChars="200"/>
        <w:jc w:val="left"/>
        <w:rPr>
          <w:rStyle w:val="6"/>
          <w:rFonts w:ascii="宋体" w:hAnsi="宋体"/>
          <w:b/>
          <w:sz w:val="36"/>
          <w:szCs w:val="36"/>
        </w:rPr>
      </w:pPr>
    </w:p>
    <w:p>
      <w:pPr>
        <w:spacing w:line="540" w:lineRule="exact"/>
        <w:jc w:val="center"/>
        <w:rPr>
          <w:rStyle w:val="6"/>
          <w:rFonts w:ascii="宋体" w:hAnsi="宋体"/>
          <w:b/>
          <w:sz w:val="36"/>
          <w:szCs w:val="36"/>
        </w:rPr>
      </w:pPr>
      <w:r>
        <w:rPr>
          <w:rStyle w:val="6"/>
          <w:rFonts w:ascii="宋体" w:hAnsi="宋体"/>
          <w:b/>
          <w:sz w:val="36"/>
          <w:szCs w:val="36"/>
        </w:rPr>
        <w:t>第三部分名词解释</w:t>
      </w:r>
    </w:p>
    <w:p>
      <w:pPr>
        <w:spacing w:line="540" w:lineRule="exact"/>
        <w:jc w:val="center"/>
        <w:rPr>
          <w:rStyle w:val="6"/>
          <w:rFonts w:ascii="宋体" w:hAnsi="宋体"/>
          <w:b/>
          <w:sz w:val="36"/>
          <w:szCs w:val="36"/>
        </w:rPr>
      </w:pP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1.财政拨款收入：</w:t>
      </w:r>
      <w:r>
        <w:rPr>
          <w:rStyle w:val="6"/>
          <w:rFonts w:ascii="仿宋_GB2312" w:eastAsia="仿宋_GB2312"/>
          <w:sz w:val="32"/>
          <w:szCs w:val="32"/>
        </w:rPr>
        <w:t>指单位从同级财政部门取得的财政预算资金。</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2.上级补助收入：</w:t>
      </w:r>
      <w:r>
        <w:rPr>
          <w:rStyle w:val="6"/>
          <w:rFonts w:ascii="仿宋_GB2312" w:eastAsia="仿宋_GB2312"/>
          <w:sz w:val="32"/>
          <w:szCs w:val="32"/>
        </w:rPr>
        <w:t>指单位从主管部门和上级单位取得的非财政性补助收入。</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3.事业收入：</w:t>
      </w:r>
      <w:r>
        <w:rPr>
          <w:rStyle w:val="6"/>
          <w:rFonts w:ascii="仿宋_GB2312" w:eastAsia="仿宋_GB2312"/>
          <w:sz w:val="32"/>
          <w:szCs w:val="32"/>
        </w:rPr>
        <w:t>指事业单位开展专业业务活动及辅助活动所取得的收入。</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4.经营收入：</w:t>
      </w:r>
      <w:r>
        <w:rPr>
          <w:rStyle w:val="6"/>
          <w:rFonts w:ascii="仿宋_GB2312" w:eastAsia="仿宋_GB2312"/>
          <w:sz w:val="32"/>
          <w:szCs w:val="32"/>
        </w:rPr>
        <w:t>指事业单位在专业业务活动及辅助活动之外开展非独立核算经营活动取得的收入。</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5.附属单位上缴收入：</w:t>
      </w:r>
      <w:r>
        <w:rPr>
          <w:rStyle w:val="6"/>
          <w:rFonts w:ascii="仿宋_GB2312" w:eastAsia="仿宋_GB2312"/>
          <w:sz w:val="32"/>
          <w:szCs w:val="32"/>
        </w:rPr>
        <w:t>指单位附属的独立核算单位按照规定上缴的收入。</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6.其他收入：</w:t>
      </w:r>
      <w:r>
        <w:rPr>
          <w:rStyle w:val="6"/>
          <w:rFonts w:ascii="仿宋_GB2312" w:eastAsia="仿宋_GB2312"/>
          <w:sz w:val="32"/>
          <w:szCs w:val="32"/>
        </w:rPr>
        <w:t>指除上述“财政拨款收入”、“上级补助收入”、“事业收入”、“经营收入”、“附属单位上缴收入”等以外的收入。</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7.用事业基金弥补收支差额：</w:t>
      </w:r>
      <w:r>
        <w:rPr>
          <w:rStyle w:val="6"/>
          <w:rFonts w:ascii="仿宋_GB2312" w:eastAsia="仿宋_GB2312"/>
          <w:sz w:val="32"/>
          <w:szCs w:val="32"/>
        </w:rPr>
        <w:t>指事业单位在当年的“财政拨款收入”、“财政拨款结转和结余资金”、“上级补助收入”、“事业收入”、“经营收入”、“附属单位上缴收入”、“其他收入”不足以安排当年支出情况下，使用以前年度积累的事业基金（事业单位当年收支相抵后按国家规定提取、用于弥补以后年度收支差额的基金）弥补本年度收支缺口的资金。</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8.上年结转和结余：</w:t>
      </w:r>
      <w:r>
        <w:rPr>
          <w:rStyle w:val="6"/>
          <w:rFonts w:ascii="仿宋_GB2312" w:eastAsia="仿宋_GB2312"/>
          <w:sz w:val="32"/>
          <w:szCs w:val="32"/>
        </w:rPr>
        <w:t>指以前年度尚未完成、结转到本年按有关规定继续使用的资金。</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9.基本支出：</w:t>
      </w:r>
      <w:r>
        <w:rPr>
          <w:rStyle w:val="6"/>
          <w:rFonts w:ascii="仿宋_GB2312" w:eastAsia="仿宋_GB2312"/>
          <w:sz w:val="32"/>
          <w:szCs w:val="32"/>
        </w:rPr>
        <w:t>指保障机构正常运转、完成日常工作任务而发生的人员支出和公用支出。</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10.项目支出：</w:t>
      </w:r>
      <w:r>
        <w:rPr>
          <w:rStyle w:val="6"/>
          <w:rFonts w:ascii="仿宋_GB2312" w:eastAsia="仿宋_GB2312"/>
          <w:sz w:val="32"/>
          <w:szCs w:val="32"/>
        </w:rPr>
        <w:t>指在基本支出之外为完成特定行政任务和事业发展目标所发生的支出。</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11.上缴上级支出：</w:t>
      </w:r>
      <w:r>
        <w:rPr>
          <w:rStyle w:val="6"/>
          <w:rFonts w:ascii="仿宋_GB2312" w:eastAsia="仿宋_GB2312"/>
          <w:sz w:val="32"/>
          <w:szCs w:val="32"/>
        </w:rPr>
        <w:t>指事业单位按照财政部门和主管部门的规定上缴上级单位的支出。</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12.经营支出：</w:t>
      </w:r>
      <w:r>
        <w:rPr>
          <w:rStyle w:val="6"/>
          <w:rFonts w:ascii="仿宋_GB2312" w:eastAsia="仿宋_GB2312"/>
          <w:sz w:val="32"/>
          <w:szCs w:val="32"/>
        </w:rPr>
        <w:t>指事业单位在专业活动及辅助活动之外开展非独立核算经营活动发生的支出。</w:t>
      </w:r>
    </w:p>
    <w:p>
      <w:pPr>
        <w:spacing w:line="540" w:lineRule="exact"/>
        <w:ind w:firstLine="643" w:firstLineChars="200"/>
        <w:rPr>
          <w:rStyle w:val="6"/>
          <w:rFonts w:ascii="仿宋_GB2312" w:eastAsia="仿宋_GB2312"/>
          <w:b/>
          <w:sz w:val="32"/>
          <w:szCs w:val="32"/>
        </w:rPr>
      </w:pPr>
      <w:r>
        <w:rPr>
          <w:rStyle w:val="6"/>
          <w:rFonts w:ascii="仿宋_GB2312" w:eastAsia="仿宋_GB2312"/>
          <w:b/>
          <w:sz w:val="32"/>
          <w:szCs w:val="32"/>
        </w:rPr>
        <w:t>13.对附属单位补助支出：</w:t>
      </w:r>
      <w:r>
        <w:rPr>
          <w:rStyle w:val="6"/>
          <w:rFonts w:ascii="仿宋_GB2312" w:eastAsia="仿宋_GB2312"/>
          <w:sz w:val="32"/>
          <w:szCs w:val="32"/>
        </w:rPr>
        <w:t>指事业单位用财政补助收入之外的收入对附属单位补助发生的支出。</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szCs w:val="32"/>
        </w:rPr>
        <w:t>14.“三公”经费：</w:t>
      </w:r>
      <w:r>
        <w:rPr>
          <w:rStyle w:val="6"/>
          <w:rFonts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spacing w:line="540" w:lineRule="exact"/>
        <w:ind w:firstLine="643" w:firstLineChars="200"/>
        <w:rPr>
          <w:rStyle w:val="6"/>
          <w:rFonts w:ascii="仿宋_GB2312" w:eastAsia="仿宋_GB2312"/>
          <w:b/>
          <w:sz w:val="32"/>
          <w:szCs w:val="32"/>
        </w:rPr>
      </w:pPr>
      <w:r>
        <w:rPr>
          <w:rStyle w:val="6"/>
          <w:rFonts w:ascii="仿宋_GB2312" w:eastAsia="仿宋_GB2312"/>
          <w:b/>
          <w:sz w:val="32"/>
          <w:szCs w:val="32"/>
        </w:rPr>
        <w:t>15.一般公共服务（类）财政事务（款）行政运行（项）：</w:t>
      </w:r>
      <w:r>
        <w:rPr>
          <w:rStyle w:val="6"/>
          <w:rFonts w:ascii="仿宋_GB2312" w:eastAsia="仿宋_GB2312"/>
          <w:sz w:val="32"/>
          <w:szCs w:val="32"/>
        </w:rPr>
        <w:t>反映行政单位（包括实行公务员管理的事业单位）的基本支出。</w:t>
      </w:r>
    </w:p>
    <w:p>
      <w:pPr>
        <w:spacing w:line="540" w:lineRule="exact"/>
        <w:ind w:firstLine="643" w:firstLineChars="200"/>
        <w:rPr>
          <w:rStyle w:val="6"/>
          <w:rFonts w:ascii="仿宋_GB2312" w:eastAsia="仿宋_GB2312"/>
          <w:sz w:val="32"/>
          <w:szCs w:val="32"/>
        </w:rPr>
      </w:pPr>
      <w:r>
        <w:rPr>
          <w:rStyle w:val="6"/>
          <w:rFonts w:ascii="仿宋_GB2312" w:eastAsia="仿宋_GB2312"/>
          <w:b/>
          <w:sz w:val="32"/>
        </w:rPr>
        <w:t>16.机关运行经费：</w:t>
      </w:r>
      <w:r>
        <w:rPr>
          <w:rStyle w:val="6"/>
          <w:rFonts w:ascii="仿宋_GB2312" w:eastAsia="仿宋_GB2312"/>
          <w:sz w:val="32"/>
        </w:rPr>
        <w:t>为保障行政单位（含参照公务员法管理的事业单位）运行用于购买货物和服务的各项资金，包括办公及印刷费、邮电费、差旅费、会议费、福利费、日常维护费、专用材料及一般设备购置费，办公用房水电费、办公用房取暖费、办公用房物业管理费、公务用车运行维护费以及其他费用。</w:t>
      </w:r>
    </w:p>
    <w:p>
      <w:pPr>
        <w:spacing w:line="540" w:lineRule="exact"/>
        <w:rPr>
          <w:rStyle w:val="6"/>
          <w:sz w:val="32"/>
          <w:szCs w:val="32"/>
        </w:rPr>
        <w:sectPr>
          <w:footerReference r:id="rId3" w:type="default"/>
          <w:footerReference r:id="rId4" w:type="even"/>
          <w:pgSz w:w="11906" w:h="16838"/>
          <w:pgMar w:top="1418" w:right="1701" w:bottom="1418" w:left="1701" w:header="851" w:footer="992" w:gutter="0"/>
          <w:cols w:space="425" w:num="1"/>
          <w:docGrid w:type="lines" w:linePitch="312" w:charSpace="0"/>
        </w:sectPr>
      </w:pPr>
    </w:p>
    <w:p>
      <w:pPr>
        <w:spacing w:line="540" w:lineRule="exact"/>
        <w:ind w:firstLine="640" w:firstLineChars="200"/>
        <w:jc w:val="left"/>
        <w:rPr>
          <w:rStyle w:val="6"/>
          <w:rFonts w:ascii="仿宋_GB2312" w:eastAsia="仿宋_GB2312"/>
          <w:i/>
          <w:sz w:val="32"/>
          <w:szCs w:val="32"/>
          <w:u w:val="single"/>
        </w:rPr>
      </w:pPr>
    </w:p>
    <w:p>
      <w:pPr>
        <w:spacing w:line="540" w:lineRule="exact"/>
        <w:rPr>
          <w:rStyle w:val="6"/>
          <w:rFonts w:ascii="宋体" w:hAnsi="宋体"/>
          <w:b/>
          <w:sz w:val="36"/>
          <w:szCs w:val="36"/>
        </w:rPr>
      </w:pPr>
    </w:p>
    <w:p>
      <w:pPr>
        <w:spacing w:line="540" w:lineRule="exact"/>
        <w:jc w:val="center"/>
        <w:rPr>
          <w:rStyle w:val="6"/>
          <w:rFonts w:ascii="宋体" w:hAnsi="宋体"/>
          <w:b/>
          <w:sz w:val="36"/>
          <w:szCs w:val="36"/>
        </w:rPr>
      </w:pPr>
    </w:p>
    <w:p>
      <w:pPr>
        <w:spacing w:line="540" w:lineRule="exact"/>
        <w:jc w:val="center"/>
        <w:rPr>
          <w:rStyle w:val="6"/>
          <w:rFonts w:ascii="宋体" w:hAnsi="宋体"/>
          <w:b/>
          <w:sz w:val="36"/>
          <w:szCs w:val="36"/>
        </w:rPr>
      </w:pPr>
    </w:p>
    <w:p>
      <w:pPr>
        <w:spacing w:line="540" w:lineRule="exact"/>
        <w:jc w:val="center"/>
        <w:rPr>
          <w:rStyle w:val="6"/>
          <w:rFonts w:ascii="宋体" w:hAnsi="宋体"/>
          <w:b/>
          <w:sz w:val="36"/>
          <w:szCs w:val="36"/>
        </w:rPr>
      </w:pPr>
    </w:p>
    <w:p>
      <w:pPr>
        <w:spacing w:line="540" w:lineRule="exact"/>
        <w:jc w:val="center"/>
        <w:rPr>
          <w:rStyle w:val="6"/>
          <w:rFonts w:ascii="宋体" w:hAnsi="宋体"/>
          <w:b/>
          <w:sz w:val="36"/>
          <w:szCs w:val="36"/>
        </w:rPr>
      </w:pPr>
    </w:p>
    <w:p>
      <w:pPr>
        <w:spacing w:line="540" w:lineRule="exact"/>
        <w:jc w:val="center"/>
        <w:rPr>
          <w:rStyle w:val="6"/>
          <w:rFonts w:ascii="宋体" w:hAnsi="宋体"/>
          <w:b/>
          <w:sz w:val="36"/>
          <w:szCs w:val="36"/>
        </w:rPr>
      </w:pPr>
    </w:p>
    <w:p>
      <w:pPr>
        <w:spacing w:line="540" w:lineRule="exact"/>
        <w:jc w:val="center"/>
        <w:rPr>
          <w:rStyle w:val="6"/>
          <w:rFonts w:ascii="仿宋_GB2312" w:eastAsia="仿宋_GB2312"/>
          <w:sz w:val="52"/>
          <w:szCs w:val="52"/>
        </w:rPr>
      </w:pPr>
      <w:r>
        <w:rPr>
          <w:rStyle w:val="6"/>
          <w:rFonts w:ascii="宋体" w:hAnsi="宋体"/>
          <w:b/>
          <w:sz w:val="52"/>
          <w:szCs w:val="52"/>
        </w:rPr>
        <w:t>第四部分</w:t>
      </w:r>
      <w:r>
        <w:rPr>
          <w:rStyle w:val="6"/>
          <w:rFonts w:ascii="宋体" w:hAnsi="宋体" w:cs="Times New Roman"/>
          <w:b/>
          <w:bCs/>
          <w:sz w:val="52"/>
          <w:szCs w:val="52"/>
        </w:rPr>
        <w:t>沈阳市第五十一中学分校</w:t>
      </w:r>
      <w:r>
        <w:rPr>
          <w:rStyle w:val="6"/>
          <w:rFonts w:ascii="宋体" w:hAnsi="宋体"/>
          <w:b/>
          <w:sz w:val="52"/>
          <w:szCs w:val="52"/>
        </w:rPr>
        <w:t>2020年度决算表</w:t>
      </w:r>
    </w:p>
    <w:p>
      <w:pPr>
        <w:spacing w:line="540" w:lineRule="exact"/>
        <w:jc w:val="left"/>
        <w:rPr>
          <w:rStyle w:val="6"/>
          <w:sz w:val="32"/>
          <w:szCs w:val="32"/>
        </w:rPr>
      </w:pPr>
    </w:p>
    <w:p>
      <w:pPr>
        <w:spacing w:line="540" w:lineRule="exact"/>
        <w:rPr>
          <w:rStyle w:val="6"/>
          <w:sz w:val="32"/>
          <w:szCs w:val="32"/>
        </w:rPr>
      </w:pPr>
    </w:p>
    <w:sectPr>
      <w:pgSz w:w="16838" w:h="11906"/>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C88020"/>
    <w:multiLevelType w:val="singleLevel"/>
    <w:tmpl w:val="4CC88020"/>
    <w:lvl w:ilvl="0" w:tentative="0">
      <w:start w:val="1"/>
      <w:numFmt w:val="decimal"/>
      <w:lvlText w:val="%1."/>
      <w:lvlJc w:val="left"/>
      <w:pPr>
        <w:tabs>
          <w:tab w:val="left" w:pos="312"/>
        </w:tabs>
      </w:pPr>
    </w:lvl>
  </w:abstractNum>
  <w:abstractNum w:abstractNumId="1">
    <w:nsid w:val="730B37B3"/>
    <w:multiLevelType w:val="multilevel"/>
    <w:tmpl w:val="730B37B3"/>
    <w:lvl w:ilvl="0" w:tentative="0">
      <w:start w:val="1"/>
      <w:numFmt w:val="japaneseCounting"/>
      <w:lvlText w:val="%1、"/>
      <w:lvlJc w:val="left"/>
      <w:pPr>
        <w:tabs>
          <w:tab w:val="left" w:pos="720"/>
        </w:tabs>
        <w:ind w:left="720" w:hanging="720"/>
        <w:textAlignment w:val="baseline"/>
      </w:pPr>
    </w:lvl>
    <w:lvl w:ilvl="1" w:tentative="0">
      <w:start w:val="2"/>
      <w:numFmt w:val="japaneseCounting"/>
      <w:lvlText w:val="%1、"/>
      <w:lvlJc w:val="left"/>
      <w:pPr>
        <w:tabs>
          <w:tab w:val="left" w:pos="1140"/>
        </w:tabs>
        <w:ind w:left="1140" w:hanging="720"/>
        <w:textAlignment w:val="baseline"/>
      </w:pPr>
    </w:lvl>
    <w:lvl w:ilvl="2" w:tentative="0">
      <w:start w:val="1"/>
      <w:numFmt w:val="lowerRoman"/>
      <w:lvlText w:val="%1."/>
      <w:lvlJc w:val="right"/>
      <w:pPr>
        <w:tabs>
          <w:tab w:val="left" w:pos="1260"/>
        </w:tabs>
        <w:ind w:left="1260" w:hanging="420"/>
        <w:textAlignment w:val="baseline"/>
      </w:pPr>
    </w:lvl>
    <w:lvl w:ilvl="3" w:tentative="0">
      <w:start w:val="1"/>
      <w:numFmt w:val="decimal"/>
      <w:lvlText w:val="%1."/>
      <w:lvlJc w:val="left"/>
      <w:pPr>
        <w:tabs>
          <w:tab w:val="left" w:pos="1680"/>
        </w:tabs>
        <w:ind w:left="1680" w:hanging="420"/>
        <w:textAlignment w:val="baseline"/>
      </w:pPr>
    </w:lvl>
    <w:lvl w:ilvl="4" w:tentative="0">
      <w:start w:val="1"/>
      <w:numFmt w:val="lowerLetter"/>
      <w:lvlText w:val="%1)"/>
      <w:lvlJc w:val="left"/>
      <w:pPr>
        <w:tabs>
          <w:tab w:val="left" w:pos="2100"/>
        </w:tabs>
        <w:ind w:left="2100" w:hanging="420"/>
        <w:textAlignment w:val="baseline"/>
      </w:pPr>
    </w:lvl>
    <w:lvl w:ilvl="5" w:tentative="0">
      <w:start w:val="1"/>
      <w:numFmt w:val="lowerRoman"/>
      <w:lvlText w:val="%1."/>
      <w:lvlJc w:val="right"/>
      <w:pPr>
        <w:tabs>
          <w:tab w:val="left" w:pos="2520"/>
        </w:tabs>
        <w:ind w:left="2520" w:hanging="420"/>
        <w:textAlignment w:val="baseline"/>
      </w:pPr>
    </w:lvl>
    <w:lvl w:ilvl="6" w:tentative="0">
      <w:start w:val="1"/>
      <w:numFmt w:val="decimal"/>
      <w:lvlText w:val="%1."/>
      <w:lvlJc w:val="left"/>
      <w:pPr>
        <w:tabs>
          <w:tab w:val="left" w:pos="2940"/>
        </w:tabs>
        <w:ind w:left="2940" w:hanging="420"/>
        <w:textAlignment w:val="baseline"/>
      </w:pPr>
    </w:lvl>
    <w:lvl w:ilvl="7" w:tentative="0">
      <w:start w:val="1"/>
      <w:numFmt w:val="lowerLetter"/>
      <w:lvlText w:val="%1)"/>
      <w:lvlJc w:val="left"/>
      <w:pPr>
        <w:tabs>
          <w:tab w:val="left" w:pos="3360"/>
        </w:tabs>
        <w:ind w:left="3360" w:hanging="420"/>
        <w:textAlignment w:val="baseline"/>
      </w:pPr>
    </w:lvl>
    <w:lvl w:ilvl="8" w:tentative="0">
      <w:start w:val="1"/>
      <w:numFmt w:val="lowerRoman"/>
      <w:lvlText w:val="%1."/>
      <w:lvlJc w:val="right"/>
      <w:pPr>
        <w:tabs>
          <w:tab w:val="left" w:pos="3780"/>
        </w:tabs>
        <w:ind w:left="3780" w:hanging="420"/>
        <w:textAlignment w:val="baseline"/>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YTNhYzA5NmQ3MzFkNzdiODdlMWU3YWU0Y2FiM2NmMTMifQ=="/>
  </w:docVars>
  <w:rsids>
    <w:rsidRoot w:val="00DC218A"/>
    <w:rsid w:val="00027C23"/>
    <w:rsid w:val="00172083"/>
    <w:rsid w:val="001F1E6E"/>
    <w:rsid w:val="00473650"/>
    <w:rsid w:val="006D234C"/>
    <w:rsid w:val="00927719"/>
    <w:rsid w:val="00A06276"/>
    <w:rsid w:val="00CC4106"/>
    <w:rsid w:val="00DC218A"/>
    <w:rsid w:val="00DD48F1"/>
    <w:rsid w:val="00FC0AF4"/>
    <w:rsid w:val="00FF4F28"/>
    <w:rsid w:val="0FA66239"/>
    <w:rsid w:val="1B344051"/>
    <w:rsid w:val="347E33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000000" w:sz="6" w:space="1"/>
      </w:pBdr>
      <w:tabs>
        <w:tab w:val="center" w:pos="4153"/>
        <w:tab w:val="right" w:pos="8306"/>
      </w:tabs>
      <w:snapToGrid w:val="0"/>
      <w:jc w:val="center"/>
    </w:pPr>
    <w:rPr>
      <w:sz w:val="18"/>
      <w:szCs w:val="18"/>
    </w:rPr>
  </w:style>
  <w:style w:type="character" w:customStyle="1" w:styleId="6">
    <w:name w:val="NormalCharacter"/>
    <w:semiHidden/>
    <w:qFormat/>
    <w:uiPriority w:val="0"/>
  </w:style>
  <w:style w:type="table" w:customStyle="1" w:styleId="7">
    <w:name w:val="TableNormal"/>
    <w:semiHidden/>
    <w:qFormat/>
    <w:uiPriority w:val="0"/>
    <w:tblPr>
      <w:tblCellMar>
        <w:top w:w="0" w:type="dxa"/>
        <w:left w:w="0" w:type="dxa"/>
        <w:bottom w:w="0" w:type="dxa"/>
        <w:right w:w="0" w:type="dxa"/>
      </w:tblCellMar>
    </w:tblPr>
  </w:style>
  <w:style w:type="paragraph" w:customStyle="1" w:styleId="8">
    <w:name w:val="Acetate"/>
    <w:basedOn w:val="1"/>
    <w:link w:val="9"/>
    <w:qFormat/>
    <w:uiPriority w:val="0"/>
    <w:rPr>
      <w:sz w:val="18"/>
      <w:szCs w:val="18"/>
    </w:rPr>
  </w:style>
  <w:style w:type="character" w:customStyle="1" w:styleId="9">
    <w:name w:val="UserStyle_0"/>
    <w:link w:val="8"/>
    <w:qFormat/>
    <w:uiPriority w:val="0"/>
    <w:rPr>
      <w:kern w:val="2"/>
      <w:sz w:val="18"/>
      <w:szCs w:val="18"/>
    </w:rPr>
  </w:style>
  <w:style w:type="character" w:customStyle="1" w:styleId="10">
    <w:name w:val="页眉 字符"/>
    <w:link w:val="3"/>
    <w:qFormat/>
    <w:uiPriority w:val="0"/>
    <w:rPr>
      <w:kern w:val="2"/>
      <w:sz w:val="18"/>
      <w:szCs w:val="18"/>
    </w:rPr>
  </w:style>
  <w:style w:type="character" w:customStyle="1" w:styleId="11">
    <w:name w:val="PageNumber"/>
    <w:qFormat/>
    <w:uiPriority w:val="0"/>
  </w:style>
  <w:style w:type="paragraph" w:customStyle="1" w:styleId="12">
    <w:name w:val="UserStyle_2"/>
    <w:basedOn w:val="1"/>
    <w:qFormat/>
    <w:uiPriority w:val="0"/>
    <w:pPr>
      <w:jc w:val="left"/>
    </w:pPr>
    <w:rPr>
      <w:rFonts w:ascii="Verdana" w:hAnsi="Verdana" w:eastAsia="仿宋_GB2312"/>
      <w:kern w:val="0"/>
      <w:sz w:val="28"/>
      <w:szCs w:val="20"/>
      <w:lang w:eastAsia="en-US"/>
    </w:rPr>
  </w:style>
  <w:style w:type="paragraph" w:customStyle="1" w:styleId="13">
    <w:name w:val="UserStyle_3"/>
    <w:basedOn w:val="1"/>
    <w:qFormat/>
    <w:uiPriority w:val="0"/>
    <w:rPr>
      <w:rFonts w:ascii="宋体" w:hAnsi="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4400</Words>
  <Characters>4797</Characters>
  <Lines>35</Lines>
  <Paragraphs>9</Paragraphs>
  <TotalTime>0</TotalTime>
  <ScaleCrop>false</ScaleCrop>
  <LinksUpToDate>false</LinksUpToDate>
  <CharactersWithSpaces>4798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2021-10-14T07:33:00Z</dcterms:created>
  <dc:creator>Administrator</dc:creator>
  <cp:lastModifiedBy>Administrator</cp:lastModifiedBy>
  <dcterms:modified xsi:type="dcterms:W3CDTF">2022-09-11T14:22:49Z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984AB615BCDC4241AF8643C972DFFB21</vt:lpwstr>
  </property>
</Properties>
</file>