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20C1D">
      <w:pPr>
        <w:spacing w:line="540" w:lineRule="exact"/>
        <w:rPr>
          <w:b/>
          <w:sz w:val="44"/>
          <w:szCs w:val="44"/>
          <w:u w:val="single"/>
        </w:rPr>
      </w:pPr>
      <w:bookmarkStart w:id="0" w:name="_GoBack"/>
      <w:bookmarkEnd w:id="0"/>
    </w:p>
    <w:p w14:paraId="139ED36D">
      <w:pPr>
        <w:spacing w:line="540" w:lineRule="exact"/>
        <w:jc w:val="center"/>
        <w:rPr>
          <w:b/>
          <w:sz w:val="44"/>
          <w:szCs w:val="44"/>
          <w:u w:val="single"/>
        </w:rPr>
      </w:pPr>
    </w:p>
    <w:p w14:paraId="139AB9C4">
      <w:pPr>
        <w:spacing w:line="540" w:lineRule="exact"/>
        <w:rPr>
          <w:b/>
          <w:sz w:val="44"/>
          <w:szCs w:val="44"/>
          <w:u w:val="single"/>
        </w:rPr>
      </w:pPr>
    </w:p>
    <w:p w14:paraId="594E7951">
      <w:pPr>
        <w:spacing w:line="540" w:lineRule="exact"/>
        <w:rPr>
          <w:b/>
          <w:sz w:val="44"/>
          <w:szCs w:val="44"/>
          <w:u w:val="single"/>
        </w:rPr>
      </w:pPr>
    </w:p>
    <w:p w14:paraId="7C65A978">
      <w:pPr>
        <w:spacing w:line="540" w:lineRule="exact"/>
        <w:jc w:val="left"/>
        <w:rPr>
          <w:b/>
          <w:sz w:val="44"/>
          <w:szCs w:val="44"/>
          <w:u w:val="single"/>
        </w:rPr>
      </w:pPr>
    </w:p>
    <w:p w14:paraId="3AAAB2B6">
      <w:pPr>
        <w:spacing w:line="540" w:lineRule="exact"/>
        <w:rPr>
          <w:b/>
          <w:sz w:val="44"/>
          <w:szCs w:val="44"/>
        </w:rPr>
      </w:pPr>
    </w:p>
    <w:p w14:paraId="3EF3B00E">
      <w:pPr>
        <w:spacing w:line="540" w:lineRule="exact"/>
        <w:jc w:val="center"/>
        <w:rPr>
          <w:rFonts w:ascii="宋体" w:hAnsi="宋体"/>
          <w:b/>
          <w:sz w:val="52"/>
          <w:szCs w:val="52"/>
        </w:rPr>
      </w:pPr>
      <w:r>
        <w:rPr>
          <w:rFonts w:hint="eastAsia" w:ascii="宋体" w:hAnsi="宋体"/>
          <w:b/>
          <w:sz w:val="52"/>
          <w:szCs w:val="52"/>
        </w:rPr>
        <w:t>沈阳市浑南区浑河站东街道办事处2019年度部门决算</w:t>
      </w:r>
    </w:p>
    <w:p w14:paraId="14F259DA">
      <w:pPr>
        <w:spacing w:line="540" w:lineRule="exact"/>
        <w:jc w:val="center"/>
        <w:rPr>
          <w:b/>
          <w:sz w:val="44"/>
          <w:szCs w:val="44"/>
          <w:u w:val="single"/>
        </w:rPr>
      </w:pPr>
    </w:p>
    <w:p w14:paraId="717A4AE3">
      <w:pPr>
        <w:spacing w:line="540" w:lineRule="exact"/>
        <w:jc w:val="center"/>
        <w:rPr>
          <w:b/>
          <w:sz w:val="44"/>
          <w:szCs w:val="44"/>
          <w:u w:val="single"/>
        </w:rPr>
      </w:pPr>
    </w:p>
    <w:p w14:paraId="32137570">
      <w:pPr>
        <w:spacing w:line="540" w:lineRule="exact"/>
        <w:jc w:val="center"/>
        <w:rPr>
          <w:b/>
          <w:sz w:val="44"/>
          <w:szCs w:val="44"/>
          <w:u w:val="single"/>
        </w:rPr>
      </w:pPr>
    </w:p>
    <w:p w14:paraId="293B147B">
      <w:pPr>
        <w:spacing w:line="540" w:lineRule="exact"/>
        <w:jc w:val="center"/>
        <w:rPr>
          <w:b/>
          <w:sz w:val="44"/>
          <w:szCs w:val="44"/>
          <w:u w:val="single"/>
        </w:rPr>
      </w:pPr>
    </w:p>
    <w:p w14:paraId="3FEF81DF">
      <w:pPr>
        <w:spacing w:line="540" w:lineRule="exact"/>
        <w:jc w:val="center"/>
        <w:rPr>
          <w:b/>
          <w:sz w:val="44"/>
          <w:szCs w:val="44"/>
          <w:u w:val="single"/>
        </w:rPr>
      </w:pPr>
    </w:p>
    <w:p w14:paraId="74E6FC6D">
      <w:pPr>
        <w:spacing w:line="540" w:lineRule="exact"/>
        <w:jc w:val="center"/>
        <w:rPr>
          <w:b/>
          <w:sz w:val="44"/>
          <w:szCs w:val="44"/>
          <w:u w:val="single"/>
        </w:rPr>
      </w:pPr>
    </w:p>
    <w:p w14:paraId="0BDEE60B">
      <w:pPr>
        <w:spacing w:line="540" w:lineRule="exact"/>
        <w:jc w:val="center"/>
        <w:rPr>
          <w:b/>
          <w:sz w:val="44"/>
          <w:szCs w:val="44"/>
          <w:u w:val="single"/>
        </w:rPr>
      </w:pPr>
    </w:p>
    <w:p w14:paraId="02353131">
      <w:pPr>
        <w:spacing w:line="540" w:lineRule="exact"/>
        <w:jc w:val="center"/>
        <w:rPr>
          <w:b/>
          <w:sz w:val="44"/>
          <w:szCs w:val="44"/>
          <w:u w:val="single"/>
        </w:rPr>
      </w:pPr>
    </w:p>
    <w:p w14:paraId="33758107">
      <w:pPr>
        <w:spacing w:line="540" w:lineRule="exact"/>
        <w:jc w:val="center"/>
        <w:rPr>
          <w:b/>
          <w:sz w:val="44"/>
          <w:szCs w:val="44"/>
          <w:u w:val="single"/>
        </w:rPr>
      </w:pPr>
    </w:p>
    <w:p w14:paraId="01C30AD7">
      <w:pPr>
        <w:spacing w:line="540" w:lineRule="exact"/>
        <w:jc w:val="center"/>
        <w:rPr>
          <w:b/>
          <w:sz w:val="44"/>
          <w:szCs w:val="44"/>
          <w:u w:val="single"/>
        </w:rPr>
      </w:pPr>
    </w:p>
    <w:p w14:paraId="603F1A3E">
      <w:pPr>
        <w:spacing w:line="540" w:lineRule="exact"/>
        <w:jc w:val="center"/>
        <w:rPr>
          <w:b/>
          <w:sz w:val="44"/>
          <w:szCs w:val="44"/>
          <w:u w:val="single"/>
        </w:rPr>
      </w:pPr>
    </w:p>
    <w:p w14:paraId="7BBDD92A">
      <w:pPr>
        <w:spacing w:line="540" w:lineRule="exact"/>
        <w:jc w:val="center"/>
        <w:rPr>
          <w:b/>
          <w:sz w:val="44"/>
          <w:szCs w:val="44"/>
          <w:u w:val="single"/>
        </w:rPr>
      </w:pPr>
    </w:p>
    <w:p w14:paraId="20023098">
      <w:pPr>
        <w:spacing w:line="540" w:lineRule="exact"/>
        <w:jc w:val="center"/>
        <w:rPr>
          <w:b/>
          <w:sz w:val="44"/>
          <w:szCs w:val="44"/>
          <w:u w:val="single"/>
        </w:rPr>
      </w:pPr>
    </w:p>
    <w:p w14:paraId="2944B714">
      <w:pPr>
        <w:spacing w:line="540" w:lineRule="exact"/>
        <w:jc w:val="center"/>
        <w:rPr>
          <w:rFonts w:hint="eastAsia"/>
          <w:b/>
          <w:sz w:val="44"/>
          <w:szCs w:val="44"/>
          <w:u w:val="single"/>
        </w:rPr>
      </w:pPr>
    </w:p>
    <w:p w14:paraId="3B604DAC">
      <w:pPr>
        <w:spacing w:line="540" w:lineRule="exact"/>
        <w:jc w:val="center"/>
        <w:rPr>
          <w:b/>
          <w:sz w:val="44"/>
          <w:szCs w:val="44"/>
          <w:u w:val="single"/>
        </w:rPr>
      </w:pPr>
    </w:p>
    <w:p w14:paraId="41CDF33B">
      <w:pPr>
        <w:spacing w:line="540" w:lineRule="exact"/>
        <w:rPr>
          <w:b/>
          <w:sz w:val="44"/>
          <w:szCs w:val="44"/>
        </w:rPr>
      </w:pPr>
    </w:p>
    <w:p w14:paraId="6509483D">
      <w:pPr>
        <w:pStyle w:val="7"/>
        <w:spacing w:line="560" w:lineRule="atLeast"/>
        <w:ind w:firstLine="3534" w:firstLineChars="800"/>
        <w:rPr>
          <w:b/>
          <w:bCs/>
          <w:sz w:val="44"/>
          <w:szCs w:val="44"/>
        </w:rPr>
      </w:pPr>
      <w:r>
        <w:rPr>
          <w:rFonts w:hint="eastAsia"/>
          <w:b/>
          <w:bCs/>
          <w:sz w:val="44"/>
          <w:szCs w:val="44"/>
        </w:rPr>
        <w:t>目录</w:t>
      </w:r>
    </w:p>
    <w:p w14:paraId="0E40CEDD">
      <w:pPr>
        <w:pStyle w:val="7"/>
        <w:spacing w:line="560" w:lineRule="atLeast"/>
        <w:ind w:firstLine="3534" w:firstLineChars="800"/>
        <w:rPr>
          <w:b/>
          <w:bCs/>
          <w:sz w:val="44"/>
          <w:szCs w:val="44"/>
        </w:rPr>
      </w:pPr>
    </w:p>
    <w:p w14:paraId="7AE325A4">
      <w:pPr>
        <w:pStyle w:val="7"/>
        <w:spacing w:line="560" w:lineRule="atLeast"/>
        <w:rPr>
          <w:rFonts w:ascii="Times New Roman" w:hAnsi="Times New Roman" w:cs="Times New Roman"/>
          <w:b/>
          <w:bCs/>
          <w:sz w:val="44"/>
          <w:szCs w:val="44"/>
          <w:u w:val="single"/>
        </w:rPr>
      </w:pPr>
    </w:p>
    <w:p w14:paraId="311B6987">
      <w:pPr>
        <w:pStyle w:val="7"/>
        <w:spacing w:line="560" w:lineRule="atLeast"/>
        <w:rPr>
          <w:rFonts w:ascii="黑体" w:eastAsia="黑体"/>
          <w:sz w:val="32"/>
          <w:szCs w:val="32"/>
        </w:rPr>
      </w:pPr>
      <w:r>
        <w:rPr>
          <w:rFonts w:hint="eastAsia" w:ascii="黑体" w:eastAsia="黑体"/>
          <w:sz w:val="32"/>
          <w:szCs w:val="32"/>
        </w:rPr>
        <w:t>第一部分  沈阳市浑南区浑河站东街道办事处概况</w:t>
      </w:r>
    </w:p>
    <w:p w14:paraId="3F6EB91A">
      <w:pPr>
        <w:pStyle w:val="7"/>
        <w:numPr>
          <w:ilvl w:val="0"/>
          <w:numId w:val="1"/>
        </w:numPr>
        <w:spacing w:line="560" w:lineRule="atLeast"/>
        <w:rPr>
          <w:rFonts w:ascii="仿宋_GB2312" w:eastAsia="仿宋_GB2312"/>
          <w:sz w:val="32"/>
          <w:szCs w:val="32"/>
        </w:rPr>
      </w:pPr>
      <w:r>
        <w:rPr>
          <w:rFonts w:hint="eastAsia" w:ascii="仿宋_GB2312" w:eastAsia="仿宋_GB2312"/>
          <w:sz w:val="32"/>
          <w:szCs w:val="32"/>
        </w:rPr>
        <w:t>主要职责</w:t>
      </w:r>
    </w:p>
    <w:p w14:paraId="16CDEF94">
      <w:pPr>
        <w:pStyle w:val="7"/>
        <w:numPr>
          <w:ilvl w:val="0"/>
          <w:numId w:val="1"/>
        </w:numPr>
        <w:spacing w:line="560" w:lineRule="atLeast"/>
        <w:rPr>
          <w:rFonts w:ascii="仿宋_GB2312" w:eastAsia="仿宋_GB2312"/>
          <w:sz w:val="32"/>
          <w:szCs w:val="32"/>
        </w:rPr>
      </w:pPr>
      <w:r>
        <w:rPr>
          <w:rFonts w:hint="eastAsia" w:ascii="仿宋_GB2312" w:eastAsia="仿宋_GB2312"/>
          <w:sz w:val="32"/>
          <w:szCs w:val="32"/>
        </w:rPr>
        <w:t>部门决算单位构成</w:t>
      </w:r>
    </w:p>
    <w:p w14:paraId="17EB4B0E">
      <w:pPr>
        <w:pStyle w:val="7"/>
        <w:spacing w:line="560" w:lineRule="atLeast"/>
        <w:rPr>
          <w:rFonts w:ascii="黑体" w:eastAsia="黑体"/>
          <w:sz w:val="32"/>
          <w:szCs w:val="32"/>
        </w:rPr>
      </w:pPr>
      <w:r>
        <w:rPr>
          <w:rFonts w:hint="eastAsia" w:ascii="黑体" w:eastAsia="黑体"/>
          <w:sz w:val="32"/>
          <w:szCs w:val="32"/>
        </w:rPr>
        <w:t>第二部分  沈阳市浑南区浑河站东街道办事处2019年部门决算公开表</w:t>
      </w:r>
    </w:p>
    <w:p w14:paraId="29F0C698">
      <w:pPr>
        <w:spacing w:line="540" w:lineRule="exact"/>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2019年度收入支出决算总表</w:t>
      </w:r>
    </w:p>
    <w:p w14:paraId="529EEE44">
      <w:pPr>
        <w:spacing w:line="540" w:lineRule="exact"/>
        <w:rPr>
          <w:rFonts w:ascii="仿宋_GB2312" w:eastAsia="仿宋_GB2312"/>
          <w:sz w:val="32"/>
          <w:szCs w:val="32"/>
        </w:rPr>
      </w:pPr>
      <w:r>
        <w:rPr>
          <w:rFonts w:hint="eastAsia" w:ascii="仿宋_GB2312" w:eastAsia="仿宋_GB2312"/>
          <w:sz w:val="32"/>
          <w:szCs w:val="32"/>
        </w:rPr>
        <w:t>二、2019</w:t>
      </w:r>
      <w:r>
        <w:rPr>
          <w:rFonts w:hint="eastAsia" w:ascii="仿宋_GB2312" w:hAnsi="仿宋" w:eastAsia="仿宋_GB2312"/>
          <w:sz w:val="32"/>
          <w:szCs w:val="32"/>
        </w:rPr>
        <w:t>年度</w:t>
      </w:r>
      <w:r>
        <w:rPr>
          <w:rFonts w:hint="eastAsia" w:ascii="仿宋_GB2312" w:eastAsia="仿宋_GB2312"/>
          <w:sz w:val="32"/>
          <w:szCs w:val="32"/>
        </w:rPr>
        <w:t>收入决算表</w:t>
      </w:r>
    </w:p>
    <w:p w14:paraId="3D785316">
      <w:pPr>
        <w:spacing w:line="540" w:lineRule="exact"/>
        <w:rPr>
          <w:rFonts w:ascii="仿宋_GB2312" w:eastAsia="仿宋_GB2312"/>
          <w:sz w:val="32"/>
          <w:szCs w:val="32"/>
        </w:rPr>
      </w:pPr>
      <w:r>
        <w:rPr>
          <w:rFonts w:hint="eastAsia" w:ascii="仿宋_GB2312" w:eastAsia="仿宋_GB2312"/>
          <w:sz w:val="32"/>
          <w:szCs w:val="32"/>
        </w:rPr>
        <w:t>三、2019</w:t>
      </w:r>
      <w:r>
        <w:rPr>
          <w:rFonts w:hint="eastAsia" w:ascii="仿宋_GB2312" w:hAnsi="仿宋" w:eastAsia="仿宋_GB2312"/>
          <w:sz w:val="32"/>
          <w:szCs w:val="32"/>
        </w:rPr>
        <w:t>年度</w:t>
      </w:r>
      <w:r>
        <w:rPr>
          <w:rFonts w:hint="eastAsia" w:ascii="仿宋_GB2312" w:eastAsia="仿宋_GB2312"/>
          <w:sz w:val="32"/>
          <w:szCs w:val="32"/>
        </w:rPr>
        <w:t>支出决算表</w:t>
      </w:r>
    </w:p>
    <w:p w14:paraId="24606701">
      <w:pPr>
        <w:spacing w:line="540" w:lineRule="exact"/>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2019年度财政拨款收入支出决算表</w:t>
      </w:r>
    </w:p>
    <w:p w14:paraId="47FCFAD0">
      <w:pPr>
        <w:spacing w:line="540" w:lineRule="exact"/>
        <w:rPr>
          <w:rFonts w:ascii="仿宋_GB2312" w:eastAsia="仿宋_GB2312"/>
          <w:sz w:val="32"/>
          <w:szCs w:val="32"/>
        </w:rPr>
      </w:pPr>
      <w:r>
        <w:rPr>
          <w:rFonts w:hint="eastAsia" w:ascii="仿宋_GB2312" w:eastAsia="仿宋_GB2312"/>
          <w:sz w:val="32"/>
          <w:szCs w:val="32"/>
        </w:rPr>
        <w:t>五、</w:t>
      </w:r>
      <w:r>
        <w:rPr>
          <w:rFonts w:ascii="仿宋_GB2312" w:eastAsia="仿宋_GB2312"/>
          <w:sz w:val="32"/>
          <w:szCs w:val="32"/>
        </w:rPr>
        <w:t>2019年度</w:t>
      </w:r>
      <w:r>
        <w:rPr>
          <w:rFonts w:hint="eastAsia" w:ascii="仿宋_GB2312" w:eastAsia="仿宋_GB2312"/>
          <w:sz w:val="32"/>
          <w:szCs w:val="32"/>
        </w:rPr>
        <w:t>一般公共预算</w:t>
      </w:r>
      <w:r>
        <w:rPr>
          <w:rFonts w:ascii="仿宋_GB2312" w:eastAsia="仿宋_GB2312"/>
          <w:sz w:val="32"/>
          <w:szCs w:val="32"/>
        </w:rPr>
        <w:t>财政拨款收入支出决算表</w:t>
      </w:r>
    </w:p>
    <w:p w14:paraId="40E149C9">
      <w:pPr>
        <w:spacing w:line="540" w:lineRule="exact"/>
        <w:rPr>
          <w:rFonts w:ascii="仿宋_GB2312" w:eastAsia="仿宋_GB2312"/>
          <w:sz w:val="32"/>
          <w:szCs w:val="32"/>
        </w:rPr>
      </w:pPr>
      <w:r>
        <w:rPr>
          <w:rFonts w:hint="eastAsia" w:ascii="仿宋_GB2312" w:eastAsia="仿宋_GB2312"/>
          <w:sz w:val="32"/>
          <w:szCs w:val="32"/>
        </w:rPr>
        <w:t>六、</w:t>
      </w:r>
      <w:r>
        <w:rPr>
          <w:rFonts w:ascii="仿宋_GB2312" w:eastAsia="仿宋_GB2312"/>
          <w:sz w:val="32"/>
          <w:szCs w:val="32"/>
        </w:rPr>
        <w:t>2019年度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E0F9A78">
      <w:pPr>
        <w:spacing w:line="540" w:lineRule="exact"/>
        <w:rPr>
          <w:rFonts w:ascii="仿宋_GB2312" w:eastAsia="仿宋_GB2312"/>
          <w:sz w:val="32"/>
          <w:szCs w:val="32"/>
        </w:rPr>
      </w:pPr>
      <w:r>
        <w:rPr>
          <w:rFonts w:hint="eastAsia" w:ascii="仿宋_GB2312" w:eastAsia="仿宋_GB2312"/>
          <w:sz w:val="32"/>
          <w:szCs w:val="32"/>
        </w:rPr>
        <w:t>七、</w:t>
      </w:r>
      <w:r>
        <w:rPr>
          <w:rFonts w:ascii="仿宋_GB2312" w:eastAsia="仿宋_GB2312"/>
          <w:sz w:val="32"/>
          <w:szCs w:val="32"/>
        </w:rPr>
        <w:t>2019年度政府性基金预算财政拨款收入支出决算表</w:t>
      </w:r>
    </w:p>
    <w:p w14:paraId="6A9373FB">
      <w:pPr>
        <w:spacing w:line="540" w:lineRule="exact"/>
        <w:ind w:left="640" w:hanging="640" w:hangingChars="200"/>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2019</w:t>
      </w:r>
      <w:r>
        <w:rPr>
          <w:rFonts w:hint="eastAsia" w:ascii="仿宋_GB2312" w:hAnsi="仿宋" w:eastAsia="仿宋_GB2312"/>
          <w:sz w:val="32"/>
          <w:szCs w:val="32"/>
        </w:rPr>
        <w:t>年度</w:t>
      </w:r>
      <w:r>
        <w:rPr>
          <w:rFonts w:hint="eastAsia" w:ascii="仿宋_GB2312" w:eastAsia="仿宋_GB2312"/>
          <w:sz w:val="32"/>
          <w:szCs w:val="32"/>
        </w:rPr>
        <w:t>一般公共预算财政拨款“三公”经费支出决算表</w:t>
      </w:r>
    </w:p>
    <w:p w14:paraId="5360F46C">
      <w:pPr>
        <w:pStyle w:val="7"/>
        <w:spacing w:line="560" w:lineRule="atLeast"/>
        <w:rPr>
          <w:rFonts w:ascii="黑体" w:eastAsia="黑体"/>
          <w:sz w:val="32"/>
          <w:szCs w:val="32"/>
        </w:rPr>
      </w:pPr>
      <w:r>
        <w:rPr>
          <w:rFonts w:hint="eastAsia" w:ascii="黑体" w:eastAsia="黑体"/>
          <w:sz w:val="32"/>
          <w:szCs w:val="32"/>
        </w:rPr>
        <w:t>附：电子表格</w:t>
      </w:r>
    </w:p>
    <w:p w14:paraId="0F7C5242">
      <w:pPr>
        <w:pStyle w:val="7"/>
        <w:spacing w:line="560" w:lineRule="atLeast"/>
        <w:rPr>
          <w:rFonts w:ascii="黑体" w:eastAsia="黑体"/>
          <w:sz w:val="32"/>
          <w:szCs w:val="32"/>
        </w:rPr>
      </w:pPr>
      <w:r>
        <w:rPr>
          <w:rFonts w:hint="eastAsia" w:ascii="黑体" w:eastAsia="黑体"/>
          <w:sz w:val="32"/>
          <w:szCs w:val="32"/>
        </w:rPr>
        <w:t>第三部分   沈阳市浑南区浑河站东街道办事处2019年部门决算情况说明</w:t>
      </w:r>
    </w:p>
    <w:p w14:paraId="4355A872">
      <w:pPr>
        <w:pStyle w:val="7"/>
        <w:spacing w:line="560" w:lineRule="atLeast"/>
        <w:rPr>
          <w:rFonts w:ascii="黑体" w:eastAsia="黑体"/>
          <w:sz w:val="32"/>
          <w:szCs w:val="32"/>
        </w:rPr>
      </w:pPr>
      <w:r>
        <w:rPr>
          <w:rFonts w:hint="eastAsia" w:ascii="黑体" w:eastAsia="黑体"/>
          <w:sz w:val="32"/>
          <w:szCs w:val="32"/>
        </w:rPr>
        <w:t>第四部分    名词解释</w:t>
      </w:r>
    </w:p>
    <w:p w14:paraId="1A2057FA">
      <w:pPr>
        <w:spacing w:line="540" w:lineRule="exact"/>
        <w:jc w:val="center"/>
        <w:rPr>
          <w:b/>
          <w:sz w:val="44"/>
          <w:szCs w:val="44"/>
        </w:rPr>
      </w:pPr>
    </w:p>
    <w:p w14:paraId="4EFED92B">
      <w:pPr>
        <w:spacing w:line="540" w:lineRule="exact"/>
        <w:jc w:val="center"/>
        <w:rPr>
          <w:b/>
          <w:sz w:val="44"/>
          <w:szCs w:val="44"/>
        </w:rPr>
      </w:pPr>
    </w:p>
    <w:p w14:paraId="1A88244A">
      <w:pPr>
        <w:spacing w:line="540" w:lineRule="exact"/>
        <w:rPr>
          <w:b/>
          <w:sz w:val="44"/>
          <w:szCs w:val="44"/>
        </w:rPr>
      </w:pPr>
    </w:p>
    <w:p w14:paraId="0393520D">
      <w:pPr>
        <w:pStyle w:val="7"/>
        <w:numPr>
          <w:ilvl w:val="0"/>
          <w:numId w:val="2"/>
        </w:numPr>
        <w:spacing w:line="560" w:lineRule="atLeast"/>
        <w:ind w:firstLine="361" w:firstLineChars="100"/>
        <w:rPr>
          <w:b/>
          <w:bCs/>
          <w:sz w:val="36"/>
          <w:szCs w:val="36"/>
        </w:rPr>
      </w:pPr>
      <w:r>
        <w:rPr>
          <w:rFonts w:hint="eastAsia"/>
          <w:b/>
          <w:bCs/>
          <w:sz w:val="36"/>
          <w:szCs w:val="36"/>
        </w:rPr>
        <w:t>沈阳市浑南区浑河站东街道办事处概况</w:t>
      </w:r>
    </w:p>
    <w:p w14:paraId="4848A546">
      <w:pPr>
        <w:pStyle w:val="7"/>
        <w:spacing w:line="560" w:lineRule="atLeast"/>
        <w:rPr>
          <w:b/>
          <w:bCs/>
          <w:sz w:val="36"/>
          <w:szCs w:val="36"/>
        </w:rPr>
      </w:pPr>
    </w:p>
    <w:p w14:paraId="2CA68CBD">
      <w:pPr>
        <w:spacing w:line="560" w:lineRule="exact"/>
        <w:ind w:firstLine="640" w:firstLineChars="200"/>
        <w:jc w:val="left"/>
        <w:rPr>
          <w:rFonts w:ascii="黑体" w:eastAsia="黑体"/>
          <w:sz w:val="32"/>
          <w:szCs w:val="32"/>
        </w:rPr>
      </w:pPr>
      <w:r>
        <w:rPr>
          <w:rFonts w:hint="eastAsia" w:ascii="黑体" w:eastAsia="黑体"/>
          <w:sz w:val="32"/>
          <w:szCs w:val="32"/>
        </w:rPr>
        <w:t xml:space="preserve"> 一、主要职责：</w:t>
      </w:r>
    </w:p>
    <w:p w14:paraId="25AC6AD2">
      <w:pPr>
        <w:spacing w:line="560" w:lineRule="exact"/>
        <w:ind w:firstLine="640"/>
        <w:jc w:val="left"/>
        <w:rPr>
          <w:rFonts w:ascii="仿宋_GB2312" w:eastAsia="仿宋_GB2312"/>
          <w:sz w:val="28"/>
          <w:szCs w:val="28"/>
        </w:rPr>
      </w:pPr>
      <w:r>
        <w:rPr>
          <w:rFonts w:hint="eastAsia" w:ascii="仿宋" w:hAnsi="仿宋" w:eastAsia="仿宋"/>
          <w:sz w:val="32"/>
          <w:szCs w:val="32"/>
        </w:rPr>
        <w:t>根据《沈阳市浑南区街道机构改革方案》、《浑南区街道综合办事机构工作职能指导意见》（沈浑南编办发〔2019〕20号）精神，街道的职能定位为：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14:paraId="5B376522">
      <w:pPr>
        <w:spacing w:line="540" w:lineRule="exact"/>
        <w:ind w:firstLine="560" w:firstLineChars="200"/>
        <w:rPr>
          <w:rFonts w:ascii="黑体" w:eastAsia="黑体"/>
          <w:sz w:val="28"/>
          <w:szCs w:val="28"/>
        </w:rPr>
      </w:pPr>
      <w:r>
        <w:rPr>
          <w:rFonts w:hint="eastAsia" w:ascii="黑体" w:eastAsia="黑体"/>
          <w:sz w:val="28"/>
          <w:szCs w:val="28"/>
        </w:rPr>
        <w:t>内设机构：</w:t>
      </w:r>
    </w:p>
    <w:p w14:paraId="7D691A67">
      <w:pPr>
        <w:spacing w:line="540" w:lineRule="exact"/>
        <w:ind w:firstLine="640" w:firstLineChars="200"/>
        <w:rPr>
          <w:rFonts w:ascii="仿宋_GB2312" w:eastAsia="仿宋_GB2312"/>
          <w:sz w:val="28"/>
          <w:szCs w:val="28"/>
        </w:rPr>
      </w:pPr>
      <w:r>
        <w:rPr>
          <w:rFonts w:hint="eastAsia" w:ascii="仿宋" w:hAnsi="仿宋" w:eastAsia="仿宋"/>
          <w:sz w:val="32"/>
          <w:szCs w:val="32"/>
        </w:rPr>
        <w:t>根据上述职能定位，结合我街道实际，</w:t>
      </w:r>
      <w:r>
        <w:rPr>
          <w:rFonts w:hint="eastAsia" w:ascii="仿宋_GB2312" w:eastAsia="仿宋_GB2312"/>
          <w:sz w:val="28"/>
          <w:szCs w:val="28"/>
        </w:rPr>
        <w:t>浑河站东街道办事处设8个内设机构。</w:t>
      </w:r>
    </w:p>
    <w:p w14:paraId="20496141">
      <w:pPr>
        <w:ind w:firstLine="645"/>
        <w:jc w:val="left"/>
        <w:rPr>
          <w:rFonts w:ascii="楷体" w:hAnsi="楷体" w:eastAsia="楷体"/>
          <w:sz w:val="32"/>
          <w:szCs w:val="32"/>
        </w:rPr>
      </w:pPr>
      <w:r>
        <w:rPr>
          <w:rFonts w:hint="eastAsia" w:ascii="楷体" w:hAnsi="楷体" w:eastAsia="楷体"/>
          <w:sz w:val="32"/>
          <w:szCs w:val="32"/>
        </w:rPr>
        <w:t>1.党政综合办公室（党建工作办公室）</w:t>
      </w:r>
    </w:p>
    <w:p w14:paraId="546D2871">
      <w:pPr>
        <w:ind w:firstLine="645"/>
        <w:jc w:val="left"/>
        <w:rPr>
          <w:rFonts w:ascii="仿宋" w:hAnsi="仿宋" w:eastAsia="仿宋"/>
          <w:sz w:val="32"/>
          <w:szCs w:val="32"/>
        </w:rPr>
      </w:pPr>
      <w:r>
        <w:rPr>
          <w:rFonts w:hint="eastAsia" w:ascii="仿宋" w:hAnsi="仿宋" w:eastAsia="仿宋"/>
          <w:sz w:val="32"/>
          <w:szCs w:val="32"/>
        </w:rPr>
        <w:t>主要履行机关日常事务、综合协调、服务保障及党的建设等工作职能。</w:t>
      </w:r>
    </w:p>
    <w:p w14:paraId="5C5F3EF6">
      <w:pPr>
        <w:ind w:firstLine="645"/>
        <w:jc w:val="left"/>
        <w:rPr>
          <w:rFonts w:ascii="仿宋" w:hAnsi="仿宋" w:eastAsia="仿宋"/>
          <w:sz w:val="32"/>
          <w:szCs w:val="32"/>
        </w:rPr>
      </w:pPr>
      <w:r>
        <w:rPr>
          <w:rFonts w:hint="eastAsia" w:ascii="仿宋" w:hAnsi="仿宋" w:eastAsia="仿宋"/>
          <w:sz w:val="32"/>
          <w:szCs w:val="32"/>
        </w:rPr>
        <w:t>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日常值班、考勤统计、档案、保密等工作；负责机构编制、人事管理绩效考评等工作；负责在职人员管理、离退休干部服务等工作；</w:t>
      </w:r>
    </w:p>
    <w:p w14:paraId="1A2D15AB">
      <w:pPr>
        <w:ind w:firstLine="645"/>
        <w:jc w:val="left"/>
        <w:rPr>
          <w:rFonts w:ascii="仿宋" w:hAnsi="仿宋" w:eastAsia="仿宋"/>
          <w:sz w:val="32"/>
          <w:szCs w:val="32"/>
        </w:rPr>
      </w:pPr>
      <w:r>
        <w:rPr>
          <w:rFonts w:hint="eastAsia" w:ascii="仿宋" w:hAnsi="仿宋" w:eastAsia="仿宋"/>
          <w:sz w:val="32"/>
          <w:szCs w:val="32"/>
        </w:rPr>
        <w:t>负责落实基层党建工作责任制，统筹推进基层党建工作，实现党的组织和工作全覆盖；负责党员管理教育、组织关系接转、政审外调、党费收缴等工作；负责基层社区、非公企业、社会组织党组织建设；依托街道事务受理中心和文化活动中心，建立街道党建服务中心，面向辖区内党组织和党员开展党建活动、提供党建服务，使其成为服务区域党员群众的枢纽。承办街道党工委交办的临时性工作。</w:t>
      </w:r>
    </w:p>
    <w:p w14:paraId="20E401F2">
      <w:pPr>
        <w:ind w:firstLine="645"/>
        <w:jc w:val="left"/>
        <w:rPr>
          <w:rFonts w:ascii="仿宋" w:hAnsi="仿宋" w:eastAsia="仿宋"/>
          <w:sz w:val="32"/>
          <w:szCs w:val="32"/>
        </w:rPr>
      </w:pPr>
      <w:r>
        <w:rPr>
          <w:rFonts w:hint="eastAsia" w:ascii="楷体" w:hAnsi="楷体" w:eastAsia="楷体"/>
          <w:sz w:val="32"/>
          <w:szCs w:val="32"/>
        </w:rPr>
        <w:t>2.社会治理办公室</w:t>
      </w:r>
    </w:p>
    <w:p w14:paraId="4518AD89">
      <w:pPr>
        <w:ind w:firstLine="645"/>
        <w:jc w:val="left"/>
        <w:rPr>
          <w:rFonts w:ascii="仿宋" w:hAnsi="仿宋" w:eastAsia="仿宋"/>
          <w:sz w:val="32"/>
          <w:szCs w:val="32"/>
        </w:rPr>
      </w:pPr>
      <w:r>
        <w:rPr>
          <w:rFonts w:hint="eastAsia" w:ascii="仿宋" w:hAnsi="仿宋" w:eastAsia="仿宋"/>
          <w:sz w:val="32"/>
          <w:szCs w:val="32"/>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负责人民武装工作。承办街道党工委交办的临时性工作。</w:t>
      </w:r>
    </w:p>
    <w:p w14:paraId="73D398AF">
      <w:pPr>
        <w:ind w:firstLine="645"/>
        <w:jc w:val="left"/>
        <w:rPr>
          <w:rFonts w:ascii="仿宋" w:hAnsi="仿宋" w:eastAsia="仿宋"/>
          <w:sz w:val="32"/>
          <w:szCs w:val="32"/>
        </w:rPr>
      </w:pPr>
      <w:r>
        <w:rPr>
          <w:rFonts w:hint="eastAsia" w:ascii="楷体" w:hAnsi="楷体" w:eastAsia="楷体"/>
          <w:sz w:val="32"/>
          <w:szCs w:val="32"/>
        </w:rPr>
        <w:t>3.公共服务办公室（政务服务大厅）</w:t>
      </w:r>
    </w:p>
    <w:p w14:paraId="25289859">
      <w:pPr>
        <w:ind w:firstLine="645"/>
        <w:jc w:val="left"/>
        <w:rPr>
          <w:rFonts w:ascii="仿宋" w:hAnsi="仿宋" w:eastAsia="仿宋"/>
          <w:sz w:val="32"/>
          <w:szCs w:val="32"/>
        </w:rPr>
      </w:pPr>
      <w:r>
        <w:rPr>
          <w:rFonts w:hint="eastAsia" w:ascii="仿宋" w:hAnsi="仿宋" w:eastAsia="仿宋"/>
          <w:sz w:val="32"/>
          <w:szCs w:val="32"/>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 w:hAnsi="仿宋" w:eastAsia="仿宋"/>
          <w:sz w:val="32"/>
          <w:szCs w:val="32"/>
          <w:lang w:eastAsia="zh-CN"/>
        </w:rPr>
        <w:t>残疾人保障法</w:t>
      </w:r>
      <w:r>
        <w:rPr>
          <w:rFonts w:hint="eastAsia" w:ascii="仿宋" w:hAnsi="仿宋" w:eastAsia="仿宋"/>
          <w:sz w:val="32"/>
          <w:szCs w:val="32"/>
        </w:rPr>
        <w:t>》，安置有劳动能力的残疾人就业，维护残疾人合法权益；负责整合基层行政审批和公共服务职责，设置街道便民服务中心，实行“一站式服务”、“一门式办理”;承办街道党工委交办的临时性工作。</w:t>
      </w:r>
    </w:p>
    <w:p w14:paraId="76DB9D2E">
      <w:pPr>
        <w:ind w:firstLine="645"/>
        <w:jc w:val="left"/>
        <w:rPr>
          <w:rFonts w:ascii="仿宋" w:hAnsi="仿宋" w:eastAsia="仿宋"/>
          <w:sz w:val="32"/>
          <w:szCs w:val="32"/>
        </w:rPr>
      </w:pPr>
      <w:r>
        <w:rPr>
          <w:rFonts w:hint="eastAsia" w:ascii="楷体" w:hAnsi="楷体" w:eastAsia="楷体"/>
          <w:sz w:val="32"/>
          <w:szCs w:val="32"/>
        </w:rPr>
        <w:t>4.城市管理办公室</w:t>
      </w:r>
    </w:p>
    <w:p w14:paraId="77FA9121">
      <w:pPr>
        <w:ind w:firstLine="645"/>
        <w:jc w:val="left"/>
        <w:rPr>
          <w:rFonts w:ascii="仿宋" w:hAnsi="仿宋" w:eastAsia="仿宋"/>
          <w:sz w:val="32"/>
          <w:szCs w:val="32"/>
        </w:rPr>
      </w:pPr>
      <w:r>
        <w:rPr>
          <w:rFonts w:hint="eastAsia" w:ascii="仿宋" w:hAnsi="仿宋" w:eastAsia="仿宋"/>
          <w:sz w:val="32"/>
          <w:szCs w:val="32"/>
        </w:rPr>
        <w:t>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配合土地执法等相关工作；负责派驻队所的日常管理和绩效考评。有关部门履行行政执法主体责任时，负责协助其承担日常巡查、发现违法行为并及时通报等具体工作。协调协同现场征收部、执法大队开展工作。承接并落实土地利用规划及城乡规划、耕地保护、宅基地管理等相关工作，承办街道党工委交办的临时性工作。</w:t>
      </w:r>
    </w:p>
    <w:p w14:paraId="4684140C">
      <w:pPr>
        <w:ind w:firstLine="645"/>
        <w:jc w:val="left"/>
        <w:rPr>
          <w:rFonts w:ascii="仿宋" w:hAnsi="仿宋" w:eastAsia="仿宋"/>
          <w:sz w:val="32"/>
          <w:szCs w:val="32"/>
        </w:rPr>
      </w:pPr>
      <w:r>
        <w:rPr>
          <w:rFonts w:hint="eastAsia" w:ascii="楷体" w:hAnsi="楷体" w:eastAsia="楷体"/>
          <w:sz w:val="32"/>
          <w:szCs w:val="32"/>
        </w:rPr>
        <w:t>5.经济发展办公室</w:t>
      </w:r>
    </w:p>
    <w:p w14:paraId="78C9BB6B">
      <w:pPr>
        <w:ind w:firstLine="645"/>
        <w:jc w:val="left"/>
        <w:rPr>
          <w:rFonts w:ascii="仿宋" w:hAnsi="仿宋" w:eastAsia="仿宋"/>
          <w:sz w:val="32"/>
          <w:szCs w:val="32"/>
        </w:rPr>
      </w:pPr>
      <w:r>
        <w:rPr>
          <w:rFonts w:hint="eastAsia" w:ascii="仿宋" w:hAnsi="仿宋" w:eastAsia="仿宋"/>
          <w:sz w:val="32"/>
          <w:szCs w:val="32"/>
        </w:rPr>
        <w:t>主要履行发展决策落实、企业商贸服务、营商环境建设和在地统计等工作职能。负责财务管理、资产管理、政府采购等项工作，负责办公场所运转维护、安全、卫生清洁等后勤服务保障工作；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协调协同街道综合服务分中心开展工作。承办街道党工委交办的临时性工作。</w:t>
      </w:r>
    </w:p>
    <w:p w14:paraId="0DE04434">
      <w:pPr>
        <w:ind w:firstLine="645"/>
        <w:jc w:val="left"/>
        <w:rPr>
          <w:rFonts w:ascii="仿宋" w:hAnsi="仿宋" w:eastAsia="仿宋"/>
          <w:sz w:val="32"/>
          <w:szCs w:val="32"/>
        </w:rPr>
      </w:pPr>
      <w:r>
        <w:rPr>
          <w:rFonts w:hint="eastAsia" w:ascii="楷体" w:hAnsi="楷体" w:eastAsia="楷体"/>
          <w:sz w:val="32"/>
          <w:szCs w:val="32"/>
        </w:rPr>
        <w:t>6.应急管理办公室（投诉平台）</w:t>
      </w:r>
    </w:p>
    <w:p w14:paraId="6645F6F5">
      <w:pPr>
        <w:ind w:firstLine="645"/>
        <w:jc w:val="left"/>
        <w:rPr>
          <w:rFonts w:ascii="仿宋" w:hAnsi="仿宋" w:eastAsia="仿宋"/>
          <w:sz w:val="32"/>
          <w:szCs w:val="32"/>
        </w:rPr>
      </w:pPr>
      <w:r>
        <w:rPr>
          <w:rFonts w:hint="eastAsia" w:ascii="仿宋" w:hAnsi="仿宋" w:eastAsia="仿宋"/>
          <w:sz w:val="32"/>
          <w:szCs w:val="32"/>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水旱灾害、地震和地质灾害等突发事件的应急救援及防控工作，组织社会力量开展救援工作。负责整合现有设在街道的党的建设、综合治理、社区治理、数字城管等系统指挥信息资源，建立一体化的信息系统和综合指挥平台，实现互联互通、信息共享、实时监控、综合监测。协调协同应急中队开展工作。承办街道党工委交办的临时性工作。</w:t>
      </w:r>
    </w:p>
    <w:p w14:paraId="744E2239">
      <w:pPr>
        <w:ind w:firstLine="645"/>
        <w:jc w:val="left"/>
        <w:rPr>
          <w:rFonts w:ascii="仿宋" w:hAnsi="仿宋" w:eastAsia="仿宋"/>
          <w:sz w:val="32"/>
          <w:szCs w:val="32"/>
        </w:rPr>
      </w:pPr>
      <w:r>
        <w:rPr>
          <w:rFonts w:hint="eastAsia" w:ascii="楷体" w:hAnsi="楷体" w:eastAsia="楷体"/>
          <w:sz w:val="32"/>
          <w:szCs w:val="32"/>
        </w:rPr>
        <w:t>7.社区建设指导办公室</w:t>
      </w:r>
    </w:p>
    <w:p w14:paraId="5ABD8A25">
      <w:pPr>
        <w:ind w:firstLine="645"/>
        <w:jc w:val="left"/>
        <w:rPr>
          <w:rFonts w:ascii="仿宋" w:hAnsi="仿宋" w:eastAsia="仿宋"/>
          <w:sz w:val="32"/>
          <w:szCs w:val="32"/>
        </w:rPr>
      </w:pPr>
      <w:r>
        <w:rPr>
          <w:rFonts w:hint="eastAsia" w:ascii="仿宋" w:hAnsi="仿宋" w:eastAsia="仿宋"/>
          <w:sz w:val="32"/>
          <w:szCs w:val="32"/>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加强社区综合服务站点建设，设置便民服务站，推动基本公共服务事项进驻社区办理。承办街道党工委交办的临时性工作。</w:t>
      </w:r>
    </w:p>
    <w:p w14:paraId="03977E3D">
      <w:pPr>
        <w:ind w:firstLine="645"/>
        <w:jc w:val="left"/>
        <w:rPr>
          <w:rFonts w:ascii="楷体" w:hAnsi="楷体" w:eastAsia="楷体"/>
          <w:sz w:val="32"/>
          <w:szCs w:val="32"/>
        </w:rPr>
      </w:pPr>
      <w:r>
        <w:rPr>
          <w:rFonts w:hint="eastAsia" w:ascii="楷体" w:hAnsi="楷体" w:eastAsia="楷体"/>
          <w:sz w:val="32"/>
          <w:szCs w:val="32"/>
        </w:rPr>
        <w:t>8.纪工委（监察办公室）</w:t>
      </w:r>
    </w:p>
    <w:p w14:paraId="12CEAD43">
      <w:pPr>
        <w:ind w:firstLine="645"/>
        <w:jc w:val="left"/>
        <w:rPr>
          <w:rFonts w:ascii="仿宋" w:hAnsi="仿宋" w:eastAsia="仿宋"/>
          <w:sz w:val="32"/>
          <w:szCs w:val="32"/>
        </w:rPr>
      </w:pPr>
      <w:r>
        <w:rPr>
          <w:rFonts w:hint="eastAsia" w:ascii="仿宋" w:hAnsi="仿宋" w:eastAsia="仿宋"/>
          <w:sz w:val="32"/>
          <w:szCs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及街道党工委交办的临时性工作。</w:t>
      </w:r>
    </w:p>
    <w:p w14:paraId="3C077EAB">
      <w:pPr>
        <w:ind w:firstLine="645"/>
        <w:jc w:val="left"/>
        <w:rPr>
          <w:rFonts w:ascii="仿宋" w:hAnsi="仿宋" w:eastAsia="仿宋"/>
          <w:sz w:val="32"/>
          <w:szCs w:val="32"/>
        </w:rPr>
      </w:pPr>
      <w:r>
        <w:rPr>
          <w:rFonts w:hint="eastAsia" w:ascii="仿宋" w:hAnsi="仿宋" w:eastAsia="仿宋"/>
          <w:sz w:val="32"/>
          <w:szCs w:val="32"/>
        </w:rPr>
        <w:t>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40B47B32">
      <w:pPr>
        <w:ind w:firstLine="560" w:firstLineChars="200"/>
        <w:rPr>
          <w:rFonts w:ascii="仿宋_GB2312" w:eastAsia="仿宋_GB2312"/>
          <w:sz w:val="28"/>
          <w:szCs w:val="28"/>
        </w:rPr>
      </w:pPr>
    </w:p>
    <w:p w14:paraId="11903B4D">
      <w:pPr>
        <w:pStyle w:val="7"/>
        <w:spacing w:line="560" w:lineRule="atLeast"/>
        <w:ind w:firstLine="640" w:firstLineChars="200"/>
        <w:rPr>
          <w:rFonts w:ascii="黑体" w:eastAsia="黑体"/>
          <w:sz w:val="32"/>
          <w:szCs w:val="32"/>
        </w:rPr>
      </w:pPr>
      <w:r>
        <w:rPr>
          <w:rFonts w:hint="eastAsia" w:ascii="黑体" w:eastAsia="黑体"/>
          <w:sz w:val="32"/>
          <w:szCs w:val="32"/>
        </w:rPr>
        <w:t>二、部门决算单位构成</w:t>
      </w:r>
    </w:p>
    <w:p w14:paraId="05194E47">
      <w:pPr>
        <w:spacing w:line="560" w:lineRule="exact"/>
        <w:ind w:firstLine="640" w:firstLineChars="200"/>
        <w:rPr>
          <w:rFonts w:ascii="仿宋" w:hAnsi="仿宋" w:eastAsia="仿宋" w:cs="仿宋"/>
          <w:b/>
          <w:sz w:val="32"/>
          <w:szCs w:val="32"/>
        </w:rPr>
      </w:pPr>
      <w:r>
        <w:rPr>
          <w:rFonts w:hint="eastAsia" w:ascii="仿宋" w:hAnsi="仿宋" w:eastAsia="仿宋" w:cs="仿宋"/>
          <w:sz w:val="32"/>
          <w:szCs w:val="32"/>
        </w:rPr>
        <w:t>沈阳市浑南区浑河站东街道办事处除本级单位外，无二级预算单位。</w:t>
      </w:r>
    </w:p>
    <w:p w14:paraId="500D4C7B">
      <w:pPr>
        <w:pStyle w:val="7"/>
        <w:spacing w:line="560" w:lineRule="atLeast"/>
        <w:ind w:left="840"/>
        <w:rPr>
          <w:rFonts w:ascii="仿宋_GB2312" w:eastAsia="仿宋_GB2312"/>
          <w:sz w:val="32"/>
          <w:szCs w:val="32"/>
        </w:rPr>
      </w:pPr>
    </w:p>
    <w:p w14:paraId="58816FD2">
      <w:pPr>
        <w:pStyle w:val="7"/>
        <w:spacing w:line="560" w:lineRule="atLeast"/>
        <w:rPr>
          <w:b/>
          <w:bCs/>
          <w:sz w:val="36"/>
          <w:szCs w:val="36"/>
        </w:rPr>
      </w:pPr>
    </w:p>
    <w:p w14:paraId="4D8E3199">
      <w:pPr>
        <w:pStyle w:val="7"/>
        <w:spacing w:line="560" w:lineRule="atLeast"/>
        <w:rPr>
          <w:b/>
          <w:bCs/>
          <w:sz w:val="36"/>
          <w:szCs w:val="36"/>
        </w:rPr>
      </w:pPr>
    </w:p>
    <w:p w14:paraId="1D5CD8BF">
      <w:pPr>
        <w:pStyle w:val="7"/>
        <w:spacing w:line="560" w:lineRule="atLeast"/>
        <w:ind w:left="180"/>
        <w:rPr>
          <w:rFonts w:ascii="仿宋_GB2312" w:eastAsia="仿宋_GB2312"/>
          <w:sz w:val="32"/>
          <w:szCs w:val="32"/>
        </w:rPr>
      </w:pPr>
      <w:r>
        <w:rPr>
          <w:rFonts w:hint="eastAsia"/>
          <w:b/>
          <w:bCs/>
          <w:sz w:val="36"/>
          <w:szCs w:val="36"/>
        </w:rPr>
        <w:t>第二部分沈阳市浑南区浑河站东街道办事处部门决算公开表</w:t>
      </w:r>
    </w:p>
    <w:p w14:paraId="04D80DB8">
      <w:pPr>
        <w:pStyle w:val="7"/>
        <w:spacing w:line="560" w:lineRule="atLeast"/>
        <w:rPr>
          <w:rFonts w:ascii="仿宋_GB2312" w:eastAsia="仿宋_GB2312"/>
          <w:sz w:val="32"/>
          <w:szCs w:val="32"/>
        </w:rPr>
      </w:pPr>
    </w:p>
    <w:p w14:paraId="4517E5E4">
      <w:pPr>
        <w:pStyle w:val="7"/>
        <w:spacing w:line="560" w:lineRule="atLeast"/>
        <w:rPr>
          <w:rFonts w:ascii="仿宋_GB2312" w:eastAsia="仿宋_GB2312"/>
          <w:b/>
          <w:bCs/>
          <w:sz w:val="32"/>
          <w:szCs w:val="32"/>
        </w:rPr>
      </w:pPr>
      <w:r>
        <w:rPr>
          <w:rFonts w:hint="eastAsia" w:ascii="仿宋_GB2312" w:eastAsia="仿宋_GB2312"/>
          <w:b/>
          <w:bCs/>
          <w:sz w:val="32"/>
          <w:szCs w:val="32"/>
        </w:rPr>
        <w:t>附：决算公开电子文档</w:t>
      </w:r>
    </w:p>
    <w:p w14:paraId="627FA2A1">
      <w:pPr>
        <w:pStyle w:val="7"/>
        <w:spacing w:line="560" w:lineRule="atLeast"/>
        <w:rPr>
          <w:rFonts w:ascii="仿宋_GB2312" w:eastAsia="仿宋_GB2312"/>
          <w:b/>
          <w:bCs/>
          <w:sz w:val="32"/>
          <w:szCs w:val="32"/>
        </w:rPr>
      </w:pPr>
    </w:p>
    <w:p w14:paraId="1A37BA58">
      <w:pPr>
        <w:pStyle w:val="7"/>
        <w:spacing w:line="560" w:lineRule="atLeast"/>
        <w:rPr>
          <w:rFonts w:ascii="黑体" w:eastAsia="黑体"/>
          <w:sz w:val="32"/>
          <w:szCs w:val="32"/>
        </w:rPr>
      </w:pPr>
    </w:p>
    <w:p w14:paraId="4BA05643">
      <w:pPr>
        <w:pStyle w:val="7"/>
        <w:spacing w:line="560" w:lineRule="atLeast"/>
        <w:rPr>
          <w:rFonts w:ascii="黑体" w:eastAsia="黑体"/>
          <w:sz w:val="32"/>
          <w:szCs w:val="32"/>
        </w:rPr>
      </w:pPr>
    </w:p>
    <w:p w14:paraId="2FCC1A7C">
      <w:pPr>
        <w:pStyle w:val="7"/>
        <w:spacing w:line="560" w:lineRule="atLeast"/>
        <w:rPr>
          <w:b/>
          <w:bCs/>
          <w:sz w:val="36"/>
          <w:szCs w:val="36"/>
        </w:rPr>
      </w:pPr>
      <w:r>
        <w:rPr>
          <w:rFonts w:hint="eastAsia"/>
          <w:b/>
          <w:bCs/>
          <w:sz w:val="36"/>
          <w:szCs w:val="36"/>
        </w:rPr>
        <w:t>第三部分 沈阳市浑南区浑河站东街道办事处2019年部门决算情况说明</w:t>
      </w:r>
    </w:p>
    <w:p w14:paraId="74C7C563">
      <w:pPr>
        <w:pStyle w:val="7"/>
        <w:spacing w:line="560" w:lineRule="atLeast"/>
        <w:rPr>
          <w:b/>
          <w:bCs/>
          <w:sz w:val="36"/>
          <w:szCs w:val="36"/>
        </w:rPr>
      </w:pPr>
    </w:p>
    <w:p w14:paraId="6CC34B6A">
      <w:pPr>
        <w:spacing w:line="540" w:lineRule="exact"/>
        <w:ind w:firstLine="640" w:firstLineChars="200"/>
        <w:rPr>
          <w:rFonts w:ascii="黑体" w:hAnsi="黑体" w:eastAsia="黑体"/>
          <w:sz w:val="32"/>
          <w:szCs w:val="32"/>
        </w:rPr>
      </w:pPr>
    </w:p>
    <w:p w14:paraId="3C9C68B2">
      <w:pPr>
        <w:spacing w:line="540" w:lineRule="exact"/>
        <w:ind w:firstLine="640" w:firstLineChars="200"/>
        <w:rPr>
          <w:rFonts w:ascii="黑体" w:hAnsi="黑体" w:eastAsia="黑体"/>
          <w:sz w:val="32"/>
          <w:szCs w:val="32"/>
        </w:rPr>
      </w:pPr>
      <w:r>
        <w:rPr>
          <w:rFonts w:hint="eastAsia" w:ascii="黑体" w:hAnsi="黑体" w:eastAsia="黑体"/>
          <w:sz w:val="32"/>
          <w:szCs w:val="32"/>
        </w:rPr>
        <w:t>一、收入支出决算总体情况</w:t>
      </w:r>
    </w:p>
    <w:p w14:paraId="2038EF1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（一）收入总计17494.9万元，包括：</w:t>
      </w:r>
    </w:p>
    <w:p w14:paraId="48AF80C4">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1.财政拨款收入17494.9万元，占</w:t>
      </w:r>
      <w:r>
        <w:rPr>
          <w:rFonts w:ascii="仿宋_GB2312" w:hAnsi="宋体" w:eastAsia="仿宋_GB2312"/>
          <w:sz w:val="32"/>
          <w:szCs w:val="32"/>
        </w:rPr>
        <w:t>收入总计的</w:t>
      </w:r>
      <w:r>
        <w:rPr>
          <w:rFonts w:hint="eastAsia" w:ascii="仿宋_GB2312" w:hAnsi="宋体" w:eastAsia="仿宋_GB2312"/>
          <w:sz w:val="32"/>
          <w:szCs w:val="32"/>
        </w:rPr>
        <w:t>100</w:t>
      </w:r>
      <w:r>
        <w:rPr>
          <w:rFonts w:ascii="仿宋_GB2312" w:hAnsi="宋体" w:eastAsia="仿宋_GB2312"/>
          <w:sz w:val="32"/>
          <w:szCs w:val="32"/>
        </w:rPr>
        <w:t>%</w:t>
      </w:r>
      <w:r>
        <w:rPr>
          <w:rFonts w:hint="eastAsia" w:ascii="仿宋_GB2312" w:hAnsi="宋体" w:eastAsia="仿宋_GB2312"/>
          <w:sz w:val="32"/>
          <w:szCs w:val="32"/>
        </w:rPr>
        <w:t>。其中：公共预算财政拨款收入2564.05万元，政府性基金收入14930.89万元。</w:t>
      </w:r>
    </w:p>
    <w:p w14:paraId="59CC6030">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2.上年结转和结余130.27万元，占收入总计的XX%。主要是</w:t>
      </w:r>
      <w:r>
        <w:rPr>
          <w:rFonts w:ascii="仿宋_GB2312" w:hAnsi="宋体" w:eastAsia="仿宋_GB2312"/>
          <w:sz w:val="32"/>
          <w:szCs w:val="32"/>
        </w:rPr>
        <w:t>XX</w:t>
      </w:r>
      <w:r>
        <w:rPr>
          <w:rFonts w:hint="eastAsia" w:ascii="仿宋_GB2312" w:hAnsi="宋体" w:eastAsia="仿宋_GB2312"/>
          <w:sz w:val="32"/>
          <w:szCs w:val="32"/>
        </w:rPr>
        <w:t>等。</w:t>
      </w:r>
    </w:p>
    <w:p w14:paraId="1E15EBD2">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与上年相比，今年收入增加4838.29万元，增长38.23%，主要原因：土地拆迁补偿款比去年增加。</w:t>
      </w:r>
    </w:p>
    <w:p w14:paraId="2AD6EA2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（二）支出总计17349.5万元，包括：</w:t>
      </w:r>
    </w:p>
    <w:p w14:paraId="10305A5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1.基本支出616.58万元，占支出总计的3.55%。主要是为保障机构正常运转、完成日常工作任务而发生的各项支出，其中：工资福利支出400.66万元，对个人和家庭的补助支出6.44万元，商品和服务支出209.48万元。</w:t>
      </w:r>
    </w:p>
    <w:p w14:paraId="3539CB8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2.项目支出16732.92万元，占支出总计的96.45%。主要包括行政事业类项目等业务支出。</w:t>
      </w:r>
    </w:p>
    <w:p w14:paraId="2C8D776B">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与上年相比，今年支出增加4945.65万元，增长39.48%，主要原因：拆迁补偿款较去年增加。</w:t>
      </w:r>
    </w:p>
    <w:p w14:paraId="52B9A74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（三）年末结转和结余225.97万元。</w:t>
      </w:r>
    </w:p>
    <w:p w14:paraId="153D394C">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主要是严格控制支出等原因形成的结余。与上年相比，今年结转结余增加95.7万元，增长73.46%，主要原因：严格控制支出。</w:t>
      </w:r>
    </w:p>
    <w:p w14:paraId="40C616EC">
      <w:pPr>
        <w:spacing w:line="540" w:lineRule="exact"/>
        <w:ind w:firstLine="660"/>
        <w:rPr>
          <w:rFonts w:ascii="黑体" w:hAnsi="黑体" w:eastAsia="黑体"/>
          <w:sz w:val="32"/>
          <w:szCs w:val="32"/>
        </w:rPr>
      </w:pPr>
      <w:r>
        <w:rPr>
          <w:rFonts w:hint="eastAsia" w:ascii="黑体" w:hAnsi="黑体" w:eastAsia="黑体"/>
          <w:sz w:val="32"/>
          <w:szCs w:val="32"/>
        </w:rPr>
        <w:t>二、财政拨款支出决算情况</w:t>
      </w:r>
    </w:p>
    <w:p w14:paraId="0B72BB9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80FB22F">
      <w:pPr>
        <w:spacing w:line="540" w:lineRule="exact"/>
        <w:ind w:firstLine="660"/>
        <w:rPr>
          <w:rFonts w:ascii="仿宋_GB2312" w:hAnsi="宋体" w:eastAsia="仿宋_GB2312"/>
          <w:sz w:val="32"/>
          <w:szCs w:val="32"/>
        </w:rPr>
      </w:pPr>
      <w:r>
        <w:rPr>
          <w:rFonts w:hint="eastAsia" w:ascii="仿宋_GB2312" w:hAnsi="宋体" w:eastAsia="仿宋_GB2312"/>
          <w:sz w:val="32"/>
          <w:szCs w:val="32"/>
        </w:rPr>
        <w:t>2019年度财政拨款支出17349.5万元，其中：基本支出616.58万元，项目支出16732.92万元。与</w:t>
      </w:r>
      <w:r>
        <w:rPr>
          <w:rFonts w:ascii="仿宋_GB2312" w:hAnsi="宋体" w:eastAsia="仿宋_GB2312"/>
          <w:sz w:val="32"/>
          <w:szCs w:val="32"/>
        </w:rPr>
        <w:t>上年相比，</w:t>
      </w:r>
      <w:r>
        <w:rPr>
          <w:rFonts w:hint="eastAsia" w:ascii="仿宋_GB2312" w:hAnsi="宋体" w:eastAsia="仿宋_GB2312"/>
          <w:sz w:val="32"/>
          <w:szCs w:val="32"/>
        </w:rPr>
        <w:t>财政拨款支出增加4838.29万元，增长38.23%，主要原因：拆迁补偿款较去年增加。与年初预算相比，2019财政拨款支出完成年初预算的94.33%，其中：基本支出完成年初预算的85.96%，项目完成年初预算的97.58%。</w:t>
      </w:r>
    </w:p>
    <w:p w14:paraId="3FCAB22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（二）具体情况。</w:t>
      </w:r>
    </w:p>
    <w:p w14:paraId="4734D304">
      <w:pPr>
        <w:rPr>
          <w:rFonts w:eastAsia="仿宋_GB2312"/>
        </w:rPr>
      </w:pPr>
      <w:r>
        <w:rPr>
          <w:rFonts w:hint="eastAsia" w:ascii="仿宋_GB2312" w:hAnsi="宋体" w:eastAsia="仿宋_GB2312"/>
          <w:sz w:val="32"/>
          <w:szCs w:val="32"/>
        </w:rPr>
        <w:t>2019年度财政拨款支出17349.5万元，按支出功能分类科目分，包括：一般公共服务支出1191.8万元，占6.87</w:t>
      </w:r>
      <w:r>
        <w:rPr>
          <w:rFonts w:ascii="仿宋_GB2312" w:hAnsi="宋体" w:eastAsia="仿宋_GB2312"/>
          <w:sz w:val="32"/>
          <w:szCs w:val="32"/>
        </w:rPr>
        <w:t>%</w:t>
      </w:r>
      <w:r>
        <w:rPr>
          <w:rFonts w:hint="eastAsia" w:ascii="仿宋_GB2312" w:hAnsi="宋体" w:eastAsia="仿宋_GB2312"/>
          <w:sz w:val="32"/>
          <w:szCs w:val="32"/>
        </w:rPr>
        <w:t>；国防支出1.54万元，占0.008%；文化体育与传媒支出11.85万元，占0.068%；社会保障和就业支出186.3万元，占1.07%；卫生健康支出24.38万元，占0.14%；</w:t>
      </w:r>
      <w:r>
        <w:rPr>
          <w:rFonts w:hint="eastAsia" w:ascii="仿宋_GB2312" w:eastAsia="仿宋_GB2312"/>
          <w:sz w:val="32"/>
          <w:szCs w:val="32"/>
        </w:rPr>
        <w:t>城乡社区支出15531.13万元，</w:t>
      </w:r>
      <w:r>
        <w:rPr>
          <w:rFonts w:hint="eastAsia" w:ascii="仿宋_GB2312" w:hAnsi="宋体" w:eastAsia="仿宋_GB2312"/>
          <w:sz w:val="32"/>
          <w:szCs w:val="32"/>
        </w:rPr>
        <w:t>占89.52%；农林水事务支出197.25万元，占1.14%；</w:t>
      </w:r>
      <w:r>
        <w:rPr>
          <w:rFonts w:hint="eastAsia" w:ascii="仿宋_GB2312" w:hAnsi="宋体" w:eastAsia="仿宋_GB2312" w:cs="仿宋_GB2312"/>
          <w:sz w:val="30"/>
          <w:szCs w:val="30"/>
          <w:shd w:val="clear" w:color="auto" w:fill="FFFFFF"/>
        </w:rPr>
        <w:t>住房保障支出75.91万元，</w:t>
      </w:r>
      <w:r>
        <w:rPr>
          <w:rFonts w:hint="eastAsia" w:ascii="仿宋_GB2312" w:hAnsi="宋体" w:eastAsia="仿宋_GB2312"/>
          <w:sz w:val="32"/>
          <w:szCs w:val="32"/>
        </w:rPr>
        <w:t>占0.44%；</w:t>
      </w:r>
      <w:r>
        <w:rPr>
          <w:rFonts w:hint="eastAsia" w:ascii="仿宋_GB2312" w:hAnsi="宋体" w:eastAsia="仿宋_GB2312" w:cs="仿宋_GB2312"/>
          <w:sz w:val="30"/>
          <w:szCs w:val="30"/>
          <w:shd w:val="clear" w:color="auto" w:fill="FFFFFF"/>
        </w:rPr>
        <w:t>灾害防治及应急管理支出128.52万元，</w:t>
      </w:r>
      <w:r>
        <w:rPr>
          <w:rFonts w:hint="eastAsia" w:ascii="仿宋_GB2312" w:hAnsi="宋体" w:eastAsia="仿宋_GB2312"/>
          <w:sz w:val="32"/>
          <w:szCs w:val="32"/>
        </w:rPr>
        <w:t>占0.74%；其他支出0.83万元，占0%；</w:t>
      </w:r>
    </w:p>
    <w:p w14:paraId="36F56010">
      <w:pPr>
        <w:spacing w:line="540" w:lineRule="exact"/>
        <w:ind w:firstLine="660"/>
        <w:rPr>
          <w:rFonts w:ascii="仿宋_GB2312" w:hAnsi="宋体" w:eastAsia="仿宋_GB2312"/>
          <w:sz w:val="32"/>
          <w:szCs w:val="32"/>
        </w:rPr>
      </w:pPr>
      <w:r>
        <w:rPr>
          <w:rFonts w:hint="eastAsia" w:ascii="仿宋_GB2312" w:hAnsi="宋体" w:eastAsia="仿宋_GB2312"/>
          <w:sz w:val="32"/>
          <w:szCs w:val="32"/>
        </w:rPr>
        <w:t>1.一般公共服务支出1191.81万元，具体包括：</w:t>
      </w:r>
    </w:p>
    <w:p w14:paraId="79E29EE4">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（1）行政运行465.64万元，主要是工资福利、商品和服务等支出，完成年初预算的84.4%，决算数小于年初预算数的原因主要是公务员职业年金未缴存。</w:t>
      </w:r>
    </w:p>
    <w:p w14:paraId="765D2960">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（2）一般行政管理事务256.55万元，主要是商品和服务等支出，完成年初预算的102.11%。</w:t>
      </w:r>
    </w:p>
    <w:p w14:paraId="7148D7D4">
      <w:pPr>
        <w:spacing w:line="540" w:lineRule="exact"/>
        <w:ind w:firstLine="660"/>
        <w:rPr>
          <w:rFonts w:ascii="仿宋_GB2312" w:hAnsi="宋体" w:eastAsia="仿宋_GB2312"/>
          <w:sz w:val="32"/>
          <w:szCs w:val="32"/>
        </w:rPr>
      </w:pPr>
      <w:r>
        <w:rPr>
          <w:rFonts w:hint="eastAsia" w:ascii="仿宋_GB2312" w:hAnsi="宋体" w:eastAsia="仿宋_GB2312"/>
          <w:sz w:val="32"/>
          <w:szCs w:val="32"/>
        </w:rPr>
        <w:t>（3）机关服务5.4万元，主要是园区园林绿化、机关维修费用支出，完成年初预算的100%。</w:t>
      </w:r>
    </w:p>
    <w:p w14:paraId="13011A27">
      <w:pPr>
        <w:spacing w:line="540" w:lineRule="exact"/>
        <w:ind w:firstLine="660"/>
        <w:rPr>
          <w:rFonts w:ascii="仿宋_GB2312" w:hAnsi="宋体" w:eastAsia="仿宋_GB2312"/>
          <w:sz w:val="32"/>
          <w:szCs w:val="32"/>
        </w:rPr>
      </w:pPr>
      <w:r>
        <w:rPr>
          <w:rFonts w:hint="eastAsia" w:ascii="仿宋_GB2312" w:hAnsi="宋体" w:eastAsia="仿宋_GB2312"/>
          <w:sz w:val="32"/>
          <w:szCs w:val="32"/>
        </w:rPr>
        <w:t>（4）其他财政事务支出3.36万元，主要是软件升级维护、账皮账页等支出，完成年初预算的100%。</w:t>
      </w:r>
    </w:p>
    <w:p w14:paraId="353C112F">
      <w:pPr>
        <w:spacing w:line="540" w:lineRule="exact"/>
        <w:ind w:firstLine="660"/>
        <w:rPr>
          <w:rFonts w:ascii="仿宋_GB2312" w:hAnsi="宋体" w:eastAsia="仿宋_GB2312"/>
          <w:sz w:val="32"/>
          <w:szCs w:val="32"/>
        </w:rPr>
      </w:pPr>
      <w:r>
        <w:rPr>
          <w:rFonts w:hint="eastAsia" w:ascii="仿宋_GB2312" w:hAnsi="宋体" w:eastAsia="仿宋_GB2312"/>
          <w:sz w:val="32"/>
          <w:szCs w:val="32"/>
        </w:rPr>
        <w:t>（5）其他一般公共服务支出219.81万元，主要是信访事务等支出，完成年初预算的102.78%。</w:t>
      </w:r>
    </w:p>
    <w:p w14:paraId="1AB9B076">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（6）其他财政事务支出3.36万元，主要是软件升级维护、账皮账页等支出，完成年初预算的100%，决算数小于（大于）年初预算数的原因主要是上年有结余结转在本年财务软件升级及购买账皮中使用。</w:t>
      </w:r>
    </w:p>
    <w:p w14:paraId="3547E9E5">
      <w:pPr>
        <w:spacing w:line="540" w:lineRule="exact"/>
        <w:ind w:firstLine="660"/>
        <w:rPr>
          <w:rFonts w:ascii="仿宋_GB2312" w:hAnsi="宋体" w:eastAsia="仿宋_GB2312"/>
          <w:sz w:val="32"/>
          <w:szCs w:val="32"/>
        </w:rPr>
      </w:pPr>
      <w:r>
        <w:rPr>
          <w:rFonts w:hint="eastAsia" w:ascii="仿宋_GB2312" w:hAnsi="宋体" w:eastAsia="仿宋_GB2312"/>
          <w:sz w:val="32"/>
          <w:szCs w:val="32"/>
        </w:rPr>
        <w:t>（7）其他纪检监察事务支出24.28万元，主要正风肃纪员监督事务等支出，完成年初预算的100%。</w:t>
      </w:r>
    </w:p>
    <w:p w14:paraId="219A4CB0">
      <w:pPr>
        <w:spacing w:line="540" w:lineRule="exact"/>
        <w:ind w:firstLine="660"/>
        <w:rPr>
          <w:rFonts w:ascii="仿宋_GB2312" w:hAnsi="宋体" w:eastAsia="仿宋_GB2312"/>
          <w:color w:val="FFFF00"/>
          <w:sz w:val="32"/>
          <w:szCs w:val="32"/>
        </w:rPr>
      </w:pPr>
      <w:r>
        <w:rPr>
          <w:rFonts w:hint="eastAsia" w:ascii="仿宋_GB2312" w:hAnsi="宋体" w:eastAsia="仿宋_GB2312"/>
          <w:sz w:val="32"/>
          <w:szCs w:val="32"/>
        </w:rPr>
        <w:t>（8）组织事务支出5.94万元，主要是商品和服务等支出，完成年初预算的87.88%，决算数小于年初预算数的原因主要是由于村民委员会组织法重新修订由原来的一届一年改为一届五年，导致当年未进行选举。</w:t>
      </w:r>
    </w:p>
    <w:p w14:paraId="17B81DA0">
      <w:pPr>
        <w:spacing w:line="540" w:lineRule="exact"/>
        <w:ind w:firstLine="660"/>
        <w:rPr>
          <w:rFonts w:ascii="仿宋_GB2312" w:hAnsi="宋体" w:eastAsia="仿宋_GB2312"/>
          <w:sz w:val="32"/>
          <w:szCs w:val="32"/>
        </w:rPr>
      </w:pPr>
      <w:r>
        <w:rPr>
          <w:rFonts w:hint="eastAsia" w:ascii="仿宋_GB2312" w:hAnsi="宋体" w:eastAsia="仿宋_GB2312"/>
          <w:sz w:val="32"/>
          <w:szCs w:val="32"/>
        </w:rPr>
        <w:t>（9）其他宣传事务支出0.2万元，主要是创城宣传等支出，完成年初预算的100%。</w:t>
      </w:r>
    </w:p>
    <w:p w14:paraId="4CF23974">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2.国防支出1.54万元，是其他国防支出1.54万元，主要是武装部购买应急器材物资等支出，完成年初预算的100%。</w:t>
      </w:r>
    </w:p>
    <w:p w14:paraId="267BDFCC">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3.文化体育与传媒支出11.85万元，是其他文化和旅游支出，主要是社区开展元旦、春节活动费用及中华人民共和国</w:t>
      </w:r>
      <w:r>
        <w:rPr>
          <w:rFonts w:hint="eastAsia" w:ascii="仿宋_GB2312" w:hAnsi="宋体" w:eastAsia="仿宋_GB2312"/>
          <w:sz w:val="32"/>
          <w:szCs w:val="32"/>
          <w:lang w:eastAsia="zh-CN"/>
        </w:rPr>
        <w:t>成立70周年</w:t>
      </w:r>
      <w:r>
        <w:rPr>
          <w:rFonts w:hint="eastAsia" w:ascii="仿宋_GB2312" w:hAnsi="宋体" w:eastAsia="仿宋_GB2312"/>
          <w:sz w:val="32"/>
          <w:szCs w:val="32"/>
        </w:rPr>
        <w:t>举行文艺演出费用支出，完成年初预算的123.43%， 决算数大于年初预算数的原因主要是上年有结余结转2.25万元，在本年元旦和春节活动中支出。</w:t>
      </w:r>
    </w:p>
    <w:p w14:paraId="24379623">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4.社会保障和就业支出186.3万元，具体包括：</w:t>
      </w:r>
    </w:p>
    <w:p w14:paraId="3615E24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机关事业单位基本养老保险缴费51.81万元，主要是机关事业单位基本养老保险及职业年金支出，完成年初预算的77.96%，决算数小于年初预算数的原因主要是行政人员职业年金未缴费，剩余全部为本年行政人员职业年金未缴费部分。</w:t>
      </w:r>
    </w:p>
    <w:p w14:paraId="340D7666">
      <w:pPr>
        <w:spacing w:line="540" w:lineRule="exact"/>
        <w:ind w:firstLine="660"/>
        <w:rPr>
          <w:rFonts w:ascii="仿宋_GB2312" w:hAnsi="宋体" w:eastAsia="仿宋_GB2312"/>
          <w:sz w:val="32"/>
          <w:szCs w:val="32"/>
        </w:rPr>
      </w:pPr>
      <w:r>
        <w:rPr>
          <w:rFonts w:hint="eastAsia" w:ascii="仿宋_GB2312" w:hAnsi="宋体" w:eastAsia="仿宋_GB2312"/>
          <w:sz w:val="32"/>
          <w:szCs w:val="32"/>
        </w:rPr>
        <w:t>（2）民政管理事务117.72万元，主要用于城市社区商品和服务中的办公费、水电费、取暖费、维修维护费等支出，完成年初预算的115.6%，决算数大于年初预算数的原因由于上年有结余，在本年社区办公费中支出。</w:t>
      </w:r>
    </w:p>
    <w:p w14:paraId="7443CA27">
      <w:pPr>
        <w:spacing w:line="540" w:lineRule="exact"/>
        <w:ind w:firstLine="660"/>
        <w:rPr>
          <w:rFonts w:ascii="仿宋_GB2312" w:hAnsi="宋体" w:eastAsia="仿宋_GB2312"/>
          <w:sz w:val="32"/>
          <w:szCs w:val="32"/>
        </w:rPr>
      </w:pPr>
      <w:r>
        <w:rPr>
          <w:rFonts w:hint="eastAsia" w:ascii="仿宋_GB2312" w:hAnsi="宋体" w:eastAsia="仿宋_GB2312"/>
          <w:sz w:val="32"/>
          <w:szCs w:val="32"/>
        </w:rPr>
        <w:t>（3）死亡抚恤16.77万元，主要是机关行政退休人员死亡金支出。</w:t>
      </w:r>
    </w:p>
    <w:p w14:paraId="13E39101">
      <w:pPr>
        <w:spacing w:line="540" w:lineRule="exact"/>
        <w:ind w:firstLine="960" w:firstLineChars="300"/>
        <w:rPr>
          <w:rFonts w:ascii="仿宋_GB2312" w:hAnsi="宋体" w:eastAsia="仿宋_GB2312"/>
          <w:sz w:val="32"/>
          <w:szCs w:val="32"/>
        </w:rPr>
      </w:pPr>
      <w:r>
        <w:rPr>
          <w:rFonts w:hint="eastAsia" w:ascii="仿宋_GB2312" w:hAnsi="宋体" w:eastAsia="仿宋_GB2312"/>
          <w:sz w:val="32"/>
          <w:szCs w:val="32"/>
        </w:rPr>
        <w:t>5.卫生健康支出24.38万元，包括：</w:t>
      </w:r>
    </w:p>
    <w:p w14:paraId="3698E99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（1）行政单位医疗23.86万元，主要是行政人员医疗保险缴费支出，完成年初预算的100%。</w:t>
      </w:r>
    </w:p>
    <w:p w14:paraId="0316510E">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（2）公务员医疗补助2.35万元，主要是公务员医疗补助支出，完成年初预算的100%。</w:t>
      </w:r>
    </w:p>
    <w:p w14:paraId="4A27DB58">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6.城乡社区支出15531.13万元，具体包括：</w:t>
      </w:r>
    </w:p>
    <w:p w14:paraId="738F49AE">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（1）其他城乡社区管理服务支出20.14万元，主要是城管执法、其他城乡社区管理支出等。完成年初预算的102.6%，决算数大于年初预算数的原因主要是征收拆迁拆除哈啤地块中有0.51万元的2018年工作经费结余。</w:t>
      </w:r>
    </w:p>
    <w:p w14:paraId="11ED474B">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（2）国有土地使用权出让收入及对应专项债务收入安排的支出14930.89万元，主要是征地和拆迁补偿支出等支出。完成年初预算的100%。</w:t>
      </w:r>
    </w:p>
    <w:p w14:paraId="60FD3140">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（3）城乡社区环境卫生支出103.95万元，主要是城乡社区环境卫生支出等。完成年初预算的100%。</w:t>
      </w:r>
    </w:p>
    <w:p w14:paraId="6C03E609">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（4）其他城乡社区支出30.37万元，主要是其他城乡社区支出等支出。完成年初预算的100%。</w:t>
      </w:r>
    </w:p>
    <w:p w14:paraId="4985E2CD">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7.农林水事务支出197.25万元，具体包括：</w:t>
      </w:r>
    </w:p>
    <w:p w14:paraId="5459DEFC">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（1）其他农业支出9.11万元，主要是其他农业等支出，完成年初预算的100%。</w:t>
      </w:r>
    </w:p>
    <w:p w14:paraId="48CE0FC1">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sz w:val="32"/>
          <w:szCs w:val="32"/>
        </w:rPr>
        <w:t>（2）水利支出13.38万元，主要是防汛支出，完成年初预算的149.8%，决算数大于年初预算数的原因主要是2019年汛期雨量特别大，</w:t>
      </w:r>
      <w:r>
        <w:rPr>
          <w:rFonts w:ascii="仿宋_GB2312" w:hAnsi="宋体" w:eastAsia="仿宋_GB2312" w:cs="仿宋_GB2312"/>
          <w:sz w:val="30"/>
          <w:szCs w:val="30"/>
          <w:shd w:val="clear" w:color="auto" w:fill="FFFFFF"/>
        </w:rPr>
        <w:t>付防汛救</w:t>
      </w:r>
      <w:r>
        <w:rPr>
          <w:rFonts w:hint="eastAsia" w:ascii="仿宋_GB2312" w:hAnsi="宋体" w:eastAsia="仿宋_GB2312" w:cs="仿宋_GB2312"/>
          <w:sz w:val="30"/>
          <w:szCs w:val="30"/>
          <w:shd w:val="clear" w:color="auto" w:fill="FFFFFF"/>
        </w:rPr>
        <w:t>物资款。</w:t>
      </w:r>
    </w:p>
    <w:p w14:paraId="0DB38352">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（3）农村综合改革支出58.5万元，主要是对村民委员会和村党支部的补助支出，完成年初预算的100%。</w:t>
      </w:r>
    </w:p>
    <w:p w14:paraId="253869BF">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（4）防灾救灾支出89.32万元，主要是对农村村务防灾救灾支出，完成年初预算的100%。</w:t>
      </w:r>
    </w:p>
    <w:p w14:paraId="3D5F36D0">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（5）农村公益事业支出26.94万元，主要是其他商品服务支出，完成年初预算的100%。</w:t>
      </w:r>
    </w:p>
    <w:p w14:paraId="3733DC31">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8.住房保障支出75.91万元，包括：</w:t>
      </w:r>
    </w:p>
    <w:p w14:paraId="11AF92F9">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（1）住房公积金71.35万元，主要是住房公积金支出，完成年初预算的100%。</w:t>
      </w:r>
    </w:p>
    <w:p w14:paraId="412147D2">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（2）购买补贴4.56万元，主要是公务员购房补贴支出，完成年初预算的100%。</w:t>
      </w:r>
    </w:p>
    <w:p w14:paraId="061A0A7F">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9.灾害防治及应急管理支出128.52万元，包括：</w:t>
      </w:r>
    </w:p>
    <w:p w14:paraId="34180200">
      <w:pPr>
        <w:spacing w:line="540" w:lineRule="exact"/>
        <w:ind w:firstLine="660"/>
        <w:rPr>
          <w:rFonts w:ascii="仿宋_GB2312" w:hAnsi="宋体" w:eastAsia="仿宋_GB2312"/>
          <w:sz w:val="32"/>
          <w:szCs w:val="32"/>
        </w:rPr>
      </w:pPr>
      <w:r>
        <w:rPr>
          <w:rFonts w:hint="eastAsia" w:ascii="仿宋_GB2312" w:hAnsi="宋体" w:eastAsia="仿宋_GB2312" w:cs="仿宋_GB2312"/>
          <w:sz w:val="30"/>
          <w:szCs w:val="30"/>
          <w:shd w:val="clear" w:color="auto" w:fill="FFFFFF"/>
        </w:rPr>
        <w:t>（1）安全监管支出57.48万元，主要是安全奖支出，完成年初预算的100.17%，</w:t>
      </w:r>
      <w:r>
        <w:rPr>
          <w:rFonts w:hint="eastAsia" w:ascii="仿宋_GB2312" w:hAnsi="宋体" w:eastAsia="仿宋_GB2312"/>
          <w:sz w:val="32"/>
          <w:szCs w:val="32"/>
        </w:rPr>
        <w:t>决算数大于年初预算数的原因主要是付2017-2018年创城安全奖励金。</w:t>
      </w:r>
    </w:p>
    <w:p w14:paraId="31503B4D">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其他应急管理支出71.04万元，主要是用于SR国际新城102号楼火灾居民安置救助费用支出，完成预算追加的47.32%，决算数小于年初预算数的原因由于年末火灾突发，为安置受灾居民，解决受灾居民的临时生活问题而支付的费用，有一部分款项在年末支付。</w:t>
      </w:r>
    </w:p>
    <w:p w14:paraId="5119136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10.其他支出0.83万元，包括：</w:t>
      </w:r>
    </w:p>
    <w:p w14:paraId="77D86D20">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（1）其他支出0.83万元，主要是支付法院判决的医药费，完成年初预算的100%。</w:t>
      </w:r>
    </w:p>
    <w:p w14:paraId="2F72F509">
      <w:pPr>
        <w:spacing w:line="540" w:lineRule="exact"/>
        <w:ind w:firstLine="660"/>
        <w:rPr>
          <w:rFonts w:ascii="仿宋_GB2312" w:hAnsi="宋体" w:eastAsia="仿宋_GB2312" w:cs="仿宋_GB2312"/>
          <w:sz w:val="30"/>
          <w:szCs w:val="30"/>
          <w:shd w:val="clear" w:color="auto" w:fill="FFFFFF"/>
        </w:rPr>
      </w:pPr>
    </w:p>
    <w:p w14:paraId="4C97FA36">
      <w:pPr>
        <w:spacing w:line="540" w:lineRule="exact"/>
        <w:ind w:firstLine="660"/>
        <w:rPr>
          <w:rFonts w:ascii="黑体" w:hAnsi="黑体" w:eastAsia="黑体"/>
          <w:sz w:val="32"/>
          <w:szCs w:val="32"/>
        </w:rPr>
      </w:pPr>
      <w:r>
        <w:rPr>
          <w:rFonts w:hint="eastAsia" w:ascii="黑体" w:hAnsi="黑体" w:eastAsia="黑体"/>
          <w:sz w:val="32"/>
          <w:szCs w:val="32"/>
        </w:rPr>
        <w:t>三、一般公共预算财政拨款“三公”经费支出决算情况</w:t>
      </w:r>
    </w:p>
    <w:p w14:paraId="170E2695">
      <w:pPr>
        <w:spacing w:line="540" w:lineRule="exact"/>
        <w:ind w:firstLine="645"/>
        <w:rPr>
          <w:rFonts w:ascii="仿宋_GB2312" w:hAnsi="宋体" w:eastAsia="仿宋_GB2312"/>
          <w:sz w:val="32"/>
          <w:szCs w:val="32"/>
          <w:highlight w:val="none"/>
        </w:rPr>
      </w:pPr>
      <w:r>
        <w:rPr>
          <w:rFonts w:hint="eastAsia" w:ascii="仿宋_GB2312" w:hAnsi="宋体" w:eastAsia="仿宋_GB2312"/>
          <w:sz w:val="32"/>
          <w:szCs w:val="32"/>
        </w:rPr>
        <w:t>2019年度一般公共预算财政拨款安排的“三公”经费支出0万元。其中：因公出国（境）费0万元，公务接待费0万元，公务</w:t>
      </w:r>
      <w:r>
        <w:rPr>
          <w:rFonts w:hint="eastAsia" w:ascii="仿宋_GB2312" w:hAnsi="宋体" w:eastAsia="仿宋_GB2312"/>
          <w:sz w:val="32"/>
          <w:szCs w:val="32"/>
          <w:highlight w:val="none"/>
        </w:rPr>
        <w:t>用车购置及运行维护费0万元。</w:t>
      </w:r>
    </w:p>
    <w:p w14:paraId="1E66B68F">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1.因公出国（境）费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万元，2019年参加出国（境）团组</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个，累计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人次。2019年因公出国（境）费比上年减少（增加）</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3A96D7A8">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2.公务接待费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万元，2019年国内公务接待累计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万元。2019年公务接待费比上年减少（增加）</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482656B7">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3.</w:t>
      </w:r>
      <w:r>
        <w:rPr>
          <w:rFonts w:hint="eastAsia"/>
          <w:highlight w:val="none"/>
        </w:rPr>
        <w:t xml:space="preserve"> </w:t>
      </w:r>
      <w:r>
        <w:rPr>
          <w:rFonts w:hint="eastAsia" w:ascii="仿宋_GB2312" w:hAnsi="宋体" w:eastAsia="仿宋_GB2312"/>
          <w:sz w:val="32"/>
          <w:szCs w:val="32"/>
          <w:highlight w:val="none"/>
        </w:rPr>
        <w:t>公务用车购置及</w:t>
      </w:r>
      <w:r>
        <w:rPr>
          <w:rFonts w:ascii="仿宋_GB2312" w:hAnsi="宋体" w:eastAsia="仿宋_GB2312"/>
          <w:sz w:val="32"/>
          <w:szCs w:val="32"/>
          <w:highlight w:val="none"/>
        </w:rPr>
        <w:t>运行费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万元，比上年减少（增加）</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65F17F88">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公务用车购置费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万元，当年购置公务用车</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w:t>
      </w:r>
    </w:p>
    <w:p w14:paraId="3A28213F">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公务用车运行维护费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万元。截至年末使用</w:t>
      </w:r>
      <w:r>
        <w:rPr>
          <w:rFonts w:ascii="仿宋_GB2312" w:hAnsi="宋体" w:eastAsia="仿宋_GB2312"/>
          <w:sz w:val="32"/>
          <w:szCs w:val="32"/>
          <w:highlight w:val="none"/>
        </w:rPr>
        <w:t>一般公共预算财政拨款开支的</w:t>
      </w:r>
      <w:r>
        <w:rPr>
          <w:rFonts w:hint="eastAsia" w:ascii="仿宋_GB2312" w:hAnsi="宋体" w:eastAsia="仿宋_GB2312"/>
          <w:sz w:val="32"/>
          <w:szCs w:val="32"/>
          <w:highlight w:val="none"/>
        </w:rPr>
        <w:t>公务用车保有量</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辆。</w:t>
      </w:r>
    </w:p>
    <w:p w14:paraId="597F16CC">
      <w:pPr>
        <w:spacing w:line="540" w:lineRule="exact"/>
        <w:ind w:firstLine="645"/>
        <w:rPr>
          <w:rFonts w:ascii="黑体" w:hAnsi="黑体" w:eastAsia="黑体"/>
          <w:sz w:val="32"/>
          <w:szCs w:val="32"/>
        </w:rPr>
      </w:pPr>
      <w:r>
        <w:rPr>
          <w:rFonts w:hint="eastAsia" w:ascii="黑体" w:hAnsi="黑体" w:eastAsia="黑体"/>
          <w:sz w:val="32"/>
          <w:szCs w:val="32"/>
        </w:rPr>
        <w:t>四、一般公共预算财政拨款基本支出决算情况说明</w:t>
      </w:r>
    </w:p>
    <w:p w14:paraId="175FB992">
      <w:pPr>
        <w:spacing w:line="540" w:lineRule="exact"/>
        <w:ind w:firstLine="645"/>
        <w:rPr>
          <w:rFonts w:ascii="仿宋_GB2312" w:hAnsi="宋体" w:eastAsia="仿宋_GB2312"/>
          <w:sz w:val="32"/>
          <w:szCs w:val="32"/>
        </w:rPr>
      </w:pPr>
      <w:r>
        <w:rPr>
          <w:rFonts w:hint="eastAsia" w:ascii="仿宋_GB2312" w:hAnsi="宋体" w:eastAsia="仿宋_GB2312"/>
          <w:sz w:val="32"/>
          <w:szCs w:val="32"/>
        </w:rPr>
        <w:t>2019年度一般公共预算财政拨款基本支出616.58万元，其中：人员经费407.1万元，主要包括基本工资、津贴补贴、奖金、其他社会保障缴费、机关事业单位基本养老保险缴费、其他工资福利支出、离休费、退休费、抚恤金、生活补助、奖励金、住房公积金、采暖补贴、其他对个人和家庭补助的支出；日常公用经费209.48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1DFFF65F">
      <w:pPr>
        <w:spacing w:line="540" w:lineRule="exact"/>
        <w:ind w:firstLine="640" w:firstLineChars="200"/>
        <w:rPr>
          <w:rFonts w:ascii="黑体" w:hAnsi="黑体" w:eastAsia="黑体"/>
          <w:sz w:val="32"/>
          <w:szCs w:val="32"/>
        </w:rPr>
      </w:pPr>
      <w:r>
        <w:rPr>
          <w:rFonts w:hint="eastAsia" w:ascii="黑体" w:hAnsi="黑体" w:eastAsia="黑体"/>
          <w:sz w:val="32"/>
          <w:szCs w:val="32"/>
        </w:rPr>
        <w:t>五、其他重要事项的情况说明</w:t>
      </w:r>
    </w:p>
    <w:p w14:paraId="565C3E7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731CAE11">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2019年财政厅机关运行经费支出209.48万元，比上年增加100.79万元，增长92.73%，主要原因是新考入公务员、选调生、大学生村官及军转人员调入增加16人。</w:t>
      </w:r>
    </w:p>
    <w:p w14:paraId="448FA4FE">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FD90F64">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2019年财政厅政府采购支出总额0万元，其中：政府采购货物支出0万元，政府采购工程支出0万元，政府采购服务支出0万元。</w:t>
      </w:r>
      <w:r>
        <w:rPr>
          <w:rFonts w:hint="eastAsia" w:ascii="仿宋_GB2312" w:eastAsia="仿宋_GB2312"/>
          <w:sz w:val="32"/>
          <w:szCs w:val="32"/>
        </w:rPr>
        <w:t>授予中小企业合同金额0万元，占政府采购支出总额的0%，其中：授予小微企业合同金额0万元，占政府采购支出总额的0%。</w:t>
      </w:r>
    </w:p>
    <w:p w14:paraId="6A0E0C04">
      <w:pPr>
        <w:spacing w:line="540" w:lineRule="exact"/>
        <w:ind w:firstLine="643" w:firstLineChars="200"/>
        <w:rPr>
          <w:rFonts w:ascii="楷体_GB2312" w:hAnsi="黑体" w:eastAsia="楷体_GB2312"/>
          <w:b/>
          <w:sz w:val="32"/>
          <w:szCs w:val="32"/>
          <w:highlight w:val="none"/>
        </w:rPr>
      </w:pPr>
      <w:r>
        <w:rPr>
          <w:rFonts w:hint="eastAsia" w:ascii="楷体_GB2312" w:hAnsi="黑体" w:eastAsia="楷体_GB2312"/>
          <w:b/>
          <w:sz w:val="32"/>
          <w:szCs w:val="32"/>
          <w:highlight w:val="none"/>
        </w:rPr>
        <w:t>（三）国有资产占用情况。</w:t>
      </w:r>
    </w:p>
    <w:p w14:paraId="67AE9EBC">
      <w:pPr>
        <w:spacing w:line="54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截至2019年12月31日，街道共有车辆6辆，其中：副省级以上领导干部用车0辆，主要</w:t>
      </w:r>
      <w:r>
        <w:rPr>
          <w:rFonts w:ascii="仿宋_GB2312" w:hAnsi="黑体" w:eastAsia="仿宋_GB2312"/>
          <w:sz w:val="32"/>
          <w:szCs w:val="32"/>
          <w:highlight w:val="none"/>
        </w:rPr>
        <w:t>领导干部</w:t>
      </w:r>
      <w:r>
        <w:rPr>
          <w:rFonts w:hint="eastAsia" w:ascii="仿宋_GB2312" w:hAnsi="黑体" w:eastAsia="仿宋_GB2312"/>
          <w:sz w:val="32"/>
          <w:szCs w:val="32"/>
          <w:highlight w:val="none"/>
        </w:rPr>
        <w:t>用车</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辆，机要通讯用车0辆，应急</w:t>
      </w:r>
      <w:r>
        <w:rPr>
          <w:rFonts w:ascii="仿宋_GB2312" w:hAnsi="黑体" w:eastAsia="仿宋_GB2312"/>
          <w:sz w:val="32"/>
          <w:szCs w:val="32"/>
          <w:highlight w:val="none"/>
        </w:rPr>
        <w:t>保障用车</w:t>
      </w:r>
      <w:r>
        <w:rPr>
          <w:rFonts w:hint="eastAsia" w:ascii="仿宋_GB2312" w:hAnsi="黑体" w:eastAsia="仿宋_GB2312"/>
          <w:sz w:val="32"/>
          <w:szCs w:val="32"/>
          <w:highlight w:val="none"/>
        </w:rPr>
        <w:t>0</w:t>
      </w:r>
      <w:r>
        <w:rPr>
          <w:rFonts w:ascii="仿宋_GB2312" w:hAnsi="黑体" w:eastAsia="仿宋_GB2312"/>
          <w:sz w:val="32"/>
          <w:szCs w:val="32"/>
          <w:highlight w:val="none"/>
        </w:rPr>
        <w:t>辆，</w:t>
      </w:r>
      <w:r>
        <w:rPr>
          <w:rFonts w:hint="eastAsia" w:ascii="仿宋_GB2312" w:hAnsi="黑体" w:eastAsia="仿宋_GB2312"/>
          <w:sz w:val="32"/>
          <w:szCs w:val="32"/>
          <w:highlight w:val="none"/>
        </w:rPr>
        <w:t>执法执勤</w:t>
      </w:r>
      <w:r>
        <w:rPr>
          <w:rFonts w:ascii="仿宋_GB2312" w:hAnsi="黑体" w:eastAsia="仿宋_GB2312"/>
          <w:sz w:val="32"/>
          <w:szCs w:val="32"/>
          <w:highlight w:val="none"/>
        </w:rPr>
        <w:t>用车</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辆</w:t>
      </w:r>
      <w:r>
        <w:rPr>
          <w:rFonts w:ascii="仿宋_GB2312" w:hAnsi="黑体" w:eastAsia="仿宋_GB2312"/>
          <w:sz w:val="32"/>
          <w:szCs w:val="32"/>
          <w:highlight w:val="none"/>
        </w:rPr>
        <w:t>，</w:t>
      </w:r>
      <w:r>
        <w:rPr>
          <w:rFonts w:hint="eastAsia" w:ascii="仿宋_GB2312" w:hAnsi="黑体" w:eastAsia="仿宋_GB2312"/>
          <w:sz w:val="32"/>
          <w:szCs w:val="32"/>
          <w:highlight w:val="none"/>
        </w:rPr>
        <w:t>特种专业技术用车0辆，离退休</w:t>
      </w:r>
      <w:r>
        <w:rPr>
          <w:rFonts w:ascii="仿宋_GB2312" w:hAnsi="黑体" w:eastAsia="仿宋_GB2312"/>
          <w:sz w:val="32"/>
          <w:szCs w:val="32"/>
          <w:highlight w:val="none"/>
        </w:rPr>
        <w:t>干部用车</w:t>
      </w:r>
      <w:r>
        <w:rPr>
          <w:rFonts w:hint="eastAsia" w:ascii="仿宋_GB2312" w:hAnsi="黑体" w:eastAsia="仿宋_GB2312"/>
          <w:sz w:val="32"/>
          <w:szCs w:val="32"/>
          <w:highlight w:val="none"/>
        </w:rPr>
        <w:t>0辆</w:t>
      </w:r>
      <w:r>
        <w:rPr>
          <w:rFonts w:ascii="仿宋_GB2312" w:hAnsi="黑体" w:eastAsia="仿宋_GB2312"/>
          <w:sz w:val="32"/>
          <w:szCs w:val="32"/>
          <w:highlight w:val="none"/>
        </w:rPr>
        <w:t>，</w:t>
      </w:r>
      <w:r>
        <w:rPr>
          <w:rFonts w:hint="eastAsia" w:ascii="仿宋_GB2312" w:hAnsi="黑体" w:eastAsia="仿宋_GB2312"/>
          <w:sz w:val="32"/>
          <w:szCs w:val="32"/>
          <w:highlight w:val="none"/>
        </w:rPr>
        <w:t>其他用车</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辆。</w:t>
      </w:r>
    </w:p>
    <w:p w14:paraId="34D3EE3C">
      <w:pPr>
        <w:spacing w:line="540" w:lineRule="exact"/>
        <w:ind w:firstLine="643" w:firstLineChars="200"/>
        <w:rPr>
          <w:rFonts w:ascii="楷体_GB2312" w:hAnsi="宋体" w:eastAsia="楷体_GB2312"/>
          <w:b/>
          <w:sz w:val="32"/>
          <w:szCs w:val="32"/>
        </w:rPr>
      </w:pPr>
      <w:r>
        <w:rPr>
          <w:rFonts w:hint="eastAsia" w:ascii="楷体_GB2312" w:hAnsi="宋体" w:eastAsia="楷体_GB2312"/>
          <w:b/>
          <w:sz w:val="32"/>
          <w:szCs w:val="32"/>
        </w:rPr>
        <w:t>（</w:t>
      </w:r>
      <w:r>
        <w:rPr>
          <w:rFonts w:hint="eastAsia" w:ascii="楷体_GB2312" w:hAnsi="黑体" w:eastAsia="楷体_GB2312"/>
          <w:b/>
          <w:sz w:val="32"/>
          <w:szCs w:val="32"/>
        </w:rPr>
        <w:t>四）预算绩效管理工作开展情况。</w:t>
      </w:r>
    </w:p>
    <w:p w14:paraId="7C3E2824">
      <w:pPr>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根据财政预算管理要求，街道组织对2019年度预算项目支出全面开展绩效自评，共涉及预算支出项目</w:t>
      </w:r>
      <w:r>
        <w:rPr>
          <w:rFonts w:hint="eastAsia" w:ascii="仿宋_GB2312" w:hAnsi="黑体" w:eastAsia="仿宋_GB2312"/>
          <w:sz w:val="32"/>
          <w:szCs w:val="32"/>
        </w:rPr>
        <w:t>1</w:t>
      </w:r>
      <w:r>
        <w:rPr>
          <w:rFonts w:hint="eastAsia" w:ascii="仿宋_GB2312" w:hAnsi="宋体" w:eastAsia="仿宋_GB2312" w:cs="宋体"/>
          <w:sz w:val="32"/>
          <w:szCs w:val="32"/>
        </w:rPr>
        <w:t>个，涉及资金</w:t>
      </w:r>
      <w:r>
        <w:rPr>
          <w:rFonts w:hint="eastAsia" w:ascii="仿宋_GB2312" w:hAnsi="黑体" w:eastAsia="仿宋_GB2312"/>
          <w:sz w:val="32"/>
          <w:szCs w:val="32"/>
        </w:rPr>
        <w:t>20</w:t>
      </w:r>
      <w:r>
        <w:rPr>
          <w:rFonts w:hint="eastAsia" w:ascii="仿宋_GB2312" w:hAnsi="宋体" w:eastAsia="仿宋_GB2312" w:cs="宋体"/>
          <w:sz w:val="32"/>
          <w:szCs w:val="32"/>
        </w:rPr>
        <w:t>万元，自评覆盖率（开展绩效自评的项目数/年初批复绩效目标的项目数）达到</w:t>
      </w:r>
      <w:r>
        <w:rPr>
          <w:rFonts w:hint="eastAsia" w:ascii="仿宋_GB2312" w:hAnsi="黑体" w:eastAsia="仿宋_GB2312"/>
          <w:sz w:val="32"/>
          <w:szCs w:val="32"/>
        </w:rPr>
        <w:t>100</w:t>
      </w:r>
      <w:r>
        <w:rPr>
          <w:rFonts w:hint="eastAsia" w:ascii="仿宋_GB2312" w:hAnsi="宋体" w:eastAsia="仿宋_GB2312" w:cs="宋体"/>
          <w:sz w:val="32"/>
          <w:szCs w:val="32"/>
        </w:rPr>
        <w:t>%，自评平均分（开展绩效自评的项目分数总和/开展绩效自评的项目数）</w:t>
      </w:r>
      <w:r>
        <w:rPr>
          <w:rFonts w:hint="eastAsia" w:ascii="仿宋_GB2312" w:hAnsi="黑体" w:eastAsia="仿宋_GB2312"/>
          <w:sz w:val="32"/>
          <w:szCs w:val="32"/>
        </w:rPr>
        <w:t>99</w:t>
      </w:r>
      <w:r>
        <w:rPr>
          <w:rFonts w:hint="eastAsia" w:ascii="仿宋_GB2312" w:hAnsi="宋体" w:eastAsia="仿宋_GB2312" w:cs="宋体"/>
          <w:sz w:val="32"/>
          <w:szCs w:val="32"/>
        </w:rPr>
        <w:t>分。</w:t>
      </w:r>
    </w:p>
    <w:p w14:paraId="471FF829">
      <w:pPr>
        <w:spacing w:line="540" w:lineRule="exact"/>
        <w:ind w:firstLine="640" w:firstLineChars="200"/>
        <w:jc w:val="left"/>
        <w:rPr>
          <w:rFonts w:ascii="仿宋" w:hAnsi="仿宋" w:eastAsia="仿宋" w:cs="仿宋"/>
          <w:color w:val="333333"/>
          <w:sz w:val="32"/>
          <w:szCs w:val="32"/>
          <w:shd w:val="clear" w:color="auto" w:fill="FDFEEE"/>
        </w:rPr>
      </w:pPr>
      <w:r>
        <w:rPr>
          <w:rFonts w:hint="eastAsia" w:ascii="仿宋_GB2312" w:hAnsi="宋体" w:eastAsia="仿宋_GB2312" w:cs="宋体"/>
          <w:sz w:val="32"/>
          <w:szCs w:val="32"/>
        </w:rPr>
        <w:t>通过绩效自评发现预算项目管理主要存在以下问题：</w:t>
      </w:r>
      <w:r>
        <w:rPr>
          <w:rFonts w:hint="eastAsia" w:ascii="仿宋" w:hAnsi="仿宋" w:eastAsia="仿宋" w:cs="仿宋"/>
          <w:sz w:val="32"/>
          <w:szCs w:val="32"/>
        </w:rPr>
        <w:t>一是进一步细化预算，科学合理的规划预算资金使用，提高财政资金使用效率;二是按规定期限完成任务，促进项目出结果，出效益，提高财政资金使用效率和效益。下一步将采取以下措施加以改进：一是进一步把握资金使用进度，使支付进度与支付预期趋于一致；二是进一步完善绩效目标指标设置的科学性；三是将资金使用的数量、质量、时效、效益等指标尽量达到最大化。</w:t>
      </w:r>
    </w:p>
    <w:p w14:paraId="3784BAD1">
      <w:pPr>
        <w:spacing w:line="540" w:lineRule="exact"/>
        <w:jc w:val="center"/>
        <w:rPr>
          <w:rFonts w:ascii="宋体" w:hAnsi="宋体"/>
          <w:b/>
          <w:sz w:val="36"/>
          <w:szCs w:val="36"/>
        </w:rPr>
      </w:pPr>
      <w:r>
        <w:rPr>
          <w:rFonts w:ascii="宋体" w:hAnsi="宋体"/>
          <w:b/>
          <w:sz w:val="36"/>
          <w:szCs w:val="36"/>
        </w:rPr>
        <w:br w:type="page"/>
      </w:r>
      <w:r>
        <w:rPr>
          <w:rFonts w:hint="eastAsia" w:ascii="宋体" w:hAnsi="宋体"/>
          <w:b/>
          <w:sz w:val="36"/>
          <w:szCs w:val="36"/>
        </w:rPr>
        <w:t>第三部分 名词解释</w:t>
      </w:r>
    </w:p>
    <w:p w14:paraId="6F717224">
      <w:pPr>
        <w:spacing w:line="540" w:lineRule="exact"/>
        <w:jc w:val="center"/>
        <w:rPr>
          <w:rFonts w:ascii="宋体" w:hAnsi="宋体"/>
          <w:b/>
          <w:sz w:val="36"/>
          <w:szCs w:val="36"/>
        </w:rPr>
      </w:pPr>
    </w:p>
    <w:p w14:paraId="28999BDD">
      <w:pPr>
        <w:pStyle w:val="7"/>
        <w:spacing w:line="560" w:lineRule="atLeast"/>
        <w:ind w:firstLine="640"/>
        <w:rPr>
          <w:rFonts w:ascii="仿宋_GB2312" w:eastAsia="仿宋_GB2312"/>
          <w:sz w:val="32"/>
          <w:szCs w:val="32"/>
        </w:rPr>
      </w:pPr>
      <w:r>
        <w:rPr>
          <w:rFonts w:hint="eastAsia" w:ascii="仿宋_GB2312" w:eastAsia="仿宋_GB2312"/>
          <w:b/>
          <w:bCs/>
          <w:sz w:val="32"/>
          <w:szCs w:val="32"/>
        </w:rPr>
        <w:t>1.财政拨款收入：</w:t>
      </w:r>
      <w:r>
        <w:rPr>
          <w:rFonts w:hint="eastAsia" w:ascii="仿宋_GB2312" w:eastAsia="仿宋_GB2312"/>
          <w:sz w:val="32"/>
          <w:szCs w:val="32"/>
        </w:rPr>
        <w:t>指区级财政当年拨付的资金。</w:t>
      </w:r>
    </w:p>
    <w:p w14:paraId="7D38BAC5">
      <w:pPr>
        <w:pStyle w:val="7"/>
        <w:spacing w:line="560" w:lineRule="atLeast"/>
        <w:ind w:firstLine="640"/>
        <w:rPr>
          <w:rFonts w:ascii="仿宋_GB2312" w:eastAsia="仿宋_GB2312"/>
          <w:sz w:val="32"/>
          <w:szCs w:val="32"/>
        </w:rPr>
      </w:pPr>
      <w:r>
        <w:rPr>
          <w:rFonts w:hint="eastAsia" w:ascii="仿宋_GB2312" w:eastAsia="仿宋_GB2312"/>
          <w:b/>
          <w:bCs/>
          <w:sz w:val="32"/>
          <w:szCs w:val="32"/>
        </w:rPr>
        <w:t>2.上级补助收入：</w:t>
      </w:r>
      <w:r>
        <w:rPr>
          <w:rFonts w:hint="eastAsia" w:ascii="仿宋_GB2312" w:eastAsia="仿宋_GB2312"/>
          <w:sz w:val="32"/>
          <w:szCs w:val="32"/>
        </w:rPr>
        <w:t>指单位从主管部门和上级单位取得的非财政性补助收入。</w:t>
      </w:r>
    </w:p>
    <w:p w14:paraId="715493AF">
      <w:pPr>
        <w:pStyle w:val="7"/>
        <w:spacing w:line="560" w:lineRule="atLeast"/>
        <w:ind w:firstLine="640"/>
        <w:rPr>
          <w:rFonts w:ascii="仿宋_GB2312" w:eastAsia="仿宋_GB2312"/>
          <w:sz w:val="32"/>
          <w:szCs w:val="32"/>
        </w:rPr>
      </w:pPr>
      <w:r>
        <w:rPr>
          <w:rFonts w:hint="eastAsia" w:ascii="仿宋_GB2312" w:eastAsia="仿宋_GB2312"/>
          <w:b/>
          <w:bCs/>
          <w:sz w:val="32"/>
          <w:szCs w:val="32"/>
        </w:rPr>
        <w:t>3.事业收入：</w:t>
      </w:r>
      <w:r>
        <w:rPr>
          <w:rFonts w:hint="eastAsia" w:ascii="仿宋_GB2312" w:eastAsia="仿宋_GB2312"/>
          <w:sz w:val="32"/>
          <w:szCs w:val="32"/>
        </w:rPr>
        <w:t>指事业单位开展专业业务活动及辅助活动所取得的收入。</w:t>
      </w:r>
    </w:p>
    <w:p w14:paraId="0302D062">
      <w:pPr>
        <w:pStyle w:val="7"/>
        <w:spacing w:line="560" w:lineRule="atLeast"/>
        <w:ind w:firstLine="640"/>
        <w:rPr>
          <w:rFonts w:ascii="仿宋_GB2312" w:eastAsia="仿宋_GB2312"/>
          <w:sz w:val="32"/>
          <w:szCs w:val="32"/>
        </w:rPr>
      </w:pPr>
      <w:r>
        <w:rPr>
          <w:rFonts w:hint="eastAsia" w:ascii="仿宋_GB2312" w:eastAsia="仿宋_GB2312"/>
          <w:b/>
          <w:bCs/>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43C9694">
      <w:pPr>
        <w:pStyle w:val="7"/>
        <w:spacing w:line="560" w:lineRule="atLeast"/>
        <w:ind w:firstLine="640"/>
        <w:rPr>
          <w:rFonts w:ascii="仿宋_GB2312" w:eastAsia="仿宋_GB2312"/>
          <w:sz w:val="32"/>
          <w:szCs w:val="32"/>
        </w:rPr>
      </w:pPr>
      <w:r>
        <w:rPr>
          <w:rFonts w:hint="eastAsia" w:ascii="仿宋_GB2312" w:eastAsia="仿宋_GB2312"/>
          <w:b/>
          <w:bCs/>
          <w:sz w:val="32"/>
          <w:szCs w:val="32"/>
        </w:rPr>
        <w:t>5.附属单位上缴收入：</w:t>
      </w:r>
      <w:r>
        <w:rPr>
          <w:rFonts w:hint="eastAsia" w:ascii="仿宋_GB2312" w:eastAsia="仿宋_GB2312"/>
          <w:sz w:val="32"/>
          <w:szCs w:val="32"/>
        </w:rPr>
        <w:t>指单位附属的独立核算单位按照规定上缴的收入。</w:t>
      </w:r>
    </w:p>
    <w:p w14:paraId="4580FDB7">
      <w:pPr>
        <w:pStyle w:val="7"/>
        <w:spacing w:line="560" w:lineRule="atLeast"/>
        <w:ind w:firstLine="640"/>
        <w:rPr>
          <w:rFonts w:ascii="仿宋_GB2312" w:eastAsia="仿宋_GB2312"/>
          <w:sz w:val="32"/>
          <w:szCs w:val="32"/>
        </w:rPr>
      </w:pPr>
      <w:r>
        <w:rPr>
          <w:rFonts w:hint="eastAsia" w:ascii="仿宋_GB2312" w:eastAsia="仿宋_GB2312"/>
          <w:b/>
          <w:bCs/>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6B5EC73">
      <w:pPr>
        <w:pStyle w:val="7"/>
        <w:spacing w:line="560" w:lineRule="atLeast"/>
        <w:ind w:firstLine="640"/>
        <w:rPr>
          <w:rFonts w:ascii="仿宋_GB2312" w:eastAsia="仿宋_GB2312"/>
          <w:sz w:val="32"/>
          <w:szCs w:val="32"/>
        </w:rPr>
      </w:pPr>
      <w:r>
        <w:rPr>
          <w:rFonts w:hint="eastAsia" w:ascii="仿宋_GB2312" w:eastAsia="仿宋_GB2312"/>
          <w:b/>
          <w:bCs/>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14:paraId="724ACCBD">
      <w:pPr>
        <w:pStyle w:val="7"/>
        <w:spacing w:line="560" w:lineRule="atLeast"/>
        <w:ind w:firstLine="640"/>
        <w:rPr>
          <w:rFonts w:ascii="仿宋_GB2312" w:eastAsia="仿宋_GB2312"/>
          <w:sz w:val="32"/>
          <w:szCs w:val="32"/>
        </w:rPr>
      </w:pPr>
      <w:r>
        <w:rPr>
          <w:rFonts w:hint="eastAsia" w:ascii="仿宋_GB2312" w:eastAsia="仿宋_GB2312"/>
          <w:b/>
          <w:bCs/>
          <w:sz w:val="32"/>
          <w:szCs w:val="32"/>
        </w:rPr>
        <w:t>8.上年结转和结余：</w:t>
      </w:r>
      <w:r>
        <w:rPr>
          <w:rFonts w:hint="eastAsia" w:ascii="仿宋_GB2312" w:eastAsia="仿宋_GB2312"/>
          <w:sz w:val="32"/>
          <w:szCs w:val="32"/>
        </w:rPr>
        <w:t>指以前年度尚未完成、结转到本年按有关规定继续使用的资金。</w:t>
      </w:r>
    </w:p>
    <w:p w14:paraId="180566B0">
      <w:pPr>
        <w:pStyle w:val="7"/>
        <w:spacing w:line="560" w:lineRule="atLeast"/>
        <w:ind w:firstLine="640"/>
        <w:rPr>
          <w:rFonts w:ascii="仿宋_GB2312" w:eastAsia="仿宋_GB2312"/>
          <w:sz w:val="32"/>
          <w:szCs w:val="32"/>
        </w:rPr>
      </w:pPr>
      <w:r>
        <w:rPr>
          <w:rFonts w:hint="eastAsia" w:ascii="仿宋_GB2312" w:eastAsia="仿宋_GB2312"/>
          <w:b/>
          <w:bCs/>
          <w:sz w:val="32"/>
          <w:szCs w:val="32"/>
        </w:rPr>
        <w:t>9.基本支出：</w:t>
      </w:r>
      <w:r>
        <w:rPr>
          <w:rFonts w:hint="eastAsia" w:ascii="仿宋_GB2312" w:eastAsia="仿宋_GB2312"/>
          <w:sz w:val="32"/>
          <w:szCs w:val="32"/>
        </w:rPr>
        <w:t>指保障机构正常运转、完成日常工作任务而发生的人员支出和公用支出。</w:t>
      </w:r>
    </w:p>
    <w:p w14:paraId="4286264E">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10.项目支出：</w:t>
      </w:r>
      <w:r>
        <w:rPr>
          <w:rFonts w:hint="eastAsia" w:ascii="仿宋_GB2312" w:eastAsia="仿宋_GB2312"/>
          <w:sz w:val="32"/>
          <w:szCs w:val="32"/>
        </w:rPr>
        <w:t>指在基本支出之外为完成特定行政任务和事业发展目标所发生的支出。</w:t>
      </w:r>
    </w:p>
    <w:p w14:paraId="7E09AD0D">
      <w:pPr>
        <w:pStyle w:val="7"/>
        <w:spacing w:line="560" w:lineRule="atLeast"/>
        <w:ind w:firstLine="640"/>
        <w:rPr>
          <w:rFonts w:ascii="仿宋_GB2312" w:eastAsia="仿宋_GB2312"/>
          <w:sz w:val="32"/>
          <w:szCs w:val="32"/>
        </w:rPr>
      </w:pPr>
      <w:r>
        <w:rPr>
          <w:rFonts w:hint="eastAsia" w:ascii="仿宋_GB2312" w:eastAsia="仿宋_GB2312"/>
          <w:b/>
          <w:bCs/>
          <w:sz w:val="32"/>
          <w:szCs w:val="32"/>
        </w:rPr>
        <w:t>11.“三公”经费：</w:t>
      </w:r>
      <w:r>
        <w:rPr>
          <w:rFonts w:hint="eastAsia" w:ascii="仿宋_GB2312" w:eastAsia="仿宋_GB2312"/>
          <w:sz w:val="32"/>
          <w:szCs w:val="32"/>
        </w:rPr>
        <w:t>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1B526AA">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12.一般公共服务（类）财政事务（款）行政运行（项）：</w:t>
      </w:r>
      <w:r>
        <w:rPr>
          <w:rFonts w:hint="eastAsia" w:ascii="仿宋_GB2312" w:eastAsia="仿宋_GB2312"/>
          <w:sz w:val="32"/>
          <w:szCs w:val="32"/>
        </w:rPr>
        <w:t>反映行政单位（包括实行公务员管理的事业单位）的基本支出。</w:t>
      </w:r>
    </w:p>
    <w:p w14:paraId="59505945">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13.一般公共服务（类）财政事务（款）一般行政管理事务（项）：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2FF1B9CC">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14.一般公共服务（类）财政事务（款）预算改革业务（项）：</w:t>
      </w:r>
      <w:r>
        <w:rPr>
          <w:rFonts w:hint="eastAsia" w:ascii="仿宋_GB2312" w:eastAsia="仿宋_GB2312"/>
          <w:sz w:val="32"/>
          <w:szCs w:val="32"/>
        </w:rPr>
        <w:t>反映财政部门用于预算改革方面的支出。</w:t>
      </w:r>
    </w:p>
    <w:p w14:paraId="1D59E3A7">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15.一般公共服务（类）财政事务（款）财政国库业务（项）：</w:t>
      </w:r>
      <w:r>
        <w:rPr>
          <w:rFonts w:hint="eastAsia" w:ascii="仿宋_GB2312" w:eastAsia="仿宋_GB2312"/>
          <w:sz w:val="32"/>
          <w:szCs w:val="32"/>
        </w:rPr>
        <w:t>反映财政部门用于财政国库集中收付业务方面的支出。</w:t>
      </w:r>
    </w:p>
    <w:p w14:paraId="348F56EE">
      <w:pPr>
        <w:pStyle w:val="7"/>
        <w:spacing w:line="560" w:lineRule="atLeast"/>
        <w:ind w:firstLine="640"/>
        <w:rPr>
          <w:rFonts w:ascii="仿宋_GB2312" w:eastAsia="仿宋_GB2312"/>
          <w:sz w:val="32"/>
          <w:szCs w:val="32"/>
        </w:rPr>
      </w:pPr>
      <w:r>
        <w:rPr>
          <w:rFonts w:hint="eastAsia" w:ascii="仿宋_GB2312" w:eastAsia="仿宋_GB2312"/>
          <w:b/>
          <w:bCs/>
          <w:sz w:val="32"/>
          <w:szCs w:val="32"/>
        </w:rPr>
        <w:t>16.一般公共服务（类）财政事务（款）信息化建设支（项）：</w:t>
      </w:r>
      <w:r>
        <w:rPr>
          <w:rFonts w:hint="eastAsia" w:ascii="仿宋_GB2312" w:eastAsia="仿宋_GB2312"/>
          <w:sz w:val="32"/>
          <w:szCs w:val="32"/>
        </w:rPr>
        <w:t>反映财政部门用于“金财工程”等信息化建设方面的支出。</w:t>
      </w:r>
    </w:p>
    <w:p w14:paraId="6B079950">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17.一般公共服务（类）财政事务（款）事业运行（项）：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11B110B0">
      <w:pPr>
        <w:pStyle w:val="7"/>
        <w:spacing w:line="560" w:lineRule="atLeast"/>
        <w:ind w:firstLine="640"/>
        <w:rPr>
          <w:rFonts w:ascii="仿宋_GB2312" w:eastAsia="仿宋_GB2312"/>
          <w:sz w:val="32"/>
          <w:szCs w:val="32"/>
        </w:rPr>
      </w:pPr>
      <w:r>
        <w:rPr>
          <w:rFonts w:hint="eastAsia" w:ascii="仿宋_GB2312" w:eastAsia="仿宋_GB2312"/>
          <w:b/>
          <w:bCs/>
          <w:sz w:val="32"/>
          <w:szCs w:val="32"/>
        </w:rPr>
        <w:t>18.一般公共服务（类）财政事务（款）其他财政事务支出（项）：</w:t>
      </w:r>
      <w:r>
        <w:rPr>
          <w:rFonts w:hint="eastAsia" w:ascii="仿宋_GB2312" w:eastAsia="仿宋_GB2312"/>
          <w:sz w:val="32"/>
          <w:szCs w:val="32"/>
        </w:rPr>
        <w:t>反映除上述项目以外其他财政事务方面的支出。</w:t>
      </w:r>
    </w:p>
    <w:p w14:paraId="7922839C">
      <w:pPr>
        <w:pStyle w:val="7"/>
        <w:spacing w:line="560" w:lineRule="atLeast"/>
        <w:ind w:firstLine="640"/>
        <w:rPr>
          <w:rFonts w:ascii="仿宋_GB2312" w:eastAsia="仿宋_GB2312"/>
          <w:sz w:val="32"/>
          <w:szCs w:val="32"/>
        </w:rPr>
      </w:pPr>
      <w:r>
        <w:rPr>
          <w:rFonts w:hint="eastAsia" w:ascii="仿宋_GB2312" w:eastAsia="仿宋_GB2312"/>
          <w:b/>
          <w:bCs/>
          <w:sz w:val="32"/>
          <w:szCs w:val="32"/>
        </w:rPr>
        <w:t>19.一般公共服务（类）其他一般公共服务支出（款）其他一般公共服务支出（项）：</w:t>
      </w:r>
      <w:r>
        <w:rPr>
          <w:rFonts w:hint="eastAsia" w:ascii="仿宋_GB2312" w:eastAsia="仿宋_GB2312"/>
          <w:sz w:val="32"/>
          <w:szCs w:val="32"/>
        </w:rPr>
        <w:t>反映除上述项目以外的其他一般公共服务支出。</w:t>
      </w:r>
    </w:p>
    <w:p w14:paraId="6CFB7AEA">
      <w:pPr>
        <w:pStyle w:val="7"/>
        <w:spacing w:line="560" w:lineRule="atLeast"/>
        <w:ind w:firstLine="640"/>
        <w:rPr>
          <w:rFonts w:ascii="仿宋_GB2312" w:eastAsia="仿宋_GB2312"/>
          <w:sz w:val="32"/>
          <w:szCs w:val="32"/>
        </w:rPr>
      </w:pPr>
      <w:r>
        <w:rPr>
          <w:rFonts w:hint="eastAsia" w:ascii="仿宋_GB2312" w:eastAsia="仿宋_GB2312"/>
          <w:b/>
          <w:bCs/>
          <w:sz w:val="32"/>
          <w:szCs w:val="32"/>
        </w:rPr>
        <w:t>20.科学技术（类）其他科学技术支出（款）其他科学技术支出（项）：</w:t>
      </w:r>
      <w:r>
        <w:rPr>
          <w:rFonts w:hint="eastAsia" w:ascii="仿宋_GB2312" w:eastAsia="仿宋_GB2312"/>
          <w:sz w:val="32"/>
          <w:szCs w:val="32"/>
        </w:rPr>
        <w:t>反映其他用于科技方面的支出。</w:t>
      </w:r>
    </w:p>
    <w:p w14:paraId="4C035F5B">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21.社会保障和就业（类）行政事业单位离退休（款）归口管理的行政单位离退休（项）：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5396412F">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22.社会保障和就业（类）行政事业单位离退休（款）事业单位离退休（项）：</w:t>
      </w:r>
      <w:r>
        <w:rPr>
          <w:rFonts w:hint="eastAsia" w:ascii="仿宋_GB2312" w:eastAsia="仿宋_GB2312"/>
          <w:sz w:val="32"/>
          <w:szCs w:val="32"/>
        </w:rPr>
        <w:t>反映实行归口管理的事业单位开支的离退休经费。</w:t>
      </w:r>
    </w:p>
    <w:p w14:paraId="0C718022">
      <w:pPr>
        <w:pStyle w:val="7"/>
        <w:spacing w:line="560" w:lineRule="atLeast"/>
        <w:ind w:firstLine="640"/>
        <w:rPr>
          <w:rFonts w:ascii="仿宋_GB2312" w:eastAsia="仿宋_GB2312"/>
          <w:sz w:val="32"/>
          <w:szCs w:val="32"/>
        </w:rPr>
      </w:pPr>
      <w:r>
        <w:rPr>
          <w:rFonts w:hint="eastAsia" w:ascii="仿宋_GB2312" w:eastAsia="仿宋_GB2312"/>
          <w:b/>
          <w:bCs/>
          <w:sz w:val="32"/>
          <w:szCs w:val="32"/>
        </w:rPr>
        <w:t>23.医疗卫生（类）医疗保障（款）行政单位医疗（项）：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00E86868">
      <w:pPr>
        <w:pStyle w:val="7"/>
        <w:spacing w:line="560" w:lineRule="atLeast"/>
        <w:ind w:firstLine="640"/>
        <w:rPr>
          <w:rFonts w:ascii="仿宋_GB2312" w:eastAsia="仿宋_GB2312"/>
          <w:sz w:val="32"/>
          <w:szCs w:val="32"/>
        </w:rPr>
      </w:pPr>
      <w:r>
        <w:rPr>
          <w:rFonts w:hint="eastAsia" w:ascii="仿宋_GB2312" w:eastAsia="仿宋_GB2312"/>
          <w:b/>
          <w:bCs/>
          <w:sz w:val="32"/>
          <w:szCs w:val="32"/>
        </w:rPr>
        <w:t>24.医疗卫生（类）其他医疗卫生支出（款）其他医疗卫生支出（项）：</w:t>
      </w:r>
      <w:r>
        <w:rPr>
          <w:rFonts w:hint="eastAsia" w:ascii="仿宋_GB2312" w:eastAsia="仿宋_GB2312"/>
          <w:sz w:val="32"/>
          <w:szCs w:val="32"/>
        </w:rPr>
        <w:t>反映除上述项目以外其他用于医疗卫生方面的支出。</w:t>
      </w:r>
    </w:p>
    <w:p w14:paraId="5F325DFE">
      <w:pPr>
        <w:pStyle w:val="7"/>
        <w:spacing w:line="560" w:lineRule="atLeast"/>
        <w:ind w:firstLine="640"/>
        <w:rPr>
          <w:rFonts w:ascii="仿宋_GB2312" w:eastAsia="仿宋_GB2312"/>
          <w:sz w:val="32"/>
          <w:szCs w:val="32"/>
        </w:rPr>
      </w:pPr>
      <w:r>
        <w:rPr>
          <w:rFonts w:hint="eastAsia" w:ascii="仿宋_GB2312" w:eastAsia="仿宋_GB2312"/>
          <w:b/>
          <w:bCs/>
          <w:sz w:val="32"/>
          <w:szCs w:val="32"/>
        </w:rPr>
        <w:t>25.农林水事务（类）农业（款）其他农业支出（项）：</w:t>
      </w:r>
      <w:r>
        <w:rPr>
          <w:rFonts w:hint="eastAsia" w:ascii="仿宋_GB2312" w:eastAsia="仿宋_GB2312"/>
          <w:sz w:val="32"/>
          <w:szCs w:val="32"/>
        </w:rPr>
        <w:t>反映其他用于农业方面的支出。</w:t>
      </w:r>
    </w:p>
    <w:p w14:paraId="4BD48539">
      <w:pPr>
        <w:pStyle w:val="7"/>
        <w:spacing w:line="560" w:lineRule="atLeast"/>
        <w:ind w:firstLine="640"/>
        <w:rPr>
          <w:rFonts w:ascii="仿宋_GB2312" w:eastAsia="仿宋_GB2312"/>
          <w:sz w:val="32"/>
          <w:szCs w:val="32"/>
        </w:rPr>
      </w:pPr>
      <w:r>
        <w:rPr>
          <w:rFonts w:hint="eastAsia" w:ascii="仿宋_GB2312" w:eastAsia="仿宋_GB2312"/>
          <w:b/>
          <w:bCs/>
          <w:sz w:val="32"/>
          <w:szCs w:val="32"/>
        </w:rPr>
        <w:t>26.交通运输（类）石油价格改革对交通运输的补贴（款）石油价格改革补贴其他支出（项）：</w:t>
      </w:r>
      <w:r>
        <w:rPr>
          <w:rFonts w:hint="eastAsia" w:ascii="仿宋_GB2312" w:eastAsia="仿宋_GB2312"/>
          <w:sz w:val="32"/>
          <w:szCs w:val="32"/>
        </w:rPr>
        <w:t>反映石油价格改革财政补贴对其他方面的支出。</w:t>
      </w:r>
    </w:p>
    <w:p w14:paraId="1E911BE6">
      <w:pPr>
        <w:pStyle w:val="7"/>
        <w:spacing w:line="560" w:lineRule="atLeast"/>
        <w:ind w:firstLine="640"/>
        <w:rPr>
          <w:rFonts w:ascii="仿宋_GB2312" w:eastAsia="仿宋_GB2312"/>
          <w:sz w:val="32"/>
          <w:szCs w:val="32"/>
        </w:rPr>
      </w:pPr>
      <w:r>
        <w:rPr>
          <w:rFonts w:hint="eastAsia" w:ascii="仿宋_GB2312" w:eastAsia="仿宋_GB2312"/>
          <w:b/>
          <w:bCs/>
          <w:sz w:val="32"/>
          <w:szCs w:val="32"/>
        </w:rPr>
        <w:t>27.资源勘探电力信息等事务（类）工业和信息产业监管支出（款）其他工业和信息产业监管支出（项）：</w:t>
      </w:r>
      <w:r>
        <w:rPr>
          <w:rFonts w:hint="eastAsia" w:ascii="仿宋_GB2312" w:eastAsia="仿宋_GB2312"/>
          <w:sz w:val="32"/>
          <w:szCs w:val="32"/>
        </w:rPr>
        <w:t>反映其他用于工业和信息产业监管方面的支出。</w:t>
      </w:r>
    </w:p>
    <w:p w14:paraId="13FBB709">
      <w:pPr>
        <w:pStyle w:val="7"/>
        <w:spacing w:line="560" w:lineRule="atLeast"/>
        <w:ind w:firstLine="640"/>
        <w:rPr>
          <w:rFonts w:ascii="仿宋_GB2312" w:eastAsia="仿宋_GB2312"/>
          <w:sz w:val="32"/>
          <w:szCs w:val="32"/>
        </w:rPr>
      </w:pPr>
      <w:r>
        <w:rPr>
          <w:rFonts w:hint="eastAsia" w:ascii="仿宋_GB2312" w:eastAsia="仿宋_GB2312"/>
          <w:b/>
          <w:bCs/>
          <w:sz w:val="32"/>
          <w:szCs w:val="32"/>
        </w:rPr>
        <w:t>28.商业服务业等事务（类）商业流通事务（款）其他商业流通事务支出（项）：</w:t>
      </w:r>
      <w:r>
        <w:rPr>
          <w:rFonts w:hint="eastAsia" w:ascii="仿宋_GB2312" w:eastAsia="仿宋_GB2312"/>
          <w:sz w:val="32"/>
          <w:szCs w:val="32"/>
        </w:rPr>
        <w:t>反映其他用于商业流通事务方面的支出。</w:t>
      </w:r>
    </w:p>
    <w:p w14:paraId="1FB13554">
      <w:pPr>
        <w:pStyle w:val="7"/>
        <w:spacing w:line="560" w:lineRule="atLeast"/>
        <w:ind w:firstLine="640"/>
        <w:rPr>
          <w:rFonts w:ascii="仿宋_GB2312" w:eastAsia="仿宋_GB2312"/>
          <w:sz w:val="32"/>
          <w:szCs w:val="32"/>
        </w:rPr>
      </w:pPr>
      <w:r>
        <w:rPr>
          <w:rFonts w:hint="eastAsia" w:ascii="仿宋_GB2312" w:eastAsia="仿宋_GB2312"/>
          <w:b/>
          <w:bCs/>
          <w:sz w:val="32"/>
          <w:szCs w:val="32"/>
        </w:rPr>
        <w:t>29. 商业服务业等事务（类）商业流通事务（款）其他涉外发展服务支出（项）：</w:t>
      </w:r>
      <w:r>
        <w:rPr>
          <w:rFonts w:hint="eastAsia" w:ascii="仿宋_GB2312" w:eastAsia="仿宋_GB2312"/>
          <w:sz w:val="32"/>
          <w:szCs w:val="32"/>
        </w:rPr>
        <w:t>反映其他用于涉外发展服务方面的支出。</w:t>
      </w:r>
    </w:p>
    <w:p w14:paraId="0675DB76">
      <w:pPr>
        <w:pStyle w:val="7"/>
        <w:spacing w:line="560" w:lineRule="atLeast"/>
        <w:ind w:firstLine="640"/>
        <w:rPr>
          <w:rFonts w:ascii="仿宋_GB2312" w:eastAsia="仿宋_GB2312"/>
          <w:sz w:val="32"/>
          <w:szCs w:val="32"/>
        </w:rPr>
      </w:pPr>
      <w:r>
        <w:rPr>
          <w:rFonts w:hint="eastAsia" w:ascii="仿宋_GB2312" w:eastAsia="仿宋_GB2312"/>
          <w:b/>
          <w:bCs/>
          <w:sz w:val="32"/>
          <w:szCs w:val="32"/>
        </w:rPr>
        <w:t>30. 国土资源气象等事务（类）国土资源事务（款）其他国土资源事务支出（项）：</w:t>
      </w:r>
      <w:r>
        <w:rPr>
          <w:rFonts w:hint="eastAsia" w:ascii="仿宋_GB2312" w:eastAsia="仿宋_GB2312"/>
          <w:sz w:val="32"/>
          <w:szCs w:val="32"/>
        </w:rPr>
        <w:t>反映其他用于国土资源事务方面的支出。</w:t>
      </w:r>
    </w:p>
    <w:p w14:paraId="2B84AF68">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31.住房保障（类）住房改革（款）住房公积金（项）：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3DFB8492">
      <w:pPr>
        <w:pStyle w:val="7"/>
        <w:spacing w:line="560" w:lineRule="atLeast"/>
        <w:ind w:firstLine="640"/>
        <w:rPr>
          <w:rFonts w:ascii="仿宋_GB2312" w:eastAsia="仿宋_GB2312"/>
          <w:sz w:val="32"/>
          <w:szCs w:val="32"/>
        </w:rPr>
      </w:pPr>
      <w:r>
        <w:rPr>
          <w:rFonts w:hint="eastAsia" w:ascii="仿宋_GB2312" w:eastAsia="仿宋_GB2312"/>
          <w:b/>
          <w:bCs/>
          <w:sz w:val="32"/>
          <w:szCs w:val="32"/>
        </w:rPr>
        <w:t>32.其他支出（类）其他支出（款）其他支出（项）：</w:t>
      </w:r>
      <w:r>
        <w:rPr>
          <w:rFonts w:hint="eastAsia" w:ascii="仿宋_GB2312" w:eastAsia="仿宋_GB2312"/>
          <w:sz w:val="32"/>
          <w:szCs w:val="32"/>
        </w:rPr>
        <w:t>反映其他不能划分到具体功能科目中的支出项目。</w:t>
      </w:r>
    </w:p>
    <w:p w14:paraId="0546EAE4">
      <w:pPr>
        <w:pStyle w:val="7"/>
        <w:spacing w:line="560" w:lineRule="atLeast"/>
        <w:ind w:firstLine="640"/>
        <w:rPr>
          <w:rFonts w:ascii="仿宋_GB2312" w:eastAsia="仿宋_GB2312"/>
          <w:sz w:val="32"/>
          <w:szCs w:val="32"/>
        </w:rPr>
      </w:pPr>
      <w:r>
        <w:rPr>
          <w:rFonts w:hint="eastAsia" w:ascii="仿宋_GB2312" w:eastAsia="仿宋_GB2312"/>
          <w:b/>
          <w:bCs/>
          <w:sz w:val="32"/>
          <w:szCs w:val="32"/>
        </w:rPr>
        <w:t>33.机关运行经费：</w:t>
      </w:r>
      <w:r>
        <w:rPr>
          <w:rFonts w:hint="eastAsia" w:ascii="仿宋_GB2312" w:eastAsia="仿宋_GB2312"/>
          <w:sz w:val="32"/>
          <w:szCs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14:paraId="707DF128">
      <w:pPr>
        <w:spacing w:line="540" w:lineRule="exact"/>
        <w:ind w:firstLine="640" w:firstLineChars="200"/>
        <w:jc w:val="left"/>
        <w:rPr>
          <w:rFonts w:ascii="仿宋_GB2312" w:eastAsia="仿宋_GB2312"/>
          <w:i/>
          <w:sz w:val="32"/>
          <w:szCs w:val="32"/>
          <w:u w:val="single"/>
        </w:rPr>
      </w:pPr>
    </w:p>
    <w:p w14:paraId="6708D1AC">
      <w:pPr>
        <w:spacing w:line="540" w:lineRule="exact"/>
        <w:rPr>
          <w:rFonts w:ascii="宋体" w:hAnsi="宋体"/>
          <w:b/>
          <w:sz w:val="36"/>
          <w:szCs w:val="36"/>
        </w:rPr>
      </w:pPr>
    </w:p>
    <w:p w14:paraId="321B1E7C">
      <w:pPr>
        <w:spacing w:line="540" w:lineRule="exact"/>
        <w:jc w:val="center"/>
        <w:rPr>
          <w:rFonts w:ascii="宋体" w:hAnsi="宋体"/>
          <w:b/>
          <w:sz w:val="36"/>
          <w:szCs w:val="36"/>
        </w:rPr>
      </w:pPr>
    </w:p>
    <w:p w14:paraId="66E9308B">
      <w:pPr>
        <w:spacing w:line="540" w:lineRule="exact"/>
        <w:jc w:val="center"/>
        <w:rPr>
          <w:rFonts w:ascii="宋体" w:hAnsi="宋体"/>
          <w:b/>
          <w:sz w:val="36"/>
          <w:szCs w:val="36"/>
        </w:rPr>
      </w:pPr>
    </w:p>
    <w:p w14:paraId="4C402E36">
      <w:pPr>
        <w:spacing w:line="540" w:lineRule="exact"/>
        <w:jc w:val="center"/>
        <w:rPr>
          <w:rFonts w:ascii="宋体" w:hAnsi="宋体"/>
          <w:b/>
          <w:sz w:val="36"/>
          <w:szCs w:val="36"/>
        </w:rPr>
      </w:pPr>
    </w:p>
    <w:p w14:paraId="1DFBA857">
      <w:pPr>
        <w:spacing w:line="540" w:lineRule="exact"/>
        <w:jc w:val="center"/>
        <w:rPr>
          <w:rFonts w:ascii="宋体" w:hAnsi="宋体"/>
          <w:b/>
          <w:sz w:val="36"/>
          <w:szCs w:val="36"/>
        </w:rPr>
      </w:pPr>
    </w:p>
    <w:p w14:paraId="04D67436">
      <w:pPr>
        <w:spacing w:line="540" w:lineRule="exact"/>
        <w:jc w:val="center"/>
        <w:rPr>
          <w:rFonts w:ascii="宋体" w:hAnsi="宋体"/>
          <w:b/>
          <w:sz w:val="36"/>
          <w:szCs w:val="36"/>
        </w:rPr>
      </w:pPr>
    </w:p>
    <w:p w14:paraId="3043F107">
      <w:pPr>
        <w:numPr>
          <w:ilvl w:val="0"/>
          <w:numId w:val="3"/>
        </w:numPr>
        <w:spacing w:line="540" w:lineRule="exact"/>
        <w:jc w:val="center"/>
        <w:rPr>
          <w:rFonts w:ascii="宋体" w:hAnsi="宋体"/>
          <w:b/>
          <w:sz w:val="36"/>
          <w:szCs w:val="36"/>
        </w:rPr>
      </w:pPr>
      <w:r>
        <w:rPr>
          <w:rFonts w:hint="eastAsia" w:ascii="宋体" w:hAnsi="宋体"/>
          <w:b/>
          <w:sz w:val="36"/>
          <w:szCs w:val="36"/>
        </w:rPr>
        <w:t>沈阳市浑南区浑河站东街道办事处2019年度部门决算表</w:t>
      </w:r>
    </w:p>
    <w:p w14:paraId="01A97EAB">
      <w:pPr>
        <w:spacing w:line="540" w:lineRule="exact"/>
        <w:jc w:val="center"/>
        <w:rPr>
          <w:rFonts w:ascii="宋体" w:hAnsi="宋体"/>
          <w:b/>
          <w:sz w:val="36"/>
          <w:szCs w:val="36"/>
        </w:rPr>
      </w:pPr>
    </w:p>
    <w:p w14:paraId="5EE7B664">
      <w:pPr>
        <w:spacing w:line="540" w:lineRule="exact"/>
        <w:jc w:val="center"/>
        <w:rPr>
          <w:rFonts w:ascii="宋体" w:hAnsi="宋体"/>
          <w:b/>
          <w:sz w:val="36"/>
          <w:szCs w:val="36"/>
        </w:rPr>
      </w:pPr>
    </w:p>
    <w:p w14:paraId="7D13EE08">
      <w:pPr>
        <w:spacing w:line="540" w:lineRule="exact"/>
        <w:jc w:val="center"/>
        <w:rPr>
          <w:rFonts w:ascii="宋体" w:hAnsi="宋体"/>
          <w:b/>
          <w:sz w:val="36"/>
          <w:szCs w:val="36"/>
        </w:rPr>
      </w:pPr>
    </w:p>
    <w:p w14:paraId="2FFB8CF0"/>
    <w:sectPr>
      <w:footerReference r:id="rId3" w:type="default"/>
      <w:pgSz w:w="11906" w:h="16838"/>
      <w:pgMar w:top="1701" w:right="1418" w:bottom="170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T Extra">
    <w:panose1 w:val="05050102010205020202"/>
    <w:charset w:val="02"/>
    <w:family w:val="roman"/>
    <w:pitch w:val="default"/>
    <w:sig w:usb0="8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3E826">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17</w:t>
    </w:r>
    <w:r>
      <w:rPr>
        <w:rStyle w:val="6"/>
      </w:rPr>
      <w:fldChar w:fldCharType="end"/>
    </w:r>
  </w:p>
  <w:p w14:paraId="550EFD5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91F18"/>
    <w:multiLevelType w:val="singleLevel"/>
    <w:tmpl w:val="CDD91F18"/>
    <w:lvl w:ilvl="0" w:tentative="0">
      <w:start w:val="4"/>
      <w:numFmt w:val="chineseCounting"/>
      <w:suff w:val="space"/>
      <w:lvlText w:val="第%1部分"/>
      <w:lvlJc w:val="left"/>
      <w:rPr>
        <w:rFonts w:hint="eastAsia"/>
      </w:rPr>
    </w:lvl>
  </w:abstractNum>
  <w:abstractNum w:abstractNumId="1">
    <w:nsid w:val="0D8E11E2"/>
    <w:multiLevelType w:val="singleLevel"/>
    <w:tmpl w:val="0D8E11E2"/>
    <w:lvl w:ilvl="0" w:tentative="0">
      <w:start w:val="1"/>
      <w:numFmt w:val="chineseCounting"/>
      <w:suff w:val="space"/>
      <w:lvlText w:val="第%1部分"/>
      <w:lvlJc w:val="left"/>
      <w:rPr>
        <w:rFonts w:hint="eastAsia"/>
      </w:rPr>
    </w:lvl>
  </w:abstractNum>
  <w:abstractNum w:abstractNumId="2">
    <w:nsid w:val="5F545CDD"/>
    <w:multiLevelType w:val="multilevel"/>
    <w:tmpl w:val="5F545CDD"/>
    <w:lvl w:ilvl="0" w:tentative="0">
      <w:start w:val="1"/>
      <w:numFmt w:val="japaneseCounting"/>
      <w:lvlText w:val="%1、"/>
      <w:lvlJc w:val="left"/>
      <w:pPr>
        <w:tabs>
          <w:tab w:val="left" w:pos="720"/>
        </w:tabs>
        <w:ind w:left="720" w:hanging="720"/>
      </w:pPr>
      <w:rPr>
        <w:rFonts w:hint="default" w:ascii="Times New Roman" w:hAnsi="Times New Roman" w:cs="Times New Roman"/>
      </w:rPr>
    </w:lvl>
    <w:lvl w:ilvl="1" w:tentative="0">
      <w:start w:val="2"/>
      <w:numFmt w:val="japaneseCounting"/>
      <w:lvlText w:val="%2、"/>
      <w:lvlJc w:val="left"/>
      <w:pPr>
        <w:tabs>
          <w:tab w:val="left" w:pos="1140"/>
        </w:tabs>
        <w:ind w:left="1140" w:hanging="72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ZiZTQ3ZmI1OTFmODUzNzgwMGRlNDBmMWZiZDQzMjEifQ=="/>
  </w:docVars>
  <w:rsids>
    <w:rsidRoot w:val="799F6C3B"/>
    <w:rsid w:val="001D52DA"/>
    <w:rsid w:val="004F51EC"/>
    <w:rsid w:val="007C3259"/>
    <w:rsid w:val="00A40B0F"/>
    <w:rsid w:val="00C33DE5"/>
    <w:rsid w:val="02441C7A"/>
    <w:rsid w:val="04BA3489"/>
    <w:rsid w:val="05586971"/>
    <w:rsid w:val="069B2AE5"/>
    <w:rsid w:val="0D95723A"/>
    <w:rsid w:val="1814139D"/>
    <w:rsid w:val="18E136D8"/>
    <w:rsid w:val="1F902B8D"/>
    <w:rsid w:val="251032CA"/>
    <w:rsid w:val="26751770"/>
    <w:rsid w:val="27EC75B5"/>
    <w:rsid w:val="2AA308C1"/>
    <w:rsid w:val="2B850444"/>
    <w:rsid w:val="2BBC0CAC"/>
    <w:rsid w:val="2D1B446F"/>
    <w:rsid w:val="30E320B5"/>
    <w:rsid w:val="31E531C9"/>
    <w:rsid w:val="3290553D"/>
    <w:rsid w:val="38CC3F7C"/>
    <w:rsid w:val="3CBD5822"/>
    <w:rsid w:val="3D355077"/>
    <w:rsid w:val="408475C8"/>
    <w:rsid w:val="45384DBC"/>
    <w:rsid w:val="47FE3AAD"/>
    <w:rsid w:val="490715C7"/>
    <w:rsid w:val="4DEA02F8"/>
    <w:rsid w:val="4F507BD3"/>
    <w:rsid w:val="4FCA35DE"/>
    <w:rsid w:val="4FDE277C"/>
    <w:rsid w:val="51125361"/>
    <w:rsid w:val="517121A9"/>
    <w:rsid w:val="51C75ED2"/>
    <w:rsid w:val="548D2A7C"/>
    <w:rsid w:val="54977BA1"/>
    <w:rsid w:val="56AF0824"/>
    <w:rsid w:val="57577811"/>
    <w:rsid w:val="58F90F29"/>
    <w:rsid w:val="59A363DE"/>
    <w:rsid w:val="62DA0392"/>
    <w:rsid w:val="6AD60DBE"/>
    <w:rsid w:val="6D183520"/>
    <w:rsid w:val="6D5955C1"/>
    <w:rsid w:val="6DBF19F2"/>
    <w:rsid w:val="743F26C3"/>
    <w:rsid w:val="74B646BB"/>
    <w:rsid w:val="75EE4805"/>
    <w:rsid w:val="799F6C3B"/>
    <w:rsid w:val="7A4C0DB2"/>
    <w:rsid w:val="7F3069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T Extra" w:hAnsi="MT Extra" w:eastAsia="宋体" w:cs="MT Extra"/>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 w:type="paragraph" w:customStyle="1" w:styleId="7">
    <w:name w:val="p0"/>
    <w:basedOn w:val="1"/>
    <w:autoRedefine/>
    <w:qFormat/>
    <w:uiPriority w:val="0"/>
    <w:pPr>
      <w:widowControl/>
    </w:pPr>
    <w:rPr>
      <w:rFonts w:ascii="宋体" w:hAnsi="宋体" w:cs="宋体"/>
      <w:kern w:val="0"/>
      <w:szCs w:val="21"/>
    </w:rPr>
  </w:style>
  <w:style w:type="character" w:customStyle="1" w:styleId="8">
    <w:name w:val="bsharetext"/>
    <w:basedOn w:val="5"/>
    <w:autoRedefine/>
    <w:qFormat/>
    <w:uiPriority w:val="0"/>
  </w:style>
  <w:style w:type="character" w:customStyle="1" w:styleId="9">
    <w:name w:val="页眉 Char"/>
    <w:basedOn w:val="5"/>
    <w:link w:val="3"/>
    <w:autoRedefine/>
    <w:qFormat/>
    <w:uiPriority w:val="0"/>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22</Pages>
  <Words>9459</Words>
  <Characters>10201</Characters>
  <Lines>72</Lines>
  <Paragraphs>20</Paragraphs>
  <TotalTime>12</TotalTime>
  <ScaleCrop>false</ScaleCrop>
  <LinksUpToDate>false</LinksUpToDate>
  <CharactersWithSpaces>10219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2020-08-18T01:46:00Z</dcterms:created>
  <dc:creator>欣月</dc:creator>
  <cp:lastModifiedBy>杨洋</cp:lastModifiedBy>
  <cp:lastPrinted>2020-08-25T03:28:00Z</cp:lastPrinted>
  <dcterms:modified xsi:type="dcterms:W3CDTF">2026-02-06T08:18:12Z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65B11DAFF7974C818B742BFDB57CE21B</vt:lpwstr>
  </property>
  <property fmtid="{D5CDD505-2E9C-101B-9397-08002B2CF9AE}" pid="4" name="KSOTemplateDocerSaveRecord">
    <vt:lpwstr>eyJoZGlkIjoiNzZiZTQ3ZmI1OTFmODUzNzgwMGRlNDBmMWZiZDQzMjEiLCJ1c2VySWQiOiIyMzQ0MjI2NjQifQ==</vt:lpwstr>
  </property>
</Properties>
</file>